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C1022" w14:textId="77777777" w:rsidR="00CD66B3" w:rsidRDefault="00000000">
      <w:pPr>
        <w:pStyle w:val="NormalWeb"/>
        <w:spacing w:before="0" w:after="0"/>
        <w:jc w:val="both"/>
      </w:pPr>
      <w:r>
        <w:rPr>
          <w:rFonts w:ascii="Arial" w:hAnsi="Arial" w:cs="Arial"/>
          <w:b/>
          <w:bCs/>
          <w:lang w:val="en-US" w:eastAsia="ru-RU"/>
        </w:rPr>
        <w:t xml:space="preserve">Supplementary Figure 1: Effects of TGF β on glycolytic metabolism in </w:t>
      </w:r>
      <w:proofErr w:type="spellStart"/>
      <w:r>
        <w:rPr>
          <w:rFonts w:ascii="Arial" w:hAnsi="Arial" w:cs="Arial"/>
          <w:b/>
          <w:bCs/>
          <w:lang w:val="en-US" w:eastAsia="ru-RU"/>
        </w:rPr>
        <w:t>hiPSC-cFib</w:t>
      </w:r>
      <w:proofErr w:type="spellEnd"/>
      <w:r>
        <w:rPr>
          <w:rFonts w:ascii="Arial" w:hAnsi="Arial" w:cs="Arial"/>
          <w:b/>
          <w:bCs/>
          <w:lang w:val="en-US" w:eastAsia="ru-RU"/>
        </w:rPr>
        <w:t>.</w:t>
      </w:r>
      <w:bookmarkStart w:id="0" w:name="_Hlk221176625"/>
      <w:r>
        <w:rPr>
          <w:rFonts w:ascii="Arial" w:hAnsi="Arial" w:cs="Arial"/>
          <w:b/>
          <w:bCs/>
          <w:lang w:val="en-US" w:eastAsia="ru-RU"/>
        </w:rPr>
        <w:t xml:space="preserve"> (A-B)</w:t>
      </w:r>
      <w:r>
        <w:rPr>
          <w:rFonts w:ascii="Arial" w:hAnsi="Arial" w:cs="Arial"/>
          <w:lang w:val="en-US" w:eastAsia="ru-RU"/>
        </w:rPr>
        <w:t xml:space="preserve"> Glycolytic function in </w:t>
      </w:r>
      <w:proofErr w:type="spellStart"/>
      <w:r>
        <w:rPr>
          <w:rFonts w:ascii="Arial" w:hAnsi="Arial" w:cs="Arial"/>
          <w:lang w:val="en-US" w:eastAsia="ru-RU"/>
        </w:rPr>
        <w:t>hiPSC-cFib</w:t>
      </w:r>
      <w:proofErr w:type="spellEnd"/>
      <w:r>
        <w:rPr>
          <w:rFonts w:ascii="Arial" w:hAnsi="Arial" w:cs="Arial"/>
          <w:lang w:val="en-US" w:eastAsia="ru-RU"/>
        </w:rPr>
        <w:t xml:space="preserve"> from healthy controls and DMD patients with stimulation TGF β (10 ng/mL, 24 h). </w:t>
      </w:r>
      <w:r>
        <w:rPr>
          <w:rFonts w:ascii="Arial" w:hAnsi="Arial" w:cs="Arial"/>
          <w:b/>
          <w:bCs/>
          <w:lang w:val="en-US" w:eastAsia="ru-RU"/>
        </w:rPr>
        <w:t>(A)</w:t>
      </w:r>
      <w:r>
        <w:rPr>
          <w:rFonts w:ascii="Arial" w:hAnsi="Arial" w:cs="Arial"/>
          <w:lang w:val="en-US" w:eastAsia="ru-RU"/>
        </w:rPr>
        <w:t xml:space="preserve"> Representative extracellular acidification rate (ECAR) traces. </w:t>
      </w:r>
      <w:r>
        <w:rPr>
          <w:rFonts w:ascii="Arial" w:hAnsi="Arial" w:cs="Arial"/>
          <w:b/>
          <w:bCs/>
          <w:lang w:val="en-US" w:eastAsia="ru-RU"/>
        </w:rPr>
        <w:t>(B)</w:t>
      </w:r>
      <w:r>
        <w:rPr>
          <w:rFonts w:ascii="Arial" w:hAnsi="Arial" w:cs="Arial"/>
          <w:lang w:val="en-US" w:eastAsia="ru-RU"/>
        </w:rPr>
        <w:t xml:space="preserve"> Quantification of glycolysis, glycolytic capacity, and glycolytic reserve.</w:t>
      </w:r>
      <w:bookmarkEnd w:id="0"/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 w:eastAsia="ru-RU"/>
        </w:rPr>
        <w:t>ECAR was measured under basal conditions and after sequential addition of glucose (10 mM), oligomycin (1 µM), and 2-deoxy-D-glucose (2-DG, 100 mM).</w:t>
      </w:r>
    </w:p>
    <w:p w14:paraId="4AD3D3E0" w14:textId="77777777" w:rsidR="00CD66B3" w:rsidRDefault="00000000">
      <w:pPr>
        <w:spacing w:after="0" w:line="240" w:lineRule="auto"/>
        <w:jc w:val="both"/>
      </w:pPr>
      <w:r>
        <w:rPr>
          <w:rFonts w:ascii="Arial" w:hAnsi="Arial" w:cs="Arial"/>
          <w:sz w:val="24"/>
          <w:szCs w:val="24"/>
          <w:lang w:val="en-US"/>
        </w:rPr>
        <w:t xml:space="preserve">Data are presented as mean ± SEM from three healthy donors and three DMD patients,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with technical replicates derived from independent </w:t>
      </w:r>
      <w:proofErr w:type="spellStart"/>
      <w:r>
        <w:rPr>
          <w:rFonts w:ascii="Arial" w:eastAsia="Times New Roman" w:hAnsi="Arial" w:cs="Arial"/>
          <w:lang w:val="en-US" w:eastAsia="ru-RU"/>
        </w:rPr>
        <w:t>hiPSC-cFib</w:t>
      </w:r>
      <w:proofErr w:type="spellEnd"/>
      <w:r>
        <w:rPr>
          <w:rFonts w:ascii="Arial" w:eastAsia="Times New Roman" w:hAnsi="Arial" w:cs="Arial"/>
          <w:lang w:val="en-US"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differentiation batches. Statistical differences between treatments in control and DMD groups were determined </w:t>
      </w:r>
      <w:r>
        <w:rPr>
          <w:rFonts w:ascii="Arial" w:hAnsi="Arial" w:cs="Arial"/>
          <w:sz w:val="24"/>
          <w:szCs w:val="24"/>
          <w:lang w:val="en-US"/>
        </w:rPr>
        <w:t>using one-way ANOVA. A value of *P &lt; 0.05 was considered statistically significant. (****</w:t>
      </w:r>
      <w:r>
        <w:rPr>
          <w:rStyle w:val="lev"/>
          <w:rFonts w:ascii="Arial" w:hAnsi="Arial" w:cs="Arial"/>
          <w:b w:val="0"/>
          <w:bCs w:val="0"/>
          <w:sz w:val="24"/>
          <w:szCs w:val="24"/>
          <w:lang w:val="en-US"/>
        </w:rPr>
        <w:t xml:space="preserve">P &lt; 0.0001, basal vs </w:t>
      </w:r>
      <w:r>
        <w:rPr>
          <w:rFonts w:ascii="Arial" w:hAnsi="Arial" w:cs="Arial"/>
          <w:sz w:val="24"/>
          <w:szCs w:val="24"/>
          <w:lang w:val="en-US" w:eastAsia="ru-RU"/>
        </w:rPr>
        <w:t>TGF β</w:t>
      </w:r>
      <w:r>
        <w:rPr>
          <w:rStyle w:val="lev"/>
          <w:rFonts w:ascii="Arial" w:hAnsi="Arial" w:cs="Arial"/>
          <w:sz w:val="24"/>
          <w:szCs w:val="24"/>
          <w:lang w:val="en-US"/>
        </w:rPr>
        <w:t>;</w:t>
      </w:r>
      <w:r>
        <w:rPr>
          <w:rStyle w:val="lev"/>
          <w:rFonts w:ascii="Arial" w:hAnsi="Arial" w:cs="Arial"/>
          <w:b w:val="0"/>
          <w:bCs w:val="0"/>
          <w:sz w:val="24"/>
          <w:szCs w:val="24"/>
          <w:lang w:val="en-US"/>
        </w:rPr>
        <w:t xml:space="preserve"> ####P &lt; 0.0001, control vs DMD; ns, not significant).</w:t>
      </w:r>
    </w:p>
    <w:p w14:paraId="3B7404F4" w14:textId="77777777" w:rsidR="00CD66B3" w:rsidRDefault="00CD66B3">
      <w:pPr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</w:p>
    <w:p w14:paraId="6CEED08A" w14:textId="77777777" w:rsidR="00CD66B3" w:rsidRDefault="00000000">
      <w:pPr>
        <w:jc w:val="both"/>
      </w:pP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Supplementary Figure 2: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Effect of CBD and chloroquine on p62 expression in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hiPSC-cFib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(A)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Representative western blots and </w:t>
      </w: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(B)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quantification of </w:t>
      </w:r>
      <w:r>
        <w:rPr>
          <w:rFonts w:ascii="Arial" w:eastAsia="Times New Roman" w:hAnsi="Arial" w:cs="Arial"/>
          <w:bCs/>
          <w:sz w:val="24"/>
          <w:szCs w:val="24"/>
          <w:lang w:val="en-US" w:eastAsia="ru-RU"/>
        </w:rPr>
        <w:t>p62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in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hiPSC-cFib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derived from healthy controls and DMD patients treated with CBD (2 µM) or chloroquine (CQ, 10 µM) for 24h.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bookmarkStart w:id="1" w:name="_Hlk232665650"/>
      <w:bookmarkStart w:id="2" w:name="_Hlk232683138"/>
      <w:r>
        <w:rPr>
          <w:rFonts w:ascii="Arial" w:eastAsia="Times New Roman" w:hAnsi="Arial" w:cs="Arial"/>
          <w:sz w:val="24"/>
          <w:szCs w:val="24"/>
          <w:lang w:val="en-US" w:eastAsia="ru-RU"/>
        </w:rPr>
        <w:t>Data are presented as mean ± SEM from three healthy donors and three DMD patients</w:t>
      </w:r>
      <w:bookmarkEnd w:id="1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with technical replicates derived from independent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hiPSC-cFib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differentiation batches of biological samples</w:t>
      </w:r>
      <w:bookmarkEnd w:id="2"/>
      <w:r>
        <w:rPr>
          <w:rFonts w:ascii="Arial" w:eastAsia="Times New Roman" w:hAnsi="Arial" w:cs="Arial"/>
          <w:sz w:val="24"/>
          <w:szCs w:val="24"/>
          <w:lang w:val="en-US" w:eastAsia="ru-RU"/>
        </w:rPr>
        <w:t>. Differences between treatment conditions in the control and DMD groups were evaluated using a non-parametric one-way ANOVA. * P &lt; 0.05, **P &lt; 0.01, ***P &lt; 0.001, ****P &lt; 0.0001.</w:t>
      </w:r>
    </w:p>
    <w:p w14:paraId="20C33E6A" w14:textId="77777777" w:rsidR="00CD66B3" w:rsidRDefault="00CD66B3">
      <w:pPr>
        <w:jc w:val="both"/>
        <w:rPr>
          <w:sz w:val="24"/>
          <w:szCs w:val="24"/>
          <w:lang w:val="en-US"/>
        </w:rPr>
      </w:pPr>
    </w:p>
    <w:p w14:paraId="7D3E1AC8" w14:textId="77777777" w:rsidR="00CD66B3" w:rsidRDefault="00000000">
      <w:pPr>
        <w:jc w:val="both"/>
      </w:pP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Supplementary Figure 3: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GSSG/GSH ratios in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hiPSC-cFib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 xml:space="preserve"> from healthy controls and DMD patients following 24 h treatment with CBD (0.5–2 µM).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Data are presented as mean ± SEM from three healthy donors and three DMD patients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with technical replicates derived from independent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hiPSC-cFib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differentiation batches.</w:t>
      </w:r>
      <w:r>
        <w:rPr>
          <w:rFonts w:ascii="Arial" w:hAnsi="Arial" w:cs="Arial"/>
          <w:sz w:val="24"/>
          <w:szCs w:val="24"/>
          <w:lang w:val="en-US"/>
        </w:rPr>
        <w:t xml:space="preserve"> Statistical differences between treatments in control and DMD groups were determined using a non-parametric one-way ANOVA. </w:t>
      </w:r>
    </w:p>
    <w:p w14:paraId="5296664A" w14:textId="77777777" w:rsidR="00CD66B3" w:rsidRDefault="00CD66B3">
      <w:pPr>
        <w:jc w:val="both"/>
        <w:rPr>
          <w:sz w:val="24"/>
          <w:szCs w:val="24"/>
          <w:lang w:val="en-US"/>
        </w:rPr>
      </w:pPr>
    </w:p>
    <w:p w14:paraId="6EDEF3A1" w14:textId="77777777" w:rsidR="00CD66B3" w:rsidRDefault="00000000">
      <w:pPr>
        <w:spacing w:after="0" w:line="240" w:lineRule="auto"/>
        <w:jc w:val="both"/>
      </w:pP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Supplementary Figure 4:</w:t>
      </w:r>
      <w:r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CBD effects on mitochondrial oxidative stress in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hiPSC-cFib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>
        <w:rPr>
          <w:rFonts w:ascii="Arial" w:eastAsia="Times New Roman" w:hAnsi="Arial" w:cs="Arial"/>
          <w:b/>
          <w:bCs/>
          <w:sz w:val="24"/>
          <w:szCs w:val="24"/>
          <w:lang w:val="en-US" w:eastAsia="fr-FR"/>
        </w:rPr>
        <w:t>(</w:t>
      </w: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A)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Representative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MitoSOX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™ Red fluorescence images of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hiPSC-cFib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derived from healthy controls and DMD patients following treatment with CBD (2 µM) for 24 h. Scale bar: 200 µm. </w:t>
      </w: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(B)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Quantification of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MitoSOX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fluorescence in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hiPSC-cFib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from control and DMD groups treated with CBD.</w:t>
      </w:r>
      <w:bookmarkStart w:id="3" w:name="_Hlk232665742"/>
      <w:r>
        <w:rPr>
          <w:lang w:val="en-U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Data are presented as mean ± SEM from three healthy donors and three DMD patients</w:t>
      </w:r>
      <w:bookmarkEnd w:id="3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with one technical replicate per biological sample obtained from independent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hiPSC-cFib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differentiation batches. Statistical differences between treatments in control and DMD groups were determined using a non-parametric one-way ANOVA. </w:t>
      </w:r>
      <w:bookmarkStart w:id="4" w:name="_Hlk232665806"/>
      <w:r>
        <w:rPr>
          <w:rFonts w:ascii="Arial" w:eastAsia="Times New Roman" w:hAnsi="Arial" w:cs="Arial"/>
          <w:sz w:val="24"/>
          <w:szCs w:val="24"/>
          <w:lang w:val="en-US" w:eastAsia="ru-RU"/>
        </w:rPr>
        <w:t>ns: non-significant.</w:t>
      </w:r>
      <w:bookmarkEnd w:id="4"/>
    </w:p>
    <w:p w14:paraId="7A356404" w14:textId="77777777" w:rsidR="00CD66B3" w:rsidRDefault="00CD66B3">
      <w:pPr>
        <w:spacing w:after="0" w:line="240" w:lineRule="auto"/>
        <w:rPr>
          <w:lang w:val="en-US"/>
        </w:rPr>
      </w:pPr>
    </w:p>
    <w:p w14:paraId="6D4AE975" w14:textId="77777777" w:rsidR="00CD66B3" w:rsidRDefault="00CD66B3">
      <w:pPr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</w:p>
    <w:p w14:paraId="6DEB1F05" w14:textId="77777777" w:rsidR="00CD66B3" w:rsidRDefault="00000000">
      <w:pPr>
        <w:spacing w:after="0" w:line="240" w:lineRule="auto"/>
        <w:jc w:val="both"/>
      </w:pP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Supplemental Figure 5:</w:t>
      </w:r>
      <w:r>
        <w:rPr>
          <w:rFonts w:ascii="Arial" w:eastAsia="Times New Roman" w:hAnsi="Arial" w:cs="Arial"/>
          <w:b/>
          <w:bCs/>
          <w:lang w:val="en-US" w:eastAsia="ru-RU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Effects of CBD on HO-1 expression in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hiPSC-cFib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>.</w:t>
      </w:r>
      <w:r>
        <w:rPr>
          <w:rFonts w:ascii="Arial" w:eastAsia="Times New Roman" w:hAnsi="Arial" w:cs="Arial"/>
          <w:b/>
          <w:bCs/>
          <w:lang w:val="en-US" w:eastAsia="ru-RU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(A)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Representative western blots and </w:t>
      </w: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(B)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quantification of HO-1 protein expression in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hiPSC-cFib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from healthy controls and DMD patients treated with CBD </w:t>
      </w:r>
      <w:r>
        <w:rPr>
          <w:rFonts w:ascii="Arial" w:hAnsi="Arial" w:cs="Arial"/>
          <w:sz w:val="24"/>
          <w:szCs w:val="24"/>
          <w:lang w:val="en-US"/>
        </w:rPr>
        <w:t xml:space="preserve">(2 µM), AM251 (2 µM) or AM630 (2 µM) for 24 h.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Data are presented as mean ± SEM from three healthy donors and three DMD patients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with technical replicates derived from independent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hiPSC-cFib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differentiation batches</w:t>
      </w:r>
      <w:r>
        <w:rPr>
          <w:rFonts w:ascii="Arial" w:hAnsi="Arial" w:cs="Arial"/>
          <w:sz w:val="24"/>
          <w:szCs w:val="24"/>
          <w:lang w:val="en-US"/>
        </w:rPr>
        <w:t>. Statistical differences between treatments in control and DMD groups were determined using a non-parametric one-way ANOVA. *P &lt; 0.05, **P &lt; 0.001 treatment vs basal.</w:t>
      </w:r>
    </w:p>
    <w:p w14:paraId="7011E3D9" w14:textId="77777777" w:rsidR="00CD66B3" w:rsidRDefault="00CD66B3">
      <w:pPr>
        <w:spacing w:after="0" w:line="240" w:lineRule="auto"/>
        <w:jc w:val="both"/>
        <w:rPr>
          <w:rFonts w:ascii="Arial" w:eastAsia="Times New Roman" w:hAnsi="Arial" w:cs="Arial"/>
          <w:b/>
          <w:bCs/>
          <w:lang w:val="en-US" w:eastAsia="ru-RU"/>
        </w:rPr>
      </w:pPr>
    </w:p>
    <w:p w14:paraId="795EDE5C" w14:textId="77777777" w:rsidR="00CD66B3" w:rsidRDefault="00000000">
      <w:pPr>
        <w:jc w:val="both"/>
      </w:pPr>
      <w:r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Supplemental Figure 6:</w:t>
      </w:r>
      <w:r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Quantification of cell number in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hiPSC-cFib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>(A)</w:t>
      </w:r>
      <w:r>
        <w:rPr>
          <w:rFonts w:ascii="Arial" w:hAnsi="Arial" w:cs="Arial"/>
          <w:sz w:val="24"/>
          <w:szCs w:val="24"/>
          <w:lang w:val="en-US"/>
        </w:rPr>
        <w:t xml:space="preserve"> Cell number quantification in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hiPSC-cFib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derived from healthy controls and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(B) </w:t>
      </w:r>
      <w:r>
        <w:rPr>
          <w:rFonts w:ascii="Arial" w:hAnsi="Arial" w:cs="Arial"/>
          <w:sz w:val="24"/>
          <w:szCs w:val="24"/>
          <w:lang w:val="en-US"/>
        </w:rPr>
        <w:t xml:space="preserve">DMD patients following treatment with CBD in the presence or absence of AEA (2 µM), AM251(2 µM), JWH133 (2 µM), or AM630 (2 µM) for 24 h.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Data are presented as mean ± SEM from three healthy donors and three DMD patients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with technical replicates derived from independent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ru-RU"/>
        </w:rPr>
        <w:t>hiPSC-cFib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differentiation batches</w:t>
      </w:r>
      <w:r>
        <w:rPr>
          <w:rFonts w:ascii="Arial" w:hAnsi="Arial" w:cs="Arial"/>
          <w:sz w:val="24"/>
          <w:szCs w:val="24"/>
          <w:lang w:val="en-US"/>
        </w:rPr>
        <w:t xml:space="preserve">. Statistical differences between treatments in control and DMD groups were determined using a non-parametric one-way ANOVA. *P &lt; 0.05 </w:t>
      </w:r>
      <w:r>
        <w:rPr>
          <w:rStyle w:val="lev"/>
          <w:rFonts w:ascii="Arial" w:hAnsi="Arial" w:cs="Arial"/>
          <w:b w:val="0"/>
          <w:bCs w:val="0"/>
          <w:sz w:val="24"/>
          <w:szCs w:val="24"/>
          <w:lang w:val="en-US"/>
        </w:rPr>
        <w:t>was considered statistically significant.</w:t>
      </w:r>
    </w:p>
    <w:p w14:paraId="47856A3B" w14:textId="77777777" w:rsidR="00CD66B3" w:rsidRDefault="00CD66B3">
      <w:pPr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6449282E" w14:textId="77777777" w:rsidR="00CD66B3" w:rsidRDefault="00CD66B3">
      <w:pPr>
        <w:rPr>
          <w:rFonts w:ascii="Times New Roman" w:hAnsi="Times New Roman"/>
          <w:lang w:val="en-US"/>
        </w:rPr>
      </w:pPr>
    </w:p>
    <w:sectPr w:rsidR="00CD66B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BF72C" w14:textId="77777777" w:rsidR="00713E37" w:rsidRDefault="00713E37">
      <w:pPr>
        <w:spacing w:after="0" w:line="240" w:lineRule="auto"/>
      </w:pPr>
      <w:r>
        <w:separator/>
      </w:r>
    </w:p>
  </w:endnote>
  <w:endnote w:type="continuationSeparator" w:id="0">
    <w:p w14:paraId="211CC164" w14:textId="77777777" w:rsidR="00713E37" w:rsidRDefault="0071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55E55" w14:textId="77777777" w:rsidR="00713E37" w:rsidRDefault="00713E3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E224EED" w14:textId="77777777" w:rsidR="00713E37" w:rsidRDefault="00713E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D66B3"/>
    <w:rsid w:val="0016445F"/>
    <w:rsid w:val="006A26EF"/>
    <w:rsid w:val="00713E37"/>
    <w:rsid w:val="00CD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C5269"/>
  <w15:docId w15:val="{0D7BBEB2-92F7-4DAD-83C3-D729A16E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fr-FR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42" w:lineRule="auto"/>
    </w:pPr>
    <w:rPr>
      <w:kern w:val="0"/>
      <w:sz w:val="22"/>
      <w:szCs w:val="22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kern w:val="3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kern w:val="3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kern w:val="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kern w:val="3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kern w:val="3"/>
      <w:sz w:val="24"/>
      <w:szCs w:val="24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kern w:val="3"/>
      <w:sz w:val="24"/>
      <w:szCs w:val="24"/>
    </w:rPr>
  </w:style>
  <w:style w:type="paragraph" w:styleId="Titre7">
    <w:name w:val="heading 7"/>
    <w:basedOn w:val="Normal"/>
    <w:next w:val="Normal"/>
    <w:pPr>
      <w:keepNext/>
      <w:keepLines/>
      <w:spacing w:before="40" w:after="0" w:line="276" w:lineRule="auto"/>
      <w:outlineLvl w:val="6"/>
    </w:pPr>
    <w:rPr>
      <w:rFonts w:eastAsia="Times New Roman"/>
      <w:color w:val="595959"/>
      <w:kern w:val="3"/>
      <w:sz w:val="24"/>
      <w:szCs w:val="24"/>
    </w:rPr>
  </w:style>
  <w:style w:type="paragraph" w:styleId="Titre8">
    <w:name w:val="heading 8"/>
    <w:basedOn w:val="Normal"/>
    <w:next w:val="Normal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kern w:val="3"/>
      <w:sz w:val="24"/>
      <w:szCs w:val="24"/>
    </w:rPr>
  </w:style>
  <w:style w:type="paragraph" w:styleId="Titre9">
    <w:name w:val="heading 9"/>
    <w:basedOn w:val="Normal"/>
    <w:next w:val="Normal"/>
    <w:pPr>
      <w:keepNext/>
      <w:keepLines/>
      <w:spacing w:after="0" w:line="276" w:lineRule="auto"/>
      <w:outlineLvl w:val="8"/>
    </w:pPr>
    <w:rPr>
      <w:rFonts w:eastAsia="Times New Roman"/>
      <w:color w:val="272727"/>
      <w:kern w:val="3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"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itreCar">
    <w:name w:val="Titre Car"/>
    <w:basedOn w:val="Policepardfau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pPr>
      <w:spacing w:line="276" w:lineRule="auto"/>
    </w:pPr>
    <w:rPr>
      <w:rFonts w:eastAsia="Times New Roman"/>
      <w:color w:val="595959"/>
      <w:spacing w:val="15"/>
      <w:kern w:val="3"/>
      <w:sz w:val="28"/>
      <w:szCs w:val="28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 w:line="276" w:lineRule="auto"/>
      <w:jc w:val="center"/>
    </w:pPr>
    <w:rPr>
      <w:i/>
      <w:iCs/>
      <w:color w:val="404040"/>
      <w:kern w:val="3"/>
      <w:sz w:val="24"/>
      <w:szCs w:val="24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spacing w:line="276" w:lineRule="auto"/>
      <w:ind w:left="720"/>
      <w:contextualSpacing/>
    </w:pPr>
    <w:rPr>
      <w:kern w:val="3"/>
      <w:sz w:val="24"/>
      <w:szCs w:val="24"/>
    </w:r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kern w:val="3"/>
      <w:sz w:val="24"/>
      <w:szCs w:val="24"/>
    </w:rPr>
  </w:style>
  <w:style w:type="character" w:customStyle="1" w:styleId="CitationintenseCar">
    <w:name w:val="Citation intense C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  <w:style w:type="character" w:styleId="lev">
    <w:name w:val="Strong"/>
    <w:basedOn w:val="Policepardfaut"/>
    <w:rPr>
      <w:b/>
      <w:bCs/>
    </w:rPr>
  </w:style>
  <w:style w:type="paragraph" w:styleId="NormalWeb">
    <w:name w:val="Normal (Web)"/>
    <w:basedOn w:val="Normal"/>
    <w:pPr>
      <w:suppressAutoHyphens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Accentuation">
    <w:name w:val="Emphasis"/>
    <w:basedOn w:val="Policepardfaut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Pizzinat</dc:creator>
  <dc:description/>
  <cp:lastModifiedBy>Nathalie Pizzinat</cp:lastModifiedBy>
  <cp:revision>2</cp:revision>
  <dcterms:created xsi:type="dcterms:W3CDTF">2026-08-03T07:20:00Z</dcterms:created>
  <dcterms:modified xsi:type="dcterms:W3CDTF">2026-08-03T07:20:00Z</dcterms:modified>
</cp:coreProperties>
</file>