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06D7" w:rsidRPr="000D592D" w:rsidRDefault="009906D7" w:rsidP="009906D7">
      <w:pPr>
        <w:rPr>
          <w:lang w:val="en-US"/>
        </w:rPr>
      </w:pPr>
      <w:r w:rsidRPr="000E43ED">
        <w:rPr>
          <w:b/>
          <w:lang w:val="en-US"/>
        </w:rPr>
        <w:t>Supplementary Information</w:t>
      </w:r>
    </w:p>
    <w:p w:rsidR="009906D7" w:rsidRPr="008323A4" w:rsidRDefault="009906D7" w:rsidP="009906D7">
      <w:pPr>
        <w:spacing w:line="480" w:lineRule="auto"/>
        <w:jc w:val="both"/>
        <w:rPr>
          <w:b/>
          <w:lang w:val="en-US"/>
        </w:rPr>
      </w:pPr>
      <w:r>
        <w:rPr>
          <w:b/>
          <w:sz w:val="28"/>
          <w:szCs w:val="28"/>
        </w:rPr>
        <w:t>The e</w:t>
      </w:r>
      <w:r w:rsidRPr="000A2EB7">
        <w:rPr>
          <w:b/>
          <w:sz w:val="28"/>
          <w:szCs w:val="28"/>
        </w:rPr>
        <w:t>ndocannabinoid hydrolase FAAH is an allosteric enzyme</w:t>
      </w:r>
    </w:p>
    <w:p w:rsidR="009906D7" w:rsidRPr="008323A4" w:rsidRDefault="009906D7" w:rsidP="009906D7">
      <w:pPr>
        <w:spacing w:line="480" w:lineRule="auto"/>
        <w:jc w:val="both"/>
        <w:rPr>
          <w:b/>
          <w:lang w:val="en-US"/>
        </w:rPr>
      </w:pPr>
    </w:p>
    <w:p w:rsidR="009906D7" w:rsidRPr="00B709BC" w:rsidRDefault="009906D7" w:rsidP="009906D7">
      <w:pPr>
        <w:spacing w:line="480" w:lineRule="auto"/>
        <w:jc w:val="both"/>
        <w:rPr>
          <w:vertAlign w:val="superscript"/>
          <w:lang w:val="it-IT"/>
        </w:rPr>
      </w:pPr>
      <w:r w:rsidRPr="00B709BC">
        <w:rPr>
          <w:lang w:val="it-IT"/>
        </w:rPr>
        <w:t>Enrico Dainese</w:t>
      </w:r>
      <w:r>
        <w:rPr>
          <w:vertAlign w:val="superscript"/>
          <w:lang w:val="it-IT"/>
        </w:rPr>
        <w:t>1,2</w:t>
      </w:r>
      <w:r w:rsidRPr="00B709BC">
        <w:rPr>
          <w:vertAlign w:val="superscript"/>
          <w:lang w:val="it-IT"/>
        </w:rPr>
        <w:t>*</w:t>
      </w:r>
      <w:r>
        <w:rPr>
          <w:vertAlign w:val="superscript"/>
          <w:lang w:val="it-IT"/>
        </w:rPr>
        <w:t>§</w:t>
      </w:r>
      <w:r w:rsidRPr="00B709BC">
        <w:rPr>
          <w:lang w:val="it-IT"/>
        </w:rPr>
        <w:t xml:space="preserve">, </w:t>
      </w:r>
      <w:r>
        <w:rPr>
          <w:lang w:val="it-IT"/>
        </w:rPr>
        <w:t xml:space="preserve">Sergio </w:t>
      </w:r>
      <w:proofErr w:type="spellStart"/>
      <w:r>
        <w:rPr>
          <w:lang w:val="it-IT"/>
        </w:rPr>
        <w:t>Oddi</w:t>
      </w:r>
      <w:proofErr w:type="spellEnd"/>
      <w:r>
        <w:rPr>
          <w:lang w:val="it-IT"/>
        </w:rPr>
        <w:t xml:space="preserve"> </w:t>
      </w:r>
      <w:r>
        <w:rPr>
          <w:vertAlign w:val="superscript"/>
          <w:lang w:val="it-IT"/>
        </w:rPr>
        <w:t>2,3§</w:t>
      </w:r>
      <w:r>
        <w:rPr>
          <w:lang w:val="it-IT"/>
        </w:rPr>
        <w:t>,</w:t>
      </w:r>
      <w:r>
        <w:rPr>
          <w:vertAlign w:val="superscript"/>
          <w:lang w:val="it-IT"/>
        </w:rPr>
        <w:t xml:space="preserve"> </w:t>
      </w:r>
      <w:r w:rsidRPr="00B709BC">
        <w:rPr>
          <w:lang w:val="it-IT"/>
        </w:rPr>
        <w:t xml:space="preserve">Monica </w:t>
      </w:r>
      <w:r w:rsidRPr="005D0BAC">
        <w:rPr>
          <w:lang w:val="it-IT"/>
        </w:rPr>
        <w:t>Simonetti</w:t>
      </w:r>
      <w:r w:rsidRPr="005D0BAC">
        <w:rPr>
          <w:vertAlign w:val="superscript"/>
          <w:lang w:val="it-IT"/>
        </w:rPr>
        <w:t>1</w:t>
      </w:r>
      <w:r>
        <w:rPr>
          <w:lang w:val="it-IT"/>
        </w:rPr>
        <w:t xml:space="preserve">, </w:t>
      </w:r>
      <w:proofErr w:type="spellStart"/>
      <w:r w:rsidRPr="005D0BAC">
        <w:rPr>
          <w:lang w:val="it-IT"/>
        </w:rPr>
        <w:t>Annalaura</w:t>
      </w:r>
      <w:proofErr w:type="spellEnd"/>
      <w:r w:rsidRPr="00B709BC">
        <w:rPr>
          <w:lang w:val="it-IT"/>
        </w:rPr>
        <w:t xml:space="preserve"> Sabatucci</w:t>
      </w:r>
      <w:r w:rsidRPr="00B709BC">
        <w:rPr>
          <w:vertAlign w:val="superscript"/>
          <w:lang w:val="it-IT"/>
        </w:rPr>
        <w:t>1</w:t>
      </w:r>
      <w:r>
        <w:rPr>
          <w:lang w:val="it-IT"/>
        </w:rPr>
        <w:t xml:space="preserve">, </w:t>
      </w:r>
      <w:r w:rsidRPr="00B709BC">
        <w:rPr>
          <w:lang w:val="it-IT"/>
        </w:rPr>
        <w:t>Clotilde B. Angelucci</w:t>
      </w:r>
      <w:r w:rsidRPr="00B709BC">
        <w:rPr>
          <w:vertAlign w:val="superscript"/>
          <w:lang w:val="it-IT"/>
        </w:rPr>
        <w:t>3</w:t>
      </w:r>
      <w:r w:rsidRPr="00B709BC">
        <w:rPr>
          <w:lang w:val="it-IT"/>
        </w:rPr>
        <w:t>, Alice Ballone</w:t>
      </w:r>
      <w:r>
        <w:rPr>
          <w:vertAlign w:val="superscript"/>
          <w:lang w:val="it-IT"/>
        </w:rPr>
        <w:t>4</w:t>
      </w:r>
      <w:r w:rsidRPr="00B709BC">
        <w:rPr>
          <w:lang w:val="it-IT"/>
        </w:rPr>
        <w:t>, Beatrice Dufrusine</w:t>
      </w:r>
      <w:r w:rsidRPr="00B709BC">
        <w:rPr>
          <w:vertAlign w:val="superscript"/>
          <w:lang w:val="it-IT"/>
        </w:rPr>
        <w:t>1</w:t>
      </w:r>
      <w:r w:rsidRPr="00B709BC">
        <w:rPr>
          <w:lang w:val="it-IT"/>
        </w:rPr>
        <w:t xml:space="preserve">, </w:t>
      </w:r>
      <w:r>
        <w:rPr>
          <w:lang w:val="it-IT"/>
        </w:rPr>
        <w:t>Filomena Fezza</w:t>
      </w:r>
      <w:r>
        <w:rPr>
          <w:vertAlign w:val="superscript"/>
          <w:lang w:val="it-IT"/>
        </w:rPr>
        <w:t>5</w:t>
      </w:r>
      <w:r>
        <w:rPr>
          <w:lang w:val="it-IT"/>
        </w:rPr>
        <w:t xml:space="preserve">, </w:t>
      </w:r>
      <w:r w:rsidRPr="00B709BC">
        <w:rPr>
          <w:lang w:val="it-IT"/>
        </w:rPr>
        <w:t>Gianni De Fabritiis</w:t>
      </w:r>
      <w:r>
        <w:rPr>
          <w:vertAlign w:val="superscript"/>
          <w:lang w:val="it-IT"/>
        </w:rPr>
        <w:t>4</w:t>
      </w:r>
      <w:r>
        <w:rPr>
          <w:lang w:val="it-IT"/>
        </w:rPr>
        <w:t xml:space="preserve">, </w:t>
      </w:r>
      <w:r w:rsidRPr="00B709BC">
        <w:rPr>
          <w:lang w:val="it-IT"/>
        </w:rPr>
        <w:t>Mauro Maccarrone</w:t>
      </w:r>
      <w:r w:rsidRPr="00B709BC">
        <w:rPr>
          <w:vertAlign w:val="superscript"/>
          <w:lang w:val="it-IT"/>
        </w:rPr>
        <w:t>2</w:t>
      </w:r>
      <w:r>
        <w:rPr>
          <w:vertAlign w:val="superscript"/>
          <w:lang w:val="it-IT"/>
        </w:rPr>
        <w:t>,6</w:t>
      </w:r>
      <w:r w:rsidRPr="00B709BC">
        <w:rPr>
          <w:vertAlign w:val="superscript"/>
          <w:lang w:val="it-IT"/>
        </w:rPr>
        <w:t>*</w:t>
      </w:r>
    </w:p>
    <w:p w:rsidR="009906D7" w:rsidRDefault="009906D7" w:rsidP="009906D7">
      <w:pPr>
        <w:spacing w:line="480" w:lineRule="auto"/>
        <w:ind w:right="98"/>
        <w:jc w:val="both"/>
        <w:rPr>
          <w:i/>
        </w:rPr>
      </w:pPr>
      <w:r w:rsidRPr="00B709BC">
        <w:rPr>
          <w:i/>
          <w:vertAlign w:val="superscript"/>
        </w:rPr>
        <w:t>1</w:t>
      </w:r>
      <w:r w:rsidRPr="00B709BC">
        <w:rPr>
          <w:i/>
        </w:rPr>
        <w:t xml:space="preserve">Faculty of Biosciences, and Technology for Food Agriculture and Environment, University of Teramo, Teramo, Italy, </w:t>
      </w:r>
      <w:r w:rsidRPr="00B709BC">
        <w:rPr>
          <w:i/>
          <w:vertAlign w:val="superscript"/>
        </w:rPr>
        <w:t>2</w:t>
      </w:r>
      <w:r w:rsidRPr="00B709BC">
        <w:rPr>
          <w:i/>
        </w:rPr>
        <w:t xml:space="preserve">European </w:t>
      </w:r>
      <w:proofErr w:type="spellStart"/>
      <w:r w:rsidRPr="00B709BC">
        <w:rPr>
          <w:i/>
        </w:rPr>
        <w:t>Center</w:t>
      </w:r>
      <w:proofErr w:type="spellEnd"/>
      <w:r w:rsidRPr="00B709BC">
        <w:rPr>
          <w:i/>
        </w:rPr>
        <w:t xml:space="preserve"> for Brain Research (CERC)/Santa Lucia Foundation, Rome, Italy, </w:t>
      </w:r>
      <w:r w:rsidRPr="00B709BC">
        <w:rPr>
          <w:i/>
          <w:vertAlign w:val="superscript"/>
        </w:rPr>
        <w:t>3</w:t>
      </w:r>
      <w:r w:rsidRPr="00B709BC">
        <w:rPr>
          <w:i/>
        </w:rPr>
        <w:t>Faculty of Veterinary Medicine, University of Teramo, Italy,</w:t>
      </w:r>
      <w:r w:rsidRPr="00B709BC">
        <w:t xml:space="preserve"> </w:t>
      </w:r>
      <w:r w:rsidRPr="00B709BC">
        <w:rPr>
          <w:i/>
          <w:vertAlign w:val="superscript"/>
        </w:rPr>
        <w:t>4</w:t>
      </w:r>
      <w:r w:rsidRPr="00B709BC">
        <w:rPr>
          <w:i/>
        </w:rPr>
        <w:t xml:space="preserve">Barcelona Biomedical Research Park (PRBB), University of </w:t>
      </w:r>
      <w:proofErr w:type="spellStart"/>
      <w:r w:rsidRPr="00B709BC">
        <w:rPr>
          <w:i/>
        </w:rPr>
        <w:t>Pompeu</w:t>
      </w:r>
      <w:proofErr w:type="spellEnd"/>
      <w:r w:rsidRPr="00B709BC">
        <w:rPr>
          <w:i/>
        </w:rPr>
        <w:t xml:space="preserve"> </w:t>
      </w:r>
      <w:proofErr w:type="spellStart"/>
      <w:r w:rsidRPr="00B709BC">
        <w:rPr>
          <w:i/>
        </w:rPr>
        <w:t>Fabra</w:t>
      </w:r>
      <w:proofErr w:type="spellEnd"/>
      <w:r w:rsidRPr="00B709BC">
        <w:rPr>
          <w:i/>
        </w:rPr>
        <w:t>, Barcelona, Spain</w:t>
      </w:r>
      <w:r>
        <w:rPr>
          <w:i/>
        </w:rPr>
        <w:t xml:space="preserve">, </w:t>
      </w:r>
      <w:r>
        <w:rPr>
          <w:vertAlign w:val="superscript"/>
        </w:rPr>
        <w:t>5</w:t>
      </w:r>
      <w:r w:rsidRPr="004B09CD">
        <w:rPr>
          <w:i/>
        </w:rPr>
        <w:t xml:space="preserve">Department of Experimental Medicine and Surgery, Tor </w:t>
      </w:r>
      <w:proofErr w:type="spellStart"/>
      <w:r w:rsidRPr="004B09CD">
        <w:rPr>
          <w:i/>
        </w:rPr>
        <w:t>Vergata</w:t>
      </w:r>
      <w:proofErr w:type="spellEnd"/>
      <w:r w:rsidRPr="004B09CD">
        <w:rPr>
          <w:i/>
        </w:rPr>
        <w:t xml:space="preserve"> University of Rome, Rome, Italy</w:t>
      </w:r>
      <w:r>
        <w:rPr>
          <w:i/>
        </w:rPr>
        <w:t xml:space="preserve">, </w:t>
      </w:r>
      <w:r w:rsidRPr="000635F8">
        <w:rPr>
          <w:vertAlign w:val="superscript"/>
        </w:rPr>
        <w:t>6</w:t>
      </w:r>
      <w:r w:rsidRPr="000635F8">
        <w:rPr>
          <w:i/>
        </w:rPr>
        <w:t>Department of Medicine - Campus Bio-Medico University of Rome, Rome, Italy.</w:t>
      </w:r>
    </w:p>
    <w:p w:rsidR="009906D7" w:rsidRDefault="009906D7" w:rsidP="009906D7">
      <w:pPr>
        <w:spacing w:line="480" w:lineRule="auto"/>
        <w:jc w:val="both"/>
        <w:rPr>
          <w:i/>
        </w:rPr>
      </w:pPr>
    </w:p>
    <w:p w:rsidR="009906D7" w:rsidRDefault="009906D7" w:rsidP="009906D7">
      <w:pPr>
        <w:spacing w:line="480" w:lineRule="auto"/>
        <w:jc w:val="both"/>
      </w:pPr>
      <w:r w:rsidRPr="00B709BC">
        <w:rPr>
          <w:i/>
        </w:rPr>
        <w:t>Short title</w:t>
      </w:r>
      <w:r w:rsidRPr="00B709BC">
        <w:t xml:space="preserve">: </w:t>
      </w:r>
      <w:r>
        <w:t xml:space="preserve">Allosteric </w:t>
      </w:r>
      <w:r w:rsidRPr="00B709BC">
        <w:t xml:space="preserve">FAAH </w:t>
      </w:r>
    </w:p>
    <w:p w:rsidR="009906D7" w:rsidRDefault="009906D7" w:rsidP="009906D7">
      <w:pPr>
        <w:spacing w:line="480" w:lineRule="auto"/>
        <w:jc w:val="both"/>
      </w:pPr>
    </w:p>
    <w:p w:rsidR="009906D7" w:rsidRPr="00B709BC" w:rsidRDefault="009906D7" w:rsidP="009906D7">
      <w:pPr>
        <w:spacing w:line="480" w:lineRule="auto"/>
        <w:jc w:val="both"/>
      </w:pPr>
      <w:r w:rsidRPr="00800EF3">
        <w:rPr>
          <w:vertAlign w:val="superscript"/>
        </w:rPr>
        <w:t>§</w:t>
      </w:r>
      <w:r>
        <w:t>Equally first authors</w:t>
      </w:r>
    </w:p>
    <w:p w:rsidR="009906D7" w:rsidRPr="00B709BC" w:rsidRDefault="009906D7" w:rsidP="009906D7">
      <w:pPr>
        <w:spacing w:line="480" w:lineRule="auto"/>
        <w:ind w:right="486"/>
        <w:jc w:val="both"/>
      </w:pPr>
    </w:p>
    <w:p w:rsidR="009906D7" w:rsidRPr="00B709BC" w:rsidRDefault="009906D7" w:rsidP="009906D7">
      <w:pPr>
        <w:spacing w:line="480" w:lineRule="auto"/>
        <w:ind w:right="486"/>
        <w:jc w:val="both"/>
      </w:pPr>
      <w:r w:rsidRPr="00B709BC">
        <w:t>*</w:t>
      </w:r>
      <w:r w:rsidRPr="00B709BC">
        <w:rPr>
          <w:i/>
        </w:rPr>
        <w:t>Corresponding authors</w:t>
      </w:r>
      <w:r w:rsidRPr="00B709BC">
        <w:t>: e-mail: edaines</w:t>
      </w:r>
      <w:r>
        <w:t>e@unite.it, tel. and f</w:t>
      </w:r>
      <w:r w:rsidRPr="00B709BC">
        <w:t xml:space="preserve">ax +39 0861 266876; m.maccarrone@unicampus.it, tel. and </w:t>
      </w:r>
      <w:r>
        <w:t>f</w:t>
      </w:r>
      <w:r w:rsidRPr="00B709BC">
        <w:t>ax: +39 06 2254 19169.</w:t>
      </w:r>
    </w:p>
    <w:p w:rsidR="009906D7" w:rsidRPr="00DF3CB9" w:rsidRDefault="009906D7" w:rsidP="009906D7">
      <w:pPr>
        <w:spacing w:line="480" w:lineRule="auto"/>
        <w:ind w:right="486"/>
        <w:jc w:val="both"/>
      </w:pPr>
    </w:p>
    <w:p w:rsidR="009906D7" w:rsidRPr="00DF3CB9" w:rsidRDefault="009906D7" w:rsidP="009906D7">
      <w:pPr>
        <w:spacing w:after="200" w:line="480" w:lineRule="auto"/>
        <w:jc w:val="both"/>
      </w:pPr>
      <w:r w:rsidRPr="00DF3CB9">
        <w:br w:type="page"/>
      </w:r>
    </w:p>
    <w:p w:rsidR="009906D7" w:rsidRDefault="009906D7" w:rsidP="009906D7">
      <w:pPr>
        <w:spacing w:line="480" w:lineRule="auto"/>
        <w:jc w:val="both"/>
        <w:rPr>
          <w:b/>
        </w:rPr>
      </w:pPr>
      <w:r w:rsidRPr="00B709BC">
        <w:rPr>
          <w:b/>
        </w:rPr>
        <w:lastRenderedPageBreak/>
        <w:t>Legend</w:t>
      </w:r>
      <w:r>
        <w:rPr>
          <w:b/>
        </w:rPr>
        <w:t>s</w:t>
      </w:r>
      <w:r w:rsidRPr="00B709BC">
        <w:rPr>
          <w:b/>
        </w:rPr>
        <w:t xml:space="preserve"> to</w:t>
      </w:r>
      <w:r>
        <w:rPr>
          <w:b/>
        </w:rPr>
        <w:t xml:space="preserve"> Supplementary F</w:t>
      </w:r>
      <w:r w:rsidRPr="00B709BC">
        <w:rPr>
          <w:b/>
        </w:rPr>
        <w:t>igure</w:t>
      </w:r>
    </w:p>
    <w:p w:rsidR="009906D7" w:rsidRPr="000E43ED" w:rsidRDefault="009906D7" w:rsidP="009906D7">
      <w:pPr>
        <w:spacing w:line="480" w:lineRule="auto"/>
        <w:jc w:val="both"/>
      </w:pPr>
      <w:r>
        <w:rPr>
          <w:b/>
          <w:lang w:val="en-US"/>
        </w:rPr>
        <w:t>Supplementary Figure 1.</w:t>
      </w:r>
      <w:r w:rsidRPr="00D4549B">
        <w:rPr>
          <w:b/>
        </w:rPr>
        <w:t xml:space="preserve"> </w:t>
      </w:r>
      <w:r w:rsidRPr="009E3A70">
        <w:rPr>
          <w:b/>
        </w:rPr>
        <w:t xml:space="preserve">Dependence of </w:t>
      </w:r>
      <w:proofErr w:type="spellStart"/>
      <w:r w:rsidRPr="009E3A70">
        <w:rPr>
          <w:b/>
        </w:rPr>
        <w:t>rFAAH</w:t>
      </w:r>
      <w:proofErr w:type="spellEnd"/>
      <w:r w:rsidRPr="009E3A70">
        <w:rPr>
          <w:b/>
        </w:rPr>
        <w:t xml:space="preserve"> </w:t>
      </w:r>
      <w:r>
        <w:rPr>
          <w:b/>
        </w:rPr>
        <w:t xml:space="preserve">and </w:t>
      </w:r>
      <w:proofErr w:type="spellStart"/>
      <w:r>
        <w:rPr>
          <w:b/>
        </w:rPr>
        <w:t>hFAAH</w:t>
      </w:r>
      <w:proofErr w:type="spellEnd"/>
      <w:r>
        <w:rPr>
          <w:b/>
        </w:rPr>
        <w:t xml:space="preserve"> </w:t>
      </w:r>
      <w:r w:rsidRPr="009E3A70">
        <w:rPr>
          <w:b/>
        </w:rPr>
        <w:t>activit</w:t>
      </w:r>
      <w:r>
        <w:rPr>
          <w:b/>
        </w:rPr>
        <w:t>ies</w:t>
      </w:r>
      <w:r w:rsidRPr="009E3A70">
        <w:rPr>
          <w:b/>
        </w:rPr>
        <w:t xml:space="preserve"> on substrate concentration.</w:t>
      </w:r>
      <w:r>
        <w:rPr>
          <w:b/>
        </w:rPr>
        <w:t xml:space="preserve"> </w:t>
      </w:r>
      <w:r w:rsidRPr="00814A8F">
        <w:t xml:space="preserve">Both </w:t>
      </w:r>
      <w:proofErr w:type="spellStart"/>
      <w:r w:rsidRPr="00814A8F">
        <w:t>r</w:t>
      </w:r>
      <w:r w:rsidRPr="009E3A70">
        <w:t>FAAH</w:t>
      </w:r>
      <w:proofErr w:type="spellEnd"/>
      <w:r w:rsidRPr="009E3A70">
        <w:t xml:space="preserve"> </w:t>
      </w:r>
      <w:r>
        <w:t xml:space="preserve">(A) and </w:t>
      </w:r>
      <w:proofErr w:type="spellStart"/>
      <w:r>
        <w:t>hFAAH</w:t>
      </w:r>
      <w:proofErr w:type="spellEnd"/>
      <w:r>
        <w:t xml:space="preserve"> </w:t>
      </w:r>
      <w:r w:rsidRPr="009E3A70">
        <w:t>(</w:t>
      </w:r>
      <w:r>
        <w:t>B</w:t>
      </w:r>
      <w:r w:rsidRPr="009E3A70">
        <w:t>)</w:t>
      </w:r>
      <w:r>
        <w:t xml:space="preserve"> </w:t>
      </w:r>
      <w:r w:rsidRPr="009E3A70">
        <w:t xml:space="preserve">show a </w:t>
      </w:r>
      <w:r>
        <w:t>substrate dependence</w:t>
      </w:r>
      <w:r w:rsidRPr="009E3A70">
        <w:t xml:space="preserve"> that is </w:t>
      </w:r>
      <w:r>
        <w:t>better</w:t>
      </w:r>
      <w:r w:rsidRPr="009E3A70">
        <w:t xml:space="preserve"> fitted by </w:t>
      </w:r>
      <w:r>
        <w:t xml:space="preserve">the Hill equation than by </w:t>
      </w:r>
      <w:r w:rsidRPr="009E3A70">
        <w:t xml:space="preserve">non-linear regression </w:t>
      </w:r>
      <w:r>
        <w:t>through</w:t>
      </w:r>
      <w:r w:rsidRPr="009E3A70">
        <w:t xml:space="preserve"> the Michaelis-Menten equation </w:t>
      </w:r>
      <w:r>
        <w:t>(see text for further details).</w:t>
      </w:r>
    </w:p>
    <w:p w:rsidR="009906D7" w:rsidRDefault="009906D7" w:rsidP="009906D7">
      <w:pPr>
        <w:spacing w:line="480" w:lineRule="auto"/>
        <w:jc w:val="both"/>
        <w:rPr>
          <w:lang w:val="en-US"/>
        </w:rPr>
      </w:pPr>
    </w:p>
    <w:p w:rsidR="009906D7" w:rsidRPr="00DF3CB9" w:rsidRDefault="009906D7" w:rsidP="009906D7">
      <w:pPr>
        <w:spacing w:line="480" w:lineRule="auto"/>
        <w:jc w:val="both"/>
        <w:rPr>
          <w:lang w:val="en-US"/>
        </w:rPr>
      </w:pPr>
    </w:p>
    <w:p w:rsidR="009906D7" w:rsidRDefault="009906D7" w:rsidP="009906D7">
      <w:pPr>
        <w:spacing w:after="200" w:line="276" w:lineRule="auto"/>
        <w:jc w:val="both"/>
        <w:rPr>
          <w:b/>
          <w:lang w:val="en-US"/>
        </w:rPr>
      </w:pPr>
      <w:r>
        <w:rPr>
          <w:b/>
          <w:lang w:val="en-US"/>
        </w:rPr>
        <w:br w:type="page"/>
      </w:r>
    </w:p>
    <w:p w:rsidR="009906D7" w:rsidRDefault="009906D7" w:rsidP="009906D7">
      <w:pPr>
        <w:spacing w:after="200" w:line="276" w:lineRule="auto"/>
        <w:rPr>
          <w:b/>
          <w:lang w:val="en-US"/>
        </w:rPr>
      </w:pPr>
      <w:r>
        <w:rPr>
          <w:b/>
          <w:lang w:val="en-US"/>
        </w:rPr>
        <w:lastRenderedPageBreak/>
        <w:t>Supplementary Figure 1</w:t>
      </w:r>
    </w:p>
    <w:p w:rsidR="009906D7" w:rsidRPr="005E3917" w:rsidRDefault="009906D7" w:rsidP="009906D7">
      <w:pPr>
        <w:spacing w:after="200" w:line="276" w:lineRule="auto"/>
        <w:rPr>
          <w:b/>
          <w:u w:val="single"/>
          <w:lang w:val="en-US"/>
        </w:rPr>
      </w:pPr>
    </w:p>
    <w:p w:rsidR="009906D7" w:rsidRPr="00CC12AA" w:rsidRDefault="009906D7" w:rsidP="009906D7">
      <w:pPr>
        <w:spacing w:after="200" w:line="276" w:lineRule="auto"/>
        <w:rPr>
          <w:b/>
          <w:lang w:val="en-US"/>
        </w:rPr>
      </w:pPr>
      <w:r>
        <w:rPr>
          <w:b/>
          <w:noProof/>
          <w:lang w:val="en-US" w:eastAsia="en-US"/>
        </w:rPr>
        <w:drawing>
          <wp:inline distT="0" distB="0" distL="0" distR="0" wp14:anchorId="62C95AEF" wp14:editId="61B26FD8">
            <wp:extent cx="6120130" cy="2315210"/>
            <wp:effectExtent l="0" t="0" r="1270" b="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A cinetiche FAAH umana e ratto.tiff"/>
                    <pic:cNvPicPr/>
                  </pic:nvPicPr>
                  <pic:blipFill>
                    <a:blip r:embed="rId6"/>
                    <a:stretch>
                      <a:fillRect/>
                    </a:stretch>
                  </pic:blipFill>
                  <pic:spPr>
                    <a:xfrm>
                      <a:off x="0" y="0"/>
                      <a:ext cx="6120130" cy="2315210"/>
                    </a:xfrm>
                    <a:prstGeom prst="rect">
                      <a:avLst/>
                    </a:prstGeom>
                  </pic:spPr>
                </pic:pic>
              </a:graphicData>
            </a:graphic>
          </wp:inline>
        </w:drawing>
      </w:r>
    </w:p>
    <w:p w:rsidR="009906D7" w:rsidRDefault="009906D7" w:rsidP="009906D7">
      <w:pPr>
        <w:spacing w:line="480" w:lineRule="auto"/>
        <w:jc w:val="both"/>
      </w:pPr>
    </w:p>
    <w:p w:rsidR="009906D7" w:rsidRDefault="009906D7" w:rsidP="009906D7">
      <w:pPr>
        <w:spacing w:line="480" w:lineRule="auto"/>
        <w:jc w:val="both"/>
      </w:pPr>
    </w:p>
    <w:p w:rsidR="009906D7" w:rsidRPr="00DF3CB9" w:rsidRDefault="009906D7" w:rsidP="009906D7">
      <w:pPr>
        <w:spacing w:line="480" w:lineRule="auto"/>
        <w:jc w:val="both"/>
        <w:rPr>
          <w:b/>
          <w:lang w:val="en-US"/>
        </w:rPr>
      </w:pPr>
    </w:p>
    <w:p w:rsidR="009906D7" w:rsidRPr="00DF7F53" w:rsidRDefault="009906D7" w:rsidP="009906D7">
      <w:pPr>
        <w:widowControl w:val="0"/>
        <w:autoSpaceDE w:val="0"/>
        <w:autoSpaceDN w:val="0"/>
        <w:adjustRightInd w:val="0"/>
        <w:ind w:left="640" w:hanging="640"/>
        <w:rPr>
          <w:lang w:val="en-US"/>
        </w:rPr>
      </w:pPr>
    </w:p>
    <w:p w:rsidR="009906D7" w:rsidRDefault="009906D7" w:rsidP="009906D7"/>
    <w:p w:rsidR="009906D7" w:rsidRDefault="009906D7" w:rsidP="009906D7">
      <w:pPr>
        <w:spacing w:line="480" w:lineRule="auto"/>
        <w:jc w:val="both"/>
        <w:rPr>
          <w:b/>
          <w:lang w:val="en-US"/>
        </w:rPr>
      </w:pPr>
    </w:p>
    <w:p w:rsidR="009906D7" w:rsidRDefault="009906D7" w:rsidP="009906D7">
      <w:pPr>
        <w:spacing w:line="480" w:lineRule="auto"/>
        <w:jc w:val="both"/>
        <w:rPr>
          <w:b/>
          <w:lang w:val="en-US"/>
        </w:rPr>
      </w:pPr>
    </w:p>
    <w:p w:rsidR="009906D7" w:rsidRDefault="009906D7" w:rsidP="009906D7">
      <w:pPr>
        <w:spacing w:line="480" w:lineRule="auto"/>
        <w:jc w:val="both"/>
        <w:rPr>
          <w:b/>
          <w:lang w:val="en-US"/>
        </w:rPr>
      </w:pPr>
    </w:p>
    <w:p w:rsidR="009906D7" w:rsidRDefault="009906D7" w:rsidP="009906D7">
      <w:pPr>
        <w:spacing w:line="480" w:lineRule="auto"/>
        <w:jc w:val="both"/>
        <w:rPr>
          <w:b/>
          <w:lang w:val="en-US"/>
        </w:rPr>
      </w:pPr>
    </w:p>
    <w:p w:rsidR="009906D7" w:rsidRDefault="009906D7" w:rsidP="009906D7">
      <w:pPr>
        <w:spacing w:line="480" w:lineRule="auto"/>
        <w:jc w:val="both"/>
        <w:rPr>
          <w:b/>
          <w:lang w:val="en-US"/>
        </w:rPr>
      </w:pPr>
    </w:p>
    <w:p w:rsidR="009906D7" w:rsidRDefault="009906D7" w:rsidP="009906D7">
      <w:pPr>
        <w:spacing w:line="480" w:lineRule="auto"/>
        <w:jc w:val="both"/>
        <w:rPr>
          <w:b/>
          <w:lang w:val="en-US"/>
        </w:rPr>
      </w:pPr>
    </w:p>
    <w:p w:rsidR="009906D7" w:rsidRPr="00DF3CB9" w:rsidRDefault="009906D7" w:rsidP="009906D7">
      <w:pPr>
        <w:spacing w:line="480" w:lineRule="auto"/>
        <w:jc w:val="both"/>
        <w:rPr>
          <w:b/>
          <w:lang w:val="en-US"/>
        </w:rPr>
      </w:pPr>
      <w:r w:rsidRPr="00DF3CB9">
        <w:rPr>
          <w:b/>
          <w:lang w:val="en-US"/>
        </w:rPr>
        <w:t>Supplementary Methods</w:t>
      </w:r>
    </w:p>
    <w:p w:rsidR="009906D7" w:rsidRPr="00D90D89" w:rsidRDefault="009906D7" w:rsidP="009906D7">
      <w:pPr>
        <w:spacing w:line="480" w:lineRule="auto"/>
        <w:jc w:val="both"/>
        <w:rPr>
          <w:b/>
          <w:i/>
          <w:lang w:eastAsia="en-IN"/>
        </w:rPr>
      </w:pPr>
      <w:r>
        <w:rPr>
          <w:b/>
          <w:i/>
          <w:lang w:eastAsia="en-IN"/>
        </w:rPr>
        <w:t>Molecular dynamics</w:t>
      </w:r>
    </w:p>
    <w:p w:rsidR="009906D7" w:rsidRDefault="009906D7" w:rsidP="009906D7">
      <w:pPr>
        <w:spacing w:line="480" w:lineRule="auto"/>
        <w:ind w:firstLine="709"/>
        <w:jc w:val="both"/>
        <w:rPr>
          <w:lang w:eastAsia="en-IN"/>
        </w:rPr>
      </w:pPr>
      <w:r w:rsidRPr="00DF3CB9">
        <w:rPr>
          <w:lang w:eastAsia="en-IN"/>
        </w:rPr>
        <w:t>All systems were prepared using HTMD</w:t>
      </w:r>
      <w:r>
        <w:rPr>
          <w:lang w:eastAsia="en-IN"/>
        </w:rPr>
        <w:t xml:space="preserve"> </w:t>
      </w:r>
      <w:r>
        <w:rPr>
          <w:lang w:eastAsia="en-IN"/>
        </w:rPr>
        <w:fldChar w:fldCharType="begin" w:fldLock="1"/>
      </w:r>
      <w:r>
        <w:rPr>
          <w:lang w:eastAsia="en-IN"/>
        </w:rPr>
        <w:instrText>ADDIN CSL_CITATION {"citationItems":[{"id":"ITEM-1","itemData":{"DOI":"10.1021/acs.jctc.6b00049","ISSN":"1549-9626","PMID":"26949976","abstract":"Recent advances in molecular simulations have allowed scientists to investigate slower biological processes than ever before. Together with these advances came an explosion of data that has transformed a traditionally computing-bound into a data-bound problem. Here, we present HTMD, a programmable, extensible platform written in Python that aims to solve the data generation and analysis problem as well as increase reproducibility by providing a complete workspace for simulation-based discovery. So far, HTMD includes system building for CHARMM and AMBER force fields, projection methods, clustering, molecular simulation production, adaptive sampling, an Amazon cloud interface, Markov state models, and visualization. As a result, a single, short HTMD script can lead from a PDB structure to useful quantities such as relaxation time scales, equilibrium populations, metastable conformations, and kinetic rates. In this paper, we focus on the adaptive sampling and Markov state modeling features.","author":[{"dropping-particle":"","family":"Doerr","given":"S","non-dropping-particle":"","parse-names":false,"suffix":""},{"dropping-particle":"","family":"Harvey","given":"M J","non-dropping-particle":"","parse-names":false,"suffix":""},{"dropping-particle":"","family":"Noé","given":"Frank","non-dropping-particle":"","parse-names":false,"suffix":""},{"dropping-particle":"","family":"Fabritiis","given":"G","non-dropping-particle":"De","parse-names":false,"suffix":""}],"container-title":"Journal of chemical theory and computation","id":"ITEM-1","issue":"4","issued":{"date-parts":[["2016","4","12"]]},"page":"1845-52","title":"HTMD: High-Throughput Molecular Dynamics for Molecular Discovery.","type":"article-journal","volume":"12"},"uris":["http://www.mendeley.com/documents/?uuid=c0495677-2ac5-31ed-bcd1-31b4b6402ee3"]}],"mendeley":{"formattedCitation":"&lt;sup&gt;1&lt;/sup&gt;","plainTextFormattedCitation":"1","previouslyFormattedCitation":"&lt;sup&gt;50&lt;/sup&gt;"},"properties":{"noteIndex":0},"schema":"https://github.com/citation-style-language/schema/raw/master/csl-citation.json"}</w:instrText>
      </w:r>
      <w:r>
        <w:rPr>
          <w:lang w:eastAsia="en-IN"/>
        </w:rPr>
        <w:fldChar w:fldCharType="separate"/>
      </w:r>
      <w:r w:rsidRPr="002673CE">
        <w:rPr>
          <w:noProof/>
          <w:vertAlign w:val="superscript"/>
          <w:lang w:eastAsia="en-IN"/>
        </w:rPr>
        <w:t>1</w:t>
      </w:r>
      <w:r>
        <w:rPr>
          <w:lang w:eastAsia="en-IN"/>
        </w:rPr>
        <w:fldChar w:fldCharType="end"/>
      </w:r>
      <w:r w:rsidRPr="00DF3CB9">
        <w:rPr>
          <w:lang w:eastAsia="en-IN"/>
        </w:rPr>
        <w:t>, embedded in a POPC membrane, solvated in 0.15</w:t>
      </w:r>
      <w:r>
        <w:rPr>
          <w:lang w:eastAsia="en-IN"/>
        </w:rPr>
        <w:t xml:space="preserve"> </w:t>
      </w:r>
      <w:r w:rsidRPr="00DF3CB9">
        <w:rPr>
          <w:lang w:eastAsia="en-IN"/>
        </w:rPr>
        <w:t>M NaCl and kept them electrically neutral. Each system was minimized and relaxed under NPT conditions for 24 ns at 1</w:t>
      </w:r>
      <w:r>
        <w:rPr>
          <w:lang w:eastAsia="en-IN"/>
        </w:rPr>
        <w:t xml:space="preserve"> </w:t>
      </w:r>
      <w:proofErr w:type="spellStart"/>
      <w:r w:rsidRPr="00DF3CB9">
        <w:rPr>
          <w:lang w:eastAsia="en-IN"/>
        </w:rPr>
        <w:t>atm</w:t>
      </w:r>
      <w:proofErr w:type="spellEnd"/>
      <w:r w:rsidRPr="00DF3CB9">
        <w:rPr>
          <w:lang w:eastAsia="en-IN"/>
        </w:rPr>
        <w:t xml:space="preserve"> and 300</w:t>
      </w:r>
      <w:r>
        <w:rPr>
          <w:lang w:eastAsia="en-IN"/>
        </w:rPr>
        <w:t xml:space="preserve"> </w:t>
      </w:r>
      <w:r w:rsidRPr="00DF3CB9">
        <w:rPr>
          <w:lang w:eastAsia="en-IN"/>
        </w:rPr>
        <w:t xml:space="preserve">K using a time-step of 4 </w:t>
      </w:r>
      <w:proofErr w:type="spellStart"/>
      <w:r w:rsidRPr="00DF3CB9">
        <w:rPr>
          <w:lang w:eastAsia="en-IN"/>
        </w:rPr>
        <w:t>ps</w:t>
      </w:r>
      <w:proofErr w:type="spellEnd"/>
      <w:r w:rsidRPr="00DF3CB9">
        <w:rPr>
          <w:lang w:eastAsia="en-IN"/>
        </w:rPr>
        <w:t>, rigid bonds, cut-off of 9 Å and PME for long range electrostatics using the software ACEMD</w:t>
      </w:r>
      <w:r>
        <w:rPr>
          <w:lang w:eastAsia="en-IN"/>
        </w:rPr>
        <w:fldChar w:fldCharType="begin" w:fldLock="1"/>
      </w:r>
      <w:r>
        <w:rPr>
          <w:lang w:eastAsia="en-IN"/>
        </w:rPr>
        <w:instrText>ADDIN CSL_CITATION {"citationItems":[{"id":"ITEM-1","itemData":{"DOI":"10.1021/ct9000685","ISSN":"1549-9618","PMID":"26609855","abstract":"The high arithmetic performance and intrinsic parallelism of recent graphical processing units (GPUs) can offer a technological edge for molecular dynamics simulations. ACEMD is a production-class biomolecular dynamics (MD) engine supporting CHARMM and AMBER force fields. Designed specifically for GPUs it is able to achieve supercomputing scale performance of 40 ns/day for all-atom protein systems with over 23 000 atoms. We provide a validation and performance evaluation of the code and run a microsecond-long trajectory for an all-atom molecular system in explicit TIP3P water on a single workstation computer equipped with just 3 GPUs. We believe that microsecond time scale molecular dynamics on cost-effective hardware will have important methodological and scientific implications.","author":[{"dropping-particle":"","family":"Harvey","given":"M J","non-dropping-particle":"","parse-names":false,"suffix":""},{"dropping-particle":"","family":"Giupponi","given":"G","non-dropping-particle":"","parse-names":false,"suffix":""},{"dropping-particle":"De","family":"Fabritiis","given":"G","non-dropping-particle":"","parse-names":false,"suffix":""}],"container-title":"Journal of chemical theory and computation","id":"ITEM-1","issue":"6","issued":{"date-parts":[["2009","6","9"]]},"page":"1632-9","title":"ACEMD: Accelerating Biomolecular Dynamics in the Microsecond Time Scale.","type":"article-journal","volume":"5"},"uris":["http://www.mendeley.com/documents/?uuid=8cc88617-3890-33d1-8c9b-fb3266780e94"]}],"mendeley":{"formattedCitation":"&lt;sup&gt;2&lt;/sup&gt;","plainTextFormattedCitation":"2","previouslyFormattedCitation":"&lt;sup&gt;49&lt;/sup&gt;"},"properties":{"noteIndex":0},"schema":"https://github.com/citation-style-language/schema/raw/master/csl-citation.json"}</w:instrText>
      </w:r>
      <w:r>
        <w:rPr>
          <w:lang w:eastAsia="en-IN"/>
        </w:rPr>
        <w:fldChar w:fldCharType="separate"/>
      </w:r>
      <w:r w:rsidRPr="002673CE">
        <w:rPr>
          <w:noProof/>
          <w:vertAlign w:val="superscript"/>
          <w:lang w:eastAsia="en-IN"/>
        </w:rPr>
        <w:t>2</w:t>
      </w:r>
      <w:r>
        <w:rPr>
          <w:lang w:eastAsia="en-IN"/>
        </w:rPr>
        <w:fldChar w:fldCharType="end"/>
      </w:r>
      <w:r w:rsidRPr="00DF3CB9">
        <w:rPr>
          <w:lang w:eastAsia="en-IN"/>
        </w:rPr>
        <w:t>. Production simulations were run in an in-house workstation equipped with graphical processing units (GPUs), having a time-step of 4</w:t>
      </w:r>
      <w:r>
        <w:rPr>
          <w:lang w:eastAsia="en-IN"/>
        </w:rPr>
        <w:t xml:space="preserve"> </w:t>
      </w:r>
      <w:r w:rsidRPr="00DF3CB9">
        <w:rPr>
          <w:lang w:eastAsia="en-IN"/>
        </w:rPr>
        <w:t xml:space="preserve">fs </w:t>
      </w:r>
      <w:r w:rsidRPr="00DF3CB9">
        <w:rPr>
          <w:lang w:eastAsia="en-IN"/>
        </w:rPr>
        <w:lastRenderedPageBreak/>
        <w:t xml:space="preserve">at 1 </w:t>
      </w:r>
      <w:proofErr w:type="spellStart"/>
      <w:r w:rsidRPr="00DF3CB9">
        <w:rPr>
          <w:lang w:eastAsia="en-IN"/>
        </w:rPr>
        <w:t>atm</w:t>
      </w:r>
      <w:proofErr w:type="spellEnd"/>
      <w:r w:rsidRPr="00DF3CB9">
        <w:rPr>
          <w:lang w:eastAsia="en-IN"/>
        </w:rPr>
        <w:t xml:space="preserve"> and 300 K using a Langevin thermostat with damping of 0.1 ps</w:t>
      </w:r>
      <w:r w:rsidR="00583DC4">
        <w:rPr>
          <w:lang w:eastAsia="en-IN"/>
        </w:rPr>
        <w:t>.</w:t>
      </w:r>
      <w:bookmarkStart w:id="0" w:name="_GoBack"/>
      <w:bookmarkEnd w:id="0"/>
      <w:r w:rsidRPr="00DF3CB9">
        <w:rPr>
          <w:lang w:eastAsia="en-IN"/>
        </w:rPr>
        <w:t xml:space="preserve"> Each replica was run for 1 </w:t>
      </w:r>
      <w:proofErr w:type="spellStart"/>
      <w:r w:rsidRPr="00DF3CB9">
        <w:rPr>
          <w:lang w:eastAsia="en-IN"/>
        </w:rPr>
        <w:t>μs</w:t>
      </w:r>
      <w:proofErr w:type="spellEnd"/>
      <w:r w:rsidRPr="00DF3CB9">
        <w:rPr>
          <w:lang w:eastAsia="en-IN"/>
        </w:rPr>
        <w:t xml:space="preserve"> giving a total ensemble of simulation time of 4 </w:t>
      </w:r>
      <w:proofErr w:type="spellStart"/>
      <w:r w:rsidRPr="00DF3CB9">
        <w:rPr>
          <w:lang w:eastAsia="en-IN"/>
        </w:rPr>
        <w:t>μs</w:t>
      </w:r>
      <w:proofErr w:type="spellEnd"/>
      <w:r w:rsidRPr="00DF3CB9">
        <w:rPr>
          <w:lang w:eastAsia="en-IN"/>
        </w:rPr>
        <w:t xml:space="preserve">. During the production runs, a flat-bottom restraining potential with a size of ~15 Å x ~35 Å x ~20 Å was applied to each monomer’s </w:t>
      </w:r>
      <w:proofErr w:type="spellStart"/>
      <w:r w:rsidRPr="00DF3CB9">
        <w:rPr>
          <w:lang w:eastAsia="en-IN"/>
        </w:rPr>
        <w:t>center</w:t>
      </w:r>
      <w:proofErr w:type="spellEnd"/>
      <w:r w:rsidRPr="00DF3CB9">
        <w:rPr>
          <w:lang w:eastAsia="en-IN"/>
        </w:rPr>
        <w:t xml:space="preserve"> of mass. The flat-bottom, without affecting the physical properties of FAAH-membrane system, prevented the rotation of the protein during the simulations. The force constant used for the flat-bottom restraint was 5 kcal/mol/A</w:t>
      </w:r>
      <w:r w:rsidRPr="00DF3CB9">
        <w:rPr>
          <w:vertAlign w:val="superscript"/>
          <w:lang w:eastAsia="en-IN"/>
        </w:rPr>
        <w:t>2</w:t>
      </w:r>
      <w:r w:rsidRPr="00DF3CB9">
        <w:rPr>
          <w:lang w:eastAsia="en-IN"/>
        </w:rPr>
        <w:t>.</w:t>
      </w:r>
    </w:p>
    <w:p w:rsidR="009906D7" w:rsidRPr="00DF3CB9" w:rsidRDefault="009906D7" w:rsidP="009906D7">
      <w:pPr>
        <w:spacing w:line="480" w:lineRule="auto"/>
        <w:ind w:firstLine="709"/>
        <w:jc w:val="both"/>
        <w:rPr>
          <w:lang w:eastAsia="en-IN"/>
        </w:rPr>
      </w:pPr>
    </w:p>
    <w:p w:rsidR="009906D7" w:rsidRPr="00D90D89" w:rsidRDefault="009906D7" w:rsidP="009906D7">
      <w:pPr>
        <w:pStyle w:val="RefHead"/>
        <w:suppressAutoHyphens/>
        <w:spacing w:before="0" w:after="0" w:line="480" w:lineRule="auto"/>
        <w:contextualSpacing/>
        <w:jc w:val="both"/>
        <w:rPr>
          <w:rFonts w:ascii="Times New Roman" w:hAnsi="Times New Roman"/>
          <w:bCs/>
          <w:i/>
        </w:rPr>
      </w:pPr>
      <w:r w:rsidRPr="00D90D89">
        <w:rPr>
          <w:rFonts w:ascii="Times New Roman" w:hAnsi="Times New Roman"/>
          <w:bCs/>
          <w:i/>
        </w:rPr>
        <w:t>Building URB597 covalently bound to FAAH</w:t>
      </w:r>
    </w:p>
    <w:p w:rsidR="009906D7" w:rsidRDefault="009906D7" w:rsidP="009906D7">
      <w:pPr>
        <w:spacing w:line="480" w:lineRule="auto"/>
        <w:ind w:firstLine="709"/>
        <w:jc w:val="both"/>
      </w:pPr>
      <w:r w:rsidRPr="00DF3CB9">
        <w:t xml:space="preserve">We used Corina molecular editor software (available at http://www.molecular-networks.com/online_demos/corina_demo_interactive) to obtain the 3D-structure of the non-standard residue formed by the inhibitor </w:t>
      </w:r>
      <w:r>
        <w:t xml:space="preserve">URB597 </w:t>
      </w:r>
      <w:r w:rsidRPr="00DF3CB9">
        <w:t>covalently bonded to the catalytic nuc</w:t>
      </w:r>
      <w:r>
        <w:t>leophile S241 of FAAH</w:t>
      </w:r>
      <w:r w:rsidRPr="00DF3CB9">
        <w:t xml:space="preserve">. To interconvert the file format MOL obtained by Corina to MOL2 file, we used HTMD in order to parameterize the molecule by a derivative of the GAAMP tool included in HTMD. To define a RESI in the new topology file, coordinates of the </w:t>
      </w:r>
      <w:r>
        <w:t>S241</w:t>
      </w:r>
      <w:r w:rsidRPr="00DF3CB9">
        <w:t xml:space="preserve"> were taken from the CHARMM22star topology.</w:t>
      </w:r>
    </w:p>
    <w:p w:rsidR="009906D7" w:rsidRDefault="009906D7" w:rsidP="009906D7">
      <w:pPr>
        <w:spacing w:line="480" w:lineRule="auto"/>
        <w:ind w:firstLine="709"/>
        <w:jc w:val="both"/>
      </w:pPr>
    </w:p>
    <w:p w:rsidR="009906D7" w:rsidRPr="002673CE" w:rsidRDefault="009906D7" w:rsidP="009906D7">
      <w:pPr>
        <w:spacing w:line="480" w:lineRule="auto"/>
        <w:jc w:val="both"/>
        <w:rPr>
          <w:b/>
          <w:i/>
        </w:rPr>
      </w:pPr>
      <w:r w:rsidRPr="002673CE">
        <w:rPr>
          <w:b/>
          <w:i/>
        </w:rPr>
        <w:t>References</w:t>
      </w:r>
    </w:p>
    <w:p w:rsidR="009906D7" w:rsidRPr="002673CE" w:rsidRDefault="009906D7" w:rsidP="009906D7">
      <w:pPr>
        <w:widowControl w:val="0"/>
        <w:autoSpaceDE w:val="0"/>
        <w:autoSpaceDN w:val="0"/>
        <w:adjustRightInd w:val="0"/>
        <w:spacing w:line="480" w:lineRule="auto"/>
        <w:ind w:left="640" w:hanging="640"/>
        <w:rPr>
          <w:noProof/>
        </w:rPr>
      </w:pPr>
      <w:r>
        <w:rPr>
          <w:b/>
          <w:lang w:val="en-US"/>
        </w:rPr>
        <w:fldChar w:fldCharType="begin" w:fldLock="1"/>
      </w:r>
      <w:r>
        <w:rPr>
          <w:b/>
          <w:lang w:val="en-US"/>
        </w:rPr>
        <w:instrText xml:space="preserve">ADDIN Mendeley Bibliography CSL_BIBLIOGRAPHY </w:instrText>
      </w:r>
      <w:r>
        <w:rPr>
          <w:b/>
          <w:lang w:val="en-US"/>
        </w:rPr>
        <w:fldChar w:fldCharType="separate"/>
      </w:r>
      <w:r w:rsidRPr="002673CE">
        <w:rPr>
          <w:noProof/>
        </w:rPr>
        <w:t>1.</w:t>
      </w:r>
      <w:r w:rsidRPr="002673CE">
        <w:rPr>
          <w:noProof/>
        </w:rPr>
        <w:tab/>
        <w:t xml:space="preserve">Doerr, S., Harvey, M. J., Noé, F. &amp; De Fabritiis, G. HTMD: High-Throughput Molecular Dynamics for Molecular Discovery. </w:t>
      </w:r>
      <w:r w:rsidRPr="002673CE">
        <w:rPr>
          <w:i/>
          <w:iCs/>
          <w:noProof/>
        </w:rPr>
        <w:t>J. Chem. Theory Comput.</w:t>
      </w:r>
      <w:r w:rsidRPr="002673CE">
        <w:rPr>
          <w:noProof/>
        </w:rPr>
        <w:t xml:space="preserve"> </w:t>
      </w:r>
      <w:r w:rsidRPr="002673CE">
        <w:rPr>
          <w:b/>
          <w:bCs/>
          <w:noProof/>
        </w:rPr>
        <w:t>12</w:t>
      </w:r>
      <w:r w:rsidRPr="002673CE">
        <w:rPr>
          <w:noProof/>
        </w:rPr>
        <w:t>, 1845–52 (2016).</w:t>
      </w:r>
    </w:p>
    <w:p w:rsidR="009906D7" w:rsidRPr="002673CE" w:rsidRDefault="009906D7" w:rsidP="009906D7">
      <w:pPr>
        <w:widowControl w:val="0"/>
        <w:autoSpaceDE w:val="0"/>
        <w:autoSpaceDN w:val="0"/>
        <w:adjustRightInd w:val="0"/>
        <w:spacing w:line="480" w:lineRule="auto"/>
        <w:ind w:left="640" w:hanging="640"/>
        <w:rPr>
          <w:noProof/>
        </w:rPr>
      </w:pPr>
      <w:r w:rsidRPr="002673CE">
        <w:rPr>
          <w:noProof/>
        </w:rPr>
        <w:t>2.</w:t>
      </w:r>
      <w:r w:rsidRPr="002673CE">
        <w:rPr>
          <w:noProof/>
        </w:rPr>
        <w:tab/>
        <w:t xml:space="preserve">Harvey, M. J., Giupponi, G. &amp; Fabritiis, G. De. ACEMD: Accelerating Biomolecular Dynamics in the Microsecond Time Scale. </w:t>
      </w:r>
      <w:r w:rsidRPr="002673CE">
        <w:rPr>
          <w:i/>
          <w:iCs/>
          <w:noProof/>
        </w:rPr>
        <w:t>J. Chem. Theory Comput.</w:t>
      </w:r>
      <w:r w:rsidRPr="002673CE">
        <w:rPr>
          <w:noProof/>
        </w:rPr>
        <w:t xml:space="preserve"> </w:t>
      </w:r>
      <w:r w:rsidRPr="002673CE">
        <w:rPr>
          <w:b/>
          <w:bCs/>
          <w:noProof/>
        </w:rPr>
        <w:t>5</w:t>
      </w:r>
      <w:r w:rsidRPr="002673CE">
        <w:rPr>
          <w:noProof/>
        </w:rPr>
        <w:t>, 1632–9 (2009).</w:t>
      </w:r>
    </w:p>
    <w:p w:rsidR="009906D7" w:rsidRPr="008C2F57" w:rsidRDefault="009906D7" w:rsidP="009906D7">
      <w:pPr>
        <w:widowControl w:val="0"/>
        <w:autoSpaceDE w:val="0"/>
        <w:autoSpaceDN w:val="0"/>
        <w:adjustRightInd w:val="0"/>
        <w:rPr>
          <w:lang w:val="it-IT"/>
        </w:rPr>
      </w:pPr>
      <w:r>
        <w:rPr>
          <w:b/>
          <w:lang w:val="en-US"/>
        </w:rPr>
        <w:fldChar w:fldCharType="end"/>
      </w:r>
    </w:p>
    <w:p w:rsidR="008D36F5" w:rsidRDefault="008D36F5"/>
    <w:sectPr w:rsidR="008D36F5" w:rsidSect="00B50829">
      <w:footerReference w:type="default" r:id="rId7"/>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046E8" w:rsidRDefault="00D046E8">
      <w:r>
        <w:separator/>
      </w:r>
    </w:p>
  </w:endnote>
  <w:endnote w:type="continuationSeparator" w:id="0">
    <w:p w:rsidR="00D046E8" w:rsidRDefault="00D046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80397608"/>
      <w:docPartObj>
        <w:docPartGallery w:val="Page Numbers (Bottom of Page)"/>
        <w:docPartUnique/>
      </w:docPartObj>
    </w:sdtPr>
    <w:sdtEndPr/>
    <w:sdtContent>
      <w:p w:rsidR="00BD6A5A" w:rsidRDefault="009906D7">
        <w:pPr>
          <w:pStyle w:val="Pidipagina"/>
          <w:jc w:val="right"/>
        </w:pPr>
        <w:r>
          <w:fldChar w:fldCharType="begin"/>
        </w:r>
        <w:r>
          <w:instrText>PAGE   \* MERGEFORMAT</w:instrText>
        </w:r>
        <w:r>
          <w:fldChar w:fldCharType="separate"/>
        </w:r>
        <w:r w:rsidRPr="007C2DFB">
          <w:rPr>
            <w:noProof/>
            <w:lang w:val="it-IT"/>
          </w:rPr>
          <w:t>15</w:t>
        </w:r>
        <w:r>
          <w:fldChar w:fldCharType="end"/>
        </w:r>
      </w:p>
    </w:sdtContent>
  </w:sdt>
  <w:p w:rsidR="00BD6A5A" w:rsidRDefault="00D046E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046E8" w:rsidRDefault="00D046E8">
      <w:r>
        <w:separator/>
      </w:r>
    </w:p>
  </w:footnote>
  <w:footnote w:type="continuationSeparator" w:id="0">
    <w:p w:rsidR="00D046E8" w:rsidRDefault="00D046E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3"/>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6D7"/>
    <w:rsid w:val="00430872"/>
    <w:rsid w:val="005821D9"/>
    <w:rsid w:val="00583DC4"/>
    <w:rsid w:val="008D36F5"/>
    <w:rsid w:val="009906D7"/>
    <w:rsid w:val="00D046E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3E8A9770"/>
  <w15:chartTrackingRefBased/>
  <w15:docId w15:val="{B9F70A22-340C-E74D-950A-C5C3513B7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906D7"/>
    <w:rPr>
      <w:rFonts w:ascii="Times New Roman" w:eastAsia="Times New Roman" w:hAnsi="Times New Roman" w:cs="Times New Roman"/>
      <w:lang w:val="en-GB"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unhideWhenUsed/>
    <w:rsid w:val="009906D7"/>
    <w:pPr>
      <w:tabs>
        <w:tab w:val="center" w:pos="4819"/>
        <w:tab w:val="right" w:pos="9638"/>
      </w:tabs>
    </w:pPr>
  </w:style>
  <w:style w:type="character" w:customStyle="1" w:styleId="PidipaginaCarattere">
    <w:name w:val="Piè di pagina Carattere"/>
    <w:basedOn w:val="Carpredefinitoparagrafo"/>
    <w:link w:val="Pidipagina"/>
    <w:uiPriority w:val="99"/>
    <w:rsid w:val="009906D7"/>
    <w:rPr>
      <w:rFonts w:ascii="Times New Roman" w:eastAsia="Times New Roman" w:hAnsi="Times New Roman" w:cs="Times New Roman"/>
      <w:lang w:val="en-GB" w:eastAsia="it-IT"/>
    </w:rPr>
  </w:style>
  <w:style w:type="paragraph" w:customStyle="1" w:styleId="RefHead">
    <w:name w:val="Ref Head"/>
    <w:basedOn w:val="Normale"/>
    <w:rsid w:val="009906D7"/>
    <w:pPr>
      <w:spacing w:before="360" w:after="50" w:line="240" w:lineRule="exact"/>
      <w:outlineLvl w:val="0"/>
    </w:pPr>
    <w:rPr>
      <w:rFonts w:ascii="Helvetica" w:hAnsi="Helvetica"/>
      <w:b/>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1142</Words>
  <Characters>6386</Characters>
  <Application>Microsoft Office Word</Application>
  <DocSecurity>0</DocSecurity>
  <Lines>116</Lines>
  <Paragraphs>42</Paragraphs>
  <ScaleCrop>false</ScaleCrop>
  <Company/>
  <LinksUpToDate>false</LinksUpToDate>
  <CharactersWithSpaces>7486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2019-12-23T13:36:00Z</dcterms:created>
  <dcterms:modified xsi:type="dcterms:W3CDTF">2019-12-23T13:49:00Z</dcterms:modified>
</cp:coreProperties>
</file>