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79D6" w:rsidRPr="009F50D1" w:rsidRDefault="009F50D1">
      <w:pPr>
        <w:rPr>
          <w:b/>
          <w:bCs/>
        </w:rPr>
      </w:pPr>
      <w:r w:rsidRPr="009F50D1">
        <w:rPr>
          <w:b/>
          <w:bCs/>
        </w:rPr>
        <w:t>Supplemental Material</w:t>
      </w:r>
    </w:p>
    <w:p w:rsidR="009F50D1" w:rsidRDefault="009F50D1"/>
    <w:p w:rsidR="009F50D1" w:rsidRPr="009F50D1" w:rsidRDefault="009F50D1" w:rsidP="009F50D1">
      <w:pPr>
        <w:spacing w:line="480" w:lineRule="auto"/>
        <w:rPr>
          <w:rFonts w:ascii="Arial" w:eastAsia="Arial" w:hAnsi="Arial" w:cs="Arial"/>
          <w:color w:val="000000" w:themeColor="text1"/>
          <w:sz w:val="20"/>
          <w:szCs w:val="20"/>
        </w:rPr>
      </w:pPr>
      <w:r w:rsidRPr="00A31AA7">
        <w:rPr>
          <w:rFonts w:ascii="Arial" w:eastAsia="Arial" w:hAnsi="Arial" w:cs="Arial"/>
          <w:color w:val="000000" w:themeColor="text1"/>
          <w:sz w:val="20"/>
          <w:szCs w:val="20"/>
        </w:rPr>
        <w:t xml:space="preserve">This </w:t>
      </w:r>
      <w:r>
        <w:rPr>
          <w:rFonts w:ascii="Arial" w:eastAsia="Arial" w:hAnsi="Arial" w:cs="Arial"/>
          <w:color w:val="000000" w:themeColor="text1"/>
          <w:sz w:val="20"/>
          <w:szCs w:val="20"/>
        </w:rPr>
        <w:t>piece rep</w:t>
      </w:r>
      <w:r w:rsidR="00240483">
        <w:rPr>
          <w:rFonts w:ascii="Arial" w:eastAsia="Arial" w:hAnsi="Arial" w:cs="Arial"/>
          <w:color w:val="000000" w:themeColor="text1"/>
          <w:sz w:val="20"/>
          <w:szCs w:val="20"/>
        </w:rPr>
        <w:t>orts</w:t>
      </w:r>
      <w:r>
        <w:rPr>
          <w:rFonts w:ascii="Arial" w:eastAsia="Arial" w:hAnsi="Arial" w:cs="Arial"/>
          <w:color w:val="000000" w:themeColor="text1"/>
          <w:sz w:val="20"/>
          <w:szCs w:val="20"/>
        </w:rPr>
        <w:t xml:space="preserve"> selected findings from</w:t>
      </w:r>
      <w:r w:rsidRPr="00A31AA7">
        <w:rPr>
          <w:rFonts w:ascii="Arial" w:eastAsia="Arial" w:hAnsi="Arial" w:cs="Arial"/>
          <w:color w:val="000000" w:themeColor="text1"/>
          <w:sz w:val="20"/>
          <w:szCs w:val="20"/>
        </w:rPr>
        <w:t xml:space="preserve"> a </w:t>
      </w:r>
      <w:r w:rsidR="00736741">
        <w:rPr>
          <w:rFonts w:ascii="Arial" w:eastAsia="Arial" w:hAnsi="Arial" w:cs="Arial"/>
          <w:color w:val="000000" w:themeColor="text1"/>
          <w:sz w:val="20"/>
          <w:szCs w:val="20"/>
        </w:rPr>
        <w:t xml:space="preserve">broader </w:t>
      </w:r>
      <w:r w:rsidRPr="00A31AA7">
        <w:rPr>
          <w:rFonts w:ascii="Arial" w:eastAsia="Arial" w:hAnsi="Arial" w:cs="Arial"/>
          <w:color w:val="000000" w:themeColor="text1"/>
          <w:sz w:val="20"/>
          <w:szCs w:val="20"/>
        </w:rPr>
        <w:t>scoping review</w:t>
      </w:r>
      <w:r w:rsidR="00736741">
        <w:rPr>
          <w:rFonts w:ascii="Arial" w:eastAsia="Arial" w:hAnsi="Arial" w:cs="Arial"/>
          <w:color w:val="000000" w:themeColor="text1"/>
          <w:sz w:val="20"/>
          <w:szCs w:val="20"/>
        </w:rPr>
        <w:t xml:space="preserve"> on cannabis-related adverse events</w:t>
      </w:r>
      <w:r w:rsidRPr="00A31AA7">
        <w:rPr>
          <w:rFonts w:ascii="Arial" w:eastAsia="Arial" w:hAnsi="Arial" w:cs="Arial"/>
          <w:color w:val="000000" w:themeColor="text1"/>
          <w:sz w:val="20"/>
          <w:szCs w:val="20"/>
        </w:rPr>
        <w:t xml:space="preserve"> conducted by the researchers to compile the current literature on CHS. </w:t>
      </w:r>
      <w:r w:rsidRPr="00A31AA7">
        <w:rPr>
          <w:rFonts w:ascii="Arial" w:eastAsia="Roboto" w:hAnsi="Arial" w:cs="Arial"/>
          <w:color w:val="000000" w:themeColor="text1"/>
          <w:sz w:val="20"/>
          <w:szCs w:val="20"/>
        </w:rPr>
        <w:t xml:space="preserve">The review </w:t>
      </w:r>
      <w:r>
        <w:rPr>
          <w:rFonts w:ascii="Arial" w:eastAsia="Roboto" w:hAnsi="Arial" w:cs="Arial"/>
          <w:color w:val="000000" w:themeColor="text1"/>
          <w:sz w:val="20"/>
          <w:szCs w:val="20"/>
        </w:rPr>
        <w:t>was</w:t>
      </w:r>
      <w:r w:rsidRPr="00A31AA7">
        <w:rPr>
          <w:rFonts w:ascii="Arial" w:eastAsia="Roboto" w:hAnsi="Arial" w:cs="Arial"/>
          <w:color w:val="000000" w:themeColor="text1"/>
          <w:sz w:val="20"/>
          <w:szCs w:val="20"/>
        </w:rPr>
        <w:t xml:space="preserve"> exempt from</w:t>
      </w:r>
      <w:r>
        <w:rPr>
          <w:rFonts w:ascii="Arial" w:eastAsia="Roboto" w:hAnsi="Arial" w:cs="Arial"/>
          <w:color w:val="000000" w:themeColor="text1"/>
          <w:sz w:val="20"/>
          <w:szCs w:val="20"/>
        </w:rPr>
        <w:t xml:space="preserve"> the</w:t>
      </w:r>
      <w:r w:rsidRPr="00A31AA7">
        <w:rPr>
          <w:rFonts w:ascii="Arial" w:eastAsia="Roboto" w:hAnsi="Arial" w:cs="Arial"/>
          <w:color w:val="000000" w:themeColor="text1"/>
          <w:sz w:val="20"/>
          <w:szCs w:val="20"/>
        </w:rPr>
        <w:t xml:space="preserve"> IRB </w:t>
      </w:r>
      <w:r>
        <w:rPr>
          <w:rFonts w:ascii="Arial" w:eastAsia="Roboto" w:hAnsi="Arial" w:cs="Arial"/>
          <w:color w:val="000000" w:themeColor="text1"/>
          <w:sz w:val="20"/>
          <w:szCs w:val="20"/>
        </w:rPr>
        <w:t>approval</w:t>
      </w:r>
      <w:r w:rsidRPr="00A31AA7">
        <w:rPr>
          <w:rFonts w:ascii="Arial" w:eastAsia="Roboto" w:hAnsi="Arial" w:cs="Arial"/>
          <w:color w:val="000000" w:themeColor="text1"/>
          <w:sz w:val="20"/>
          <w:szCs w:val="20"/>
        </w:rPr>
        <w:t xml:space="preserve"> </w:t>
      </w:r>
      <w:r>
        <w:rPr>
          <w:rFonts w:ascii="Arial" w:eastAsia="Roboto" w:hAnsi="Arial" w:cs="Arial"/>
          <w:color w:val="000000" w:themeColor="text1"/>
          <w:sz w:val="20"/>
          <w:szCs w:val="20"/>
        </w:rPr>
        <w:t xml:space="preserve">process </w:t>
      </w:r>
      <w:r w:rsidRPr="00A31AA7">
        <w:rPr>
          <w:rFonts w:ascii="Arial" w:eastAsia="Roboto" w:hAnsi="Arial" w:cs="Arial"/>
          <w:color w:val="000000" w:themeColor="text1"/>
          <w:sz w:val="20"/>
          <w:szCs w:val="20"/>
        </w:rPr>
        <w:t xml:space="preserve">as it is </w:t>
      </w:r>
      <w:r>
        <w:rPr>
          <w:rFonts w:ascii="Arial" w:eastAsia="Roboto" w:hAnsi="Arial" w:cs="Arial"/>
          <w:color w:val="000000" w:themeColor="text1"/>
          <w:sz w:val="20"/>
          <w:szCs w:val="20"/>
        </w:rPr>
        <w:t>does no</w:t>
      </w:r>
      <w:r w:rsidRPr="00A31AA7">
        <w:rPr>
          <w:rFonts w:ascii="Arial" w:eastAsia="Roboto" w:hAnsi="Arial" w:cs="Arial"/>
          <w:color w:val="000000" w:themeColor="text1"/>
          <w:sz w:val="20"/>
          <w:szCs w:val="20"/>
        </w:rPr>
        <w:t>t</w:t>
      </w:r>
      <w:r>
        <w:rPr>
          <w:rFonts w:ascii="Arial" w:eastAsia="Roboto" w:hAnsi="Arial" w:cs="Arial"/>
          <w:color w:val="000000" w:themeColor="text1"/>
          <w:sz w:val="20"/>
          <w:szCs w:val="20"/>
        </w:rPr>
        <w:t xml:space="preserve"> constitute</w:t>
      </w:r>
      <w:r w:rsidRPr="00A31AA7">
        <w:rPr>
          <w:rFonts w:ascii="Arial" w:eastAsia="Roboto" w:hAnsi="Arial" w:cs="Arial"/>
          <w:color w:val="000000" w:themeColor="text1"/>
          <w:sz w:val="20"/>
          <w:szCs w:val="20"/>
        </w:rPr>
        <w:t xml:space="preserve"> research with human subjects</w:t>
      </w:r>
      <w:r>
        <w:rPr>
          <w:rFonts w:ascii="Arial" w:eastAsia="Roboto" w:hAnsi="Arial" w:cs="Arial"/>
          <w:color w:val="000000" w:themeColor="text1"/>
          <w:sz w:val="20"/>
          <w:szCs w:val="20"/>
        </w:rPr>
        <w:t>.</w:t>
      </w:r>
    </w:p>
    <w:p w:rsidR="009F50D1" w:rsidRDefault="009F50D1" w:rsidP="009F50D1">
      <w:pPr>
        <w:spacing w:line="480" w:lineRule="auto"/>
        <w:rPr>
          <w:rFonts w:ascii="Arial" w:eastAsia="Arial" w:hAnsi="Arial" w:cs="Arial"/>
          <w:b/>
        </w:rPr>
      </w:pPr>
      <w:r w:rsidRPr="00A31AA7">
        <w:rPr>
          <w:rFonts w:ascii="Arial" w:eastAsia="Arial" w:hAnsi="Arial" w:cs="Arial"/>
          <w:b/>
        </w:rPr>
        <w:t>METHODS</w:t>
      </w:r>
    </w:p>
    <w:p w:rsidR="009F50D1" w:rsidRPr="00A31AA7" w:rsidRDefault="009F50D1" w:rsidP="009F50D1">
      <w:pPr>
        <w:spacing w:line="480" w:lineRule="auto"/>
        <w:rPr>
          <w:rFonts w:ascii="Arial" w:eastAsia="Arial" w:hAnsi="Arial" w:cs="Arial"/>
          <w:b/>
          <w:color w:val="000000" w:themeColor="text1"/>
          <w:sz w:val="20"/>
          <w:szCs w:val="20"/>
        </w:rPr>
      </w:pPr>
      <w:r w:rsidRPr="00A31AA7">
        <w:rPr>
          <w:rFonts w:ascii="Arial" w:eastAsia="Arial" w:hAnsi="Arial" w:cs="Arial"/>
          <w:b/>
          <w:color w:val="000000" w:themeColor="text1"/>
          <w:sz w:val="20"/>
          <w:szCs w:val="20"/>
        </w:rPr>
        <w:t>Literature Search and Identification</w:t>
      </w:r>
    </w:p>
    <w:p w:rsidR="009F50D1" w:rsidRDefault="009F50D1" w:rsidP="009F50D1">
      <w:pPr>
        <w:spacing w:line="480" w:lineRule="auto"/>
        <w:rPr>
          <w:rFonts w:ascii="Arial" w:eastAsia="Arial" w:hAnsi="Arial" w:cs="Arial"/>
          <w:color w:val="000000" w:themeColor="text1"/>
          <w:sz w:val="20"/>
          <w:szCs w:val="20"/>
          <w:vertAlign w:val="superscript"/>
        </w:rPr>
      </w:pPr>
      <w:r w:rsidRPr="00A31AA7">
        <w:rPr>
          <w:rFonts w:ascii="Arial" w:eastAsia="Arial" w:hAnsi="Arial" w:cs="Arial"/>
          <w:color w:val="000000" w:themeColor="text1"/>
          <w:sz w:val="20"/>
          <w:szCs w:val="20"/>
        </w:rPr>
        <w:t xml:space="preserve">Literature was identified from </w:t>
      </w:r>
      <w:r w:rsidRPr="00A31AA7">
        <w:rPr>
          <w:rFonts w:ascii="Arial" w:eastAsia="Arial" w:hAnsi="Arial" w:cs="Arial"/>
          <w:color w:val="000000" w:themeColor="text1"/>
          <w:sz w:val="20"/>
          <w:szCs w:val="20"/>
          <w:highlight w:val="white"/>
        </w:rPr>
        <w:t>searches on PubMed and a secondary review of search hits obtained from a prior large-scale systematic review</w:t>
      </w:r>
      <w:r w:rsidRPr="00A31AA7">
        <w:rPr>
          <w:rFonts w:ascii="Arial" w:eastAsia="Arial" w:hAnsi="Arial" w:cs="Arial"/>
          <w:color w:val="000000" w:themeColor="text1"/>
          <w:sz w:val="20"/>
          <w:szCs w:val="20"/>
        </w:rPr>
        <w:t>.</w:t>
      </w:r>
      <w:r w:rsidRPr="00A31AA7">
        <w:rPr>
          <w:rFonts w:ascii="Arial" w:eastAsia="Arial" w:hAnsi="Arial" w:cs="Arial"/>
          <w:color w:val="000000" w:themeColor="text1"/>
          <w:sz w:val="20"/>
          <w:szCs w:val="20"/>
          <w:vertAlign w:val="superscript"/>
        </w:rPr>
        <w:t>6,7</w:t>
      </w:r>
      <w:r w:rsidRPr="00A31AA7">
        <w:rPr>
          <w:rFonts w:ascii="Arial" w:eastAsia="Arial" w:hAnsi="Arial" w:cs="Arial"/>
          <w:color w:val="000000" w:themeColor="text1"/>
          <w:sz w:val="20"/>
          <w:szCs w:val="20"/>
        </w:rPr>
        <w:t xml:space="preserve"> Studies identified from the independent PubMed search included studies from January 2013 until December 2023. The search was filtered for studies with only human subjects. Keywords and MeSH terms utilized for PubMed are defined in Table 1 below. To capture a more comprehensive pool of studies, no other filters or inclusions/exclusions were utilized to conduct the reviewers’ independent PubMed search. The studies compiled from the </w:t>
      </w:r>
      <w:r w:rsidRPr="00A31AA7">
        <w:rPr>
          <w:rFonts w:ascii="Arial" w:eastAsia="Arial" w:hAnsi="Arial" w:cs="Arial"/>
          <w:color w:val="000000" w:themeColor="text1"/>
          <w:sz w:val="20"/>
          <w:szCs w:val="20"/>
          <w:highlight w:val="white"/>
        </w:rPr>
        <w:t xml:space="preserve">large-scale systematic review </w:t>
      </w:r>
      <w:r w:rsidRPr="00A31AA7">
        <w:rPr>
          <w:rFonts w:ascii="Arial" w:eastAsia="Arial" w:hAnsi="Arial" w:cs="Arial"/>
          <w:color w:val="000000" w:themeColor="text1"/>
          <w:sz w:val="20"/>
          <w:szCs w:val="20"/>
        </w:rPr>
        <w:t xml:space="preserve">were gathered from PubMed, the Cochrane Library, and Embase. The research gathered from this review was also confined to the period from June 2013 to December 2023 to collect the most recent developments in the literature. Searches were performed using controlled terms and MeSH vocabulary, as defined in </w:t>
      </w:r>
      <w:r w:rsidRPr="00A31AA7">
        <w:rPr>
          <w:rFonts w:ascii="Arial" w:eastAsia="Arial" w:hAnsi="Arial" w:cs="Arial"/>
          <w:i/>
          <w:color w:val="000000" w:themeColor="text1"/>
          <w:sz w:val="20"/>
          <w:szCs w:val="20"/>
        </w:rPr>
        <w:t>Table 1</w:t>
      </w:r>
      <w:r w:rsidRPr="00A31AA7">
        <w:rPr>
          <w:rFonts w:ascii="Arial" w:eastAsia="Arial" w:hAnsi="Arial" w:cs="Arial"/>
          <w:color w:val="000000" w:themeColor="text1"/>
          <w:sz w:val="20"/>
          <w:szCs w:val="20"/>
        </w:rPr>
        <w:t xml:space="preserve"> below.  These search terms included those used in the previous </w:t>
      </w:r>
      <w:r w:rsidRPr="00A31AA7">
        <w:rPr>
          <w:rFonts w:ascii="Arial" w:eastAsia="Arial" w:hAnsi="Arial" w:cs="Arial"/>
          <w:color w:val="000000" w:themeColor="text1"/>
          <w:sz w:val="20"/>
          <w:szCs w:val="20"/>
          <w:highlight w:val="white"/>
        </w:rPr>
        <w:t>large-scale systematic review</w:t>
      </w:r>
      <w:r w:rsidRPr="00A31AA7">
        <w:rPr>
          <w:rFonts w:ascii="Arial" w:eastAsia="Arial" w:hAnsi="Arial" w:cs="Arial"/>
          <w:color w:val="000000" w:themeColor="text1"/>
          <w:sz w:val="20"/>
          <w:szCs w:val="20"/>
        </w:rPr>
        <w:t xml:space="preserve"> study which were derived from a registered protocol for nausea and additional terms derived from this study's reviewers during the independent PubMed search.</w:t>
      </w:r>
    </w:p>
    <w:p w:rsidR="00175C05" w:rsidRPr="00A31AA7" w:rsidRDefault="00175C05" w:rsidP="009F50D1">
      <w:pPr>
        <w:spacing w:line="480" w:lineRule="auto"/>
        <w:rPr>
          <w:rFonts w:ascii="Arial" w:eastAsia="Arial" w:hAnsi="Arial" w:cs="Arial"/>
          <w:b/>
          <w:color w:val="000000" w:themeColor="text1"/>
          <w:sz w:val="20"/>
          <w:szCs w:val="20"/>
          <w:vertAlign w:val="superscript"/>
        </w:rPr>
      </w:pPr>
    </w:p>
    <w:p w:rsidR="009F50D1" w:rsidRPr="00175C05" w:rsidRDefault="00175C05" w:rsidP="00175C05">
      <w:pPr>
        <w:spacing w:after="240" w:line="276" w:lineRule="auto"/>
        <w:rPr>
          <w:rFonts w:ascii="Arial" w:eastAsia="Arial" w:hAnsi="Arial" w:cs="Arial"/>
          <w:b/>
          <w:bCs/>
          <w:color w:val="0E101A"/>
        </w:rPr>
      </w:pPr>
      <w:r w:rsidRPr="00175C05">
        <w:rPr>
          <w:rFonts w:ascii="Arial" w:eastAsia="Arial" w:hAnsi="Arial" w:cs="Arial"/>
          <w:b/>
          <w:bCs/>
          <w:color w:val="0E101A"/>
        </w:rPr>
        <w:t>Supplemental Table 1: Literature search strategy for CHS compiling both the current study terms and the large-scale systematic review study terminology</w:t>
      </w:r>
    </w:p>
    <w:tbl>
      <w:tblPr>
        <w:tblW w:w="9165" w:type="dxa"/>
        <w:tblBorders>
          <w:top w:val="nil"/>
          <w:left w:val="nil"/>
          <w:bottom w:val="nil"/>
          <w:right w:val="nil"/>
          <w:insideH w:val="nil"/>
          <w:insideV w:val="nil"/>
        </w:tblBorders>
        <w:tblLayout w:type="fixed"/>
        <w:tblLook w:val="0600" w:firstRow="0" w:lastRow="0" w:firstColumn="0" w:lastColumn="0" w:noHBand="1" w:noVBand="1"/>
      </w:tblPr>
      <w:tblGrid>
        <w:gridCol w:w="4620"/>
        <w:gridCol w:w="4545"/>
      </w:tblGrid>
      <w:tr w:rsidR="009F50D1" w:rsidRPr="00A31AA7" w:rsidTr="005961BD">
        <w:trPr>
          <w:trHeight w:val="690"/>
        </w:trPr>
        <w:tc>
          <w:tcPr>
            <w:tcW w:w="462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rsidR="009F50D1" w:rsidRPr="00A31AA7" w:rsidRDefault="009F50D1" w:rsidP="005961BD">
            <w:pPr>
              <w:spacing w:line="276" w:lineRule="auto"/>
              <w:rPr>
                <w:rFonts w:ascii="Arial" w:eastAsia="Arial" w:hAnsi="Arial" w:cs="Arial"/>
                <w:b/>
                <w:color w:val="0E101A"/>
                <w:sz w:val="20"/>
                <w:szCs w:val="20"/>
              </w:rPr>
            </w:pPr>
            <w:r w:rsidRPr="00A31AA7">
              <w:rPr>
                <w:rFonts w:ascii="Arial" w:eastAsia="Arial" w:hAnsi="Arial" w:cs="Arial"/>
                <w:b/>
                <w:color w:val="0E101A"/>
                <w:sz w:val="20"/>
                <w:szCs w:val="20"/>
              </w:rPr>
              <w:t>Keyword (or MeSH, or Other Controlled Vocabulary)</w:t>
            </w:r>
          </w:p>
        </w:tc>
        <w:tc>
          <w:tcPr>
            <w:tcW w:w="454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rsidR="009F50D1" w:rsidRPr="00A31AA7" w:rsidRDefault="009F50D1" w:rsidP="005961BD">
            <w:pPr>
              <w:spacing w:line="276" w:lineRule="auto"/>
              <w:rPr>
                <w:rFonts w:ascii="Arial" w:eastAsia="Arial" w:hAnsi="Arial" w:cs="Arial"/>
                <w:b/>
                <w:color w:val="0E101A"/>
                <w:sz w:val="20"/>
                <w:szCs w:val="20"/>
              </w:rPr>
            </w:pPr>
            <w:r w:rsidRPr="00A31AA7">
              <w:rPr>
                <w:rFonts w:ascii="Arial" w:eastAsia="Arial" w:hAnsi="Arial" w:cs="Arial"/>
                <w:b/>
                <w:color w:val="0E101A"/>
                <w:sz w:val="20"/>
                <w:szCs w:val="20"/>
              </w:rPr>
              <w:t>Database(s) where applied</w:t>
            </w:r>
          </w:p>
        </w:tc>
      </w:tr>
      <w:tr w:rsidR="009F50D1" w:rsidRPr="00A31AA7" w:rsidTr="005961BD">
        <w:trPr>
          <w:trHeight w:val="690"/>
        </w:trPr>
        <w:tc>
          <w:tcPr>
            <w:tcW w:w="462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9F50D1" w:rsidRPr="00A31AA7" w:rsidRDefault="009F50D1" w:rsidP="005961BD">
            <w:pPr>
              <w:spacing w:line="276" w:lineRule="auto"/>
              <w:rPr>
                <w:rFonts w:ascii="Arial" w:eastAsia="Arial" w:hAnsi="Arial" w:cs="Arial"/>
                <w:color w:val="0E101A"/>
                <w:sz w:val="20"/>
                <w:szCs w:val="20"/>
              </w:rPr>
            </w:pPr>
            <w:r w:rsidRPr="00A31AA7">
              <w:rPr>
                <w:rFonts w:ascii="Arial" w:eastAsia="Arial" w:hAnsi="Arial" w:cs="Arial"/>
                <w:color w:val="0E101A"/>
                <w:sz w:val="20"/>
                <w:szCs w:val="20"/>
              </w:rPr>
              <w:t>Cannabis hyperemesis syndrome; cyclical vomiting CHS; emesis; cyclic vomiting syndrome; nausea; vomiting</w:t>
            </w:r>
          </w:p>
        </w:tc>
        <w:tc>
          <w:tcPr>
            <w:tcW w:w="4545" w:type="dxa"/>
            <w:tcBorders>
              <w:top w:val="nil"/>
              <w:left w:val="nil"/>
              <w:bottom w:val="single" w:sz="5" w:space="0" w:color="000000"/>
              <w:right w:val="single" w:sz="5" w:space="0" w:color="000000"/>
            </w:tcBorders>
            <w:tcMar>
              <w:top w:w="100" w:type="dxa"/>
              <w:left w:w="100" w:type="dxa"/>
              <w:bottom w:w="100" w:type="dxa"/>
              <w:right w:w="100" w:type="dxa"/>
            </w:tcMar>
          </w:tcPr>
          <w:p w:rsidR="009F50D1" w:rsidRPr="00A31AA7" w:rsidRDefault="009F50D1" w:rsidP="005961BD">
            <w:pPr>
              <w:spacing w:line="276" w:lineRule="auto"/>
              <w:rPr>
                <w:rFonts w:ascii="Arial" w:eastAsia="Arial" w:hAnsi="Arial" w:cs="Arial"/>
                <w:color w:val="0E101A"/>
                <w:sz w:val="20"/>
                <w:szCs w:val="20"/>
              </w:rPr>
            </w:pPr>
            <w:r w:rsidRPr="00A31AA7">
              <w:rPr>
                <w:rFonts w:ascii="Arial" w:eastAsia="Arial" w:hAnsi="Arial" w:cs="Arial"/>
                <w:color w:val="0E101A"/>
                <w:sz w:val="20"/>
                <w:szCs w:val="20"/>
              </w:rPr>
              <w:t>PubMed, Cochrane</w:t>
            </w:r>
          </w:p>
        </w:tc>
      </w:tr>
      <w:tr w:rsidR="009F50D1" w:rsidRPr="00A31AA7" w:rsidTr="005961BD">
        <w:trPr>
          <w:trHeight w:val="930"/>
        </w:trPr>
        <w:tc>
          <w:tcPr>
            <w:tcW w:w="462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rsidR="009F50D1" w:rsidRPr="00A31AA7" w:rsidRDefault="009F50D1" w:rsidP="005961BD">
            <w:pPr>
              <w:spacing w:line="276" w:lineRule="auto"/>
              <w:rPr>
                <w:rFonts w:ascii="Arial" w:eastAsia="Arial" w:hAnsi="Arial" w:cs="Arial"/>
                <w:color w:val="0E101A"/>
                <w:sz w:val="20"/>
                <w:szCs w:val="20"/>
              </w:rPr>
            </w:pPr>
            <w:r w:rsidRPr="00A31AA7">
              <w:rPr>
                <w:rFonts w:ascii="Arial" w:eastAsia="Arial" w:hAnsi="Arial" w:cs="Arial"/>
                <w:color w:val="0E101A"/>
                <w:sz w:val="20"/>
                <w:szCs w:val="20"/>
              </w:rPr>
              <w:t>Hyperemesis; emesis; cyclic vomiting syndrome;</w:t>
            </w:r>
          </w:p>
          <w:p w:rsidR="009F50D1" w:rsidRPr="00A31AA7" w:rsidRDefault="009F50D1" w:rsidP="005961BD">
            <w:pPr>
              <w:spacing w:line="276" w:lineRule="auto"/>
              <w:rPr>
                <w:rFonts w:ascii="Arial" w:eastAsia="Arial" w:hAnsi="Arial" w:cs="Arial"/>
                <w:color w:val="0E101A"/>
                <w:sz w:val="20"/>
                <w:szCs w:val="20"/>
              </w:rPr>
            </w:pPr>
            <w:r w:rsidRPr="00A31AA7">
              <w:rPr>
                <w:rFonts w:ascii="Arial" w:eastAsia="Arial" w:hAnsi="Arial" w:cs="Arial"/>
                <w:color w:val="0E101A"/>
                <w:sz w:val="20"/>
                <w:szCs w:val="20"/>
              </w:rPr>
              <w:t>nausea; vomiting</w:t>
            </w:r>
          </w:p>
        </w:tc>
        <w:tc>
          <w:tcPr>
            <w:tcW w:w="4545" w:type="dxa"/>
            <w:tcBorders>
              <w:top w:val="nil"/>
              <w:left w:val="nil"/>
              <w:bottom w:val="single" w:sz="5" w:space="0" w:color="000000"/>
              <w:right w:val="single" w:sz="5" w:space="0" w:color="000000"/>
            </w:tcBorders>
            <w:tcMar>
              <w:top w:w="100" w:type="dxa"/>
              <w:left w:w="100" w:type="dxa"/>
              <w:bottom w:w="100" w:type="dxa"/>
              <w:right w:w="100" w:type="dxa"/>
            </w:tcMar>
          </w:tcPr>
          <w:p w:rsidR="009F50D1" w:rsidRPr="00A31AA7" w:rsidRDefault="009F50D1" w:rsidP="005961BD">
            <w:pPr>
              <w:spacing w:line="276" w:lineRule="auto"/>
              <w:rPr>
                <w:rFonts w:ascii="Arial" w:eastAsia="Arial" w:hAnsi="Arial" w:cs="Arial"/>
                <w:color w:val="0E101A"/>
                <w:sz w:val="20"/>
                <w:szCs w:val="20"/>
              </w:rPr>
            </w:pPr>
            <w:r w:rsidRPr="00A31AA7">
              <w:rPr>
                <w:rFonts w:ascii="Arial" w:eastAsia="Arial" w:hAnsi="Arial" w:cs="Arial"/>
                <w:color w:val="0E101A"/>
                <w:sz w:val="20"/>
                <w:szCs w:val="20"/>
              </w:rPr>
              <w:t>Embase</w:t>
            </w:r>
          </w:p>
        </w:tc>
      </w:tr>
    </w:tbl>
    <w:p w:rsidR="00175C05" w:rsidRDefault="00175C05" w:rsidP="009F50D1">
      <w:pPr>
        <w:spacing w:line="480" w:lineRule="auto"/>
        <w:rPr>
          <w:rFonts w:ascii="Arial" w:eastAsia="Arial" w:hAnsi="Arial" w:cs="Arial"/>
          <w:b/>
          <w:sz w:val="20"/>
          <w:szCs w:val="20"/>
        </w:rPr>
      </w:pPr>
    </w:p>
    <w:p w:rsidR="009F50D1" w:rsidRPr="00A31AA7" w:rsidRDefault="009F50D1" w:rsidP="009F50D1">
      <w:pPr>
        <w:spacing w:line="480" w:lineRule="auto"/>
        <w:rPr>
          <w:rFonts w:ascii="Arial" w:eastAsia="Arial" w:hAnsi="Arial" w:cs="Arial"/>
          <w:b/>
          <w:sz w:val="20"/>
          <w:szCs w:val="20"/>
        </w:rPr>
      </w:pPr>
      <w:r w:rsidRPr="00A31AA7">
        <w:rPr>
          <w:rFonts w:ascii="Arial" w:eastAsia="Arial" w:hAnsi="Arial" w:cs="Arial"/>
          <w:b/>
          <w:sz w:val="20"/>
          <w:szCs w:val="20"/>
        </w:rPr>
        <w:t>Screening and Data Collection</w:t>
      </w:r>
    </w:p>
    <w:p w:rsidR="009F50D1" w:rsidRPr="00A31AA7" w:rsidRDefault="009F50D1" w:rsidP="009F50D1">
      <w:pPr>
        <w:spacing w:line="480" w:lineRule="auto"/>
        <w:rPr>
          <w:rFonts w:ascii="Arial" w:eastAsia="Arial" w:hAnsi="Arial" w:cs="Arial"/>
          <w:sz w:val="20"/>
          <w:szCs w:val="20"/>
        </w:rPr>
      </w:pPr>
      <w:r w:rsidRPr="00A31AA7">
        <w:rPr>
          <w:rFonts w:ascii="Arial" w:eastAsia="Arial" w:hAnsi="Arial" w:cs="Arial"/>
          <w:sz w:val="20"/>
          <w:szCs w:val="20"/>
        </w:rPr>
        <w:t xml:space="preserve">The search results were narrowed using inclusion/exclusion criteria developed using the </w:t>
      </w:r>
      <w:r w:rsidRPr="00A31AA7">
        <w:rPr>
          <w:rFonts w:ascii="Arial" w:eastAsia="Arial" w:hAnsi="Arial" w:cs="Arial"/>
          <w:sz w:val="20"/>
          <w:szCs w:val="20"/>
          <w:highlight w:val="white"/>
        </w:rPr>
        <w:t>large-scale systematic review</w:t>
      </w:r>
      <w:r w:rsidRPr="00A31AA7">
        <w:rPr>
          <w:rFonts w:ascii="Arial" w:eastAsia="Arial" w:hAnsi="Arial" w:cs="Arial"/>
          <w:sz w:val="20"/>
          <w:szCs w:val="20"/>
        </w:rPr>
        <w:t xml:space="preserve"> as a foundation and adapted to focus on CHS. Changes in criteria were made to be more inclusive of both non-medical and medical use of cannabis. Also, the current review looked at a wider time frame than the previous study to provide a more comprehensive search. Identified studies' titles and abstracts were initially screened against the inclusion/exclusion criteria. Then, eligible studies underwent full-text screening for final analysis and inclusion into results analyses. The complete inclusion/exclusion criteria are defined below.</w:t>
      </w:r>
    </w:p>
    <w:p w:rsidR="009F50D1" w:rsidRPr="00A31AA7" w:rsidRDefault="009F50D1" w:rsidP="009F50D1">
      <w:pPr>
        <w:spacing w:line="480" w:lineRule="auto"/>
        <w:rPr>
          <w:rFonts w:ascii="Arial" w:eastAsia="Arial" w:hAnsi="Arial" w:cs="Arial"/>
          <w:sz w:val="20"/>
          <w:szCs w:val="20"/>
        </w:rPr>
      </w:pPr>
    </w:p>
    <w:p w:rsidR="009F50D1" w:rsidRPr="00A31AA7" w:rsidRDefault="009F50D1" w:rsidP="009F50D1">
      <w:pPr>
        <w:spacing w:line="480" w:lineRule="auto"/>
        <w:rPr>
          <w:rFonts w:ascii="Arial" w:eastAsia="Arial" w:hAnsi="Arial" w:cs="Arial"/>
          <w:sz w:val="20"/>
          <w:szCs w:val="20"/>
        </w:rPr>
      </w:pPr>
      <w:r w:rsidRPr="00A31AA7">
        <w:rPr>
          <w:rFonts w:ascii="Arial" w:eastAsia="Arial" w:hAnsi="Arial" w:cs="Arial"/>
          <w:sz w:val="20"/>
          <w:szCs w:val="20"/>
        </w:rPr>
        <w:t>Inclusion Criteria:</w:t>
      </w:r>
    </w:p>
    <w:p w:rsidR="009F50D1" w:rsidRPr="00A31AA7" w:rsidRDefault="009F50D1" w:rsidP="009F50D1">
      <w:pPr>
        <w:numPr>
          <w:ilvl w:val="0"/>
          <w:numId w:val="2"/>
        </w:numPr>
        <w:spacing w:line="480" w:lineRule="auto"/>
        <w:rPr>
          <w:rFonts w:ascii="Arial" w:eastAsia="Arial" w:hAnsi="Arial" w:cs="Arial"/>
          <w:sz w:val="20"/>
          <w:szCs w:val="20"/>
        </w:rPr>
      </w:pPr>
      <w:r w:rsidRPr="00A31AA7">
        <w:rPr>
          <w:rFonts w:ascii="Arial" w:eastAsia="Roboto" w:hAnsi="Arial" w:cs="Arial"/>
          <w:sz w:val="20"/>
          <w:szCs w:val="20"/>
        </w:rPr>
        <w:t>The study focus was identifying hyperemesis or was in a population experiencing hyperemesis</w:t>
      </w:r>
    </w:p>
    <w:p w:rsidR="009F50D1" w:rsidRPr="00A31AA7" w:rsidRDefault="009F50D1" w:rsidP="009F50D1">
      <w:pPr>
        <w:numPr>
          <w:ilvl w:val="0"/>
          <w:numId w:val="2"/>
        </w:numPr>
        <w:spacing w:line="480" w:lineRule="auto"/>
        <w:rPr>
          <w:rFonts w:ascii="Arial" w:eastAsia="Arial" w:hAnsi="Arial" w:cs="Arial"/>
          <w:sz w:val="20"/>
          <w:szCs w:val="20"/>
        </w:rPr>
      </w:pPr>
      <w:r w:rsidRPr="00A31AA7">
        <w:rPr>
          <w:rFonts w:ascii="Arial" w:eastAsia="Roboto" w:hAnsi="Arial" w:cs="Arial"/>
          <w:sz w:val="20"/>
          <w:szCs w:val="20"/>
        </w:rPr>
        <w:t>The study must report primary data. We considered any of the following study designs: observational studies, RCTs, case reports, and case series</w:t>
      </w:r>
    </w:p>
    <w:p w:rsidR="009F50D1" w:rsidRPr="00A31AA7" w:rsidRDefault="009F50D1" w:rsidP="009F50D1">
      <w:pPr>
        <w:spacing w:line="480" w:lineRule="auto"/>
        <w:rPr>
          <w:rFonts w:ascii="Arial" w:eastAsia="Arial" w:hAnsi="Arial" w:cs="Arial"/>
          <w:sz w:val="20"/>
          <w:szCs w:val="20"/>
        </w:rPr>
      </w:pPr>
      <w:r w:rsidRPr="00A31AA7">
        <w:rPr>
          <w:rFonts w:ascii="Arial" w:eastAsia="Arial" w:hAnsi="Arial" w:cs="Arial"/>
          <w:sz w:val="20"/>
          <w:szCs w:val="20"/>
        </w:rPr>
        <w:t>Exclusion Criteria:</w:t>
      </w:r>
    </w:p>
    <w:p w:rsidR="009F50D1" w:rsidRPr="00A31AA7" w:rsidRDefault="009F50D1" w:rsidP="009F50D1">
      <w:pPr>
        <w:numPr>
          <w:ilvl w:val="0"/>
          <w:numId w:val="1"/>
        </w:numPr>
        <w:spacing w:line="480" w:lineRule="auto"/>
        <w:rPr>
          <w:rFonts w:ascii="Arial" w:eastAsia="Arial" w:hAnsi="Arial" w:cs="Arial"/>
          <w:sz w:val="20"/>
          <w:szCs w:val="20"/>
        </w:rPr>
      </w:pPr>
      <w:r w:rsidRPr="00A31AA7">
        <w:rPr>
          <w:rFonts w:ascii="Arial" w:eastAsia="Arial" w:hAnsi="Arial" w:cs="Arial"/>
          <w:sz w:val="20"/>
          <w:szCs w:val="20"/>
        </w:rPr>
        <w:t>Studies in languages other than English</w:t>
      </w:r>
    </w:p>
    <w:p w:rsidR="009F50D1" w:rsidRPr="00A31AA7" w:rsidRDefault="009F50D1" w:rsidP="009F50D1">
      <w:pPr>
        <w:numPr>
          <w:ilvl w:val="0"/>
          <w:numId w:val="1"/>
        </w:numPr>
        <w:spacing w:line="480" w:lineRule="auto"/>
        <w:rPr>
          <w:rFonts w:ascii="Arial" w:eastAsia="Arial" w:hAnsi="Arial" w:cs="Arial"/>
          <w:sz w:val="20"/>
          <w:szCs w:val="20"/>
        </w:rPr>
      </w:pPr>
      <w:r w:rsidRPr="00A31AA7">
        <w:rPr>
          <w:rFonts w:ascii="Arial" w:eastAsia="Arial" w:hAnsi="Arial" w:cs="Arial"/>
          <w:sz w:val="20"/>
          <w:szCs w:val="20"/>
        </w:rPr>
        <w:t>Studies published before January 1, 2013</w:t>
      </w:r>
    </w:p>
    <w:p w:rsidR="009F50D1" w:rsidRPr="00A31AA7" w:rsidRDefault="009F50D1" w:rsidP="009F50D1">
      <w:pPr>
        <w:numPr>
          <w:ilvl w:val="0"/>
          <w:numId w:val="1"/>
        </w:numPr>
        <w:spacing w:line="480" w:lineRule="auto"/>
        <w:rPr>
          <w:rFonts w:ascii="Arial" w:eastAsia="Arial" w:hAnsi="Arial" w:cs="Arial"/>
          <w:sz w:val="20"/>
          <w:szCs w:val="20"/>
        </w:rPr>
      </w:pPr>
      <w:r w:rsidRPr="00A31AA7">
        <w:rPr>
          <w:rFonts w:ascii="Arial" w:eastAsia="Arial" w:hAnsi="Arial" w:cs="Arial"/>
          <w:sz w:val="20"/>
          <w:szCs w:val="20"/>
        </w:rPr>
        <w:t>Unable to access full text</w:t>
      </w:r>
    </w:p>
    <w:p w:rsidR="009F50D1" w:rsidRPr="00A31AA7" w:rsidRDefault="009F50D1" w:rsidP="009F50D1">
      <w:pPr>
        <w:numPr>
          <w:ilvl w:val="0"/>
          <w:numId w:val="1"/>
        </w:numPr>
        <w:spacing w:line="480" w:lineRule="auto"/>
        <w:rPr>
          <w:rFonts w:ascii="Arial" w:eastAsia="Arial" w:hAnsi="Arial" w:cs="Arial"/>
          <w:sz w:val="20"/>
          <w:szCs w:val="20"/>
        </w:rPr>
      </w:pPr>
      <w:r w:rsidRPr="00A31AA7">
        <w:rPr>
          <w:rFonts w:ascii="Arial" w:eastAsia="Arial" w:hAnsi="Arial" w:cs="Arial"/>
          <w:sz w:val="20"/>
          <w:szCs w:val="20"/>
        </w:rPr>
        <w:t>Studies with non-human research</w:t>
      </w:r>
    </w:p>
    <w:p w:rsidR="009F50D1" w:rsidRPr="00A31AA7" w:rsidRDefault="009F50D1" w:rsidP="009F50D1">
      <w:pPr>
        <w:spacing w:line="480" w:lineRule="auto"/>
        <w:ind w:left="720"/>
        <w:rPr>
          <w:rFonts w:ascii="Arial" w:eastAsia="Arial" w:hAnsi="Arial" w:cs="Arial"/>
          <w:sz w:val="20"/>
          <w:szCs w:val="20"/>
        </w:rPr>
      </w:pPr>
    </w:p>
    <w:p w:rsidR="009F50D1" w:rsidRPr="00A31AA7" w:rsidRDefault="009F50D1" w:rsidP="009F50D1">
      <w:pPr>
        <w:spacing w:line="480" w:lineRule="auto"/>
        <w:rPr>
          <w:rFonts w:ascii="Arial" w:eastAsia="Arial" w:hAnsi="Arial" w:cs="Arial"/>
          <w:sz w:val="20"/>
          <w:szCs w:val="20"/>
        </w:rPr>
      </w:pPr>
      <w:r w:rsidRPr="00A31AA7">
        <w:rPr>
          <w:rFonts w:ascii="Arial" w:eastAsia="Arial" w:hAnsi="Arial" w:cs="Arial"/>
          <w:sz w:val="20"/>
          <w:szCs w:val="20"/>
        </w:rPr>
        <w:t>Data was collected after full-text analysis utilizing Excel spreadsheets. One spreadsheet was created to encompass the descriptive observational studies: case reports and case series. A second spreadsheet was developed to capture analytical observational studies: prospective cohort studies, retrospective cohort studies, and cross-sectional studies. The identified literature was separated into two spreadsheets because case reports and series are entirely descriptive and do not examine the relationship between exposure and outcomes. Conversely, analytical studies are observational studies that attempt to establish a relationship between exposure and outcomes.</w:t>
      </w:r>
    </w:p>
    <w:p w:rsidR="009F50D1" w:rsidRPr="00A31AA7" w:rsidRDefault="009F50D1" w:rsidP="009F50D1">
      <w:pPr>
        <w:spacing w:line="480" w:lineRule="auto"/>
        <w:rPr>
          <w:rFonts w:ascii="Arial" w:eastAsia="Arial" w:hAnsi="Arial" w:cs="Arial"/>
          <w:sz w:val="20"/>
          <w:szCs w:val="20"/>
        </w:rPr>
      </w:pPr>
    </w:p>
    <w:p w:rsidR="009F50D1" w:rsidRPr="00A31AA7" w:rsidRDefault="009F50D1" w:rsidP="009F50D1">
      <w:pPr>
        <w:spacing w:line="480" w:lineRule="auto"/>
        <w:rPr>
          <w:rFonts w:ascii="Arial" w:eastAsia="Arial" w:hAnsi="Arial" w:cs="Arial"/>
          <w:sz w:val="20"/>
          <w:szCs w:val="20"/>
        </w:rPr>
      </w:pPr>
      <w:r w:rsidRPr="00A31AA7">
        <w:rPr>
          <w:rFonts w:ascii="Arial" w:eastAsia="Arial" w:hAnsi="Arial" w:cs="Arial"/>
          <w:sz w:val="20"/>
          <w:szCs w:val="20"/>
        </w:rPr>
        <w:lastRenderedPageBreak/>
        <w:t xml:space="preserve">Columns were defined for the descriptive studies spreadsheet to highlight the specialized nature of the study design. Column A (Study) included the citation of each study. Columns B and C (Age and Comorbidities) described the participants' baseline characteristics. A column for age was included for the author to evaluate the common characteristic of CHS - age less than 50 at the onset of symptoms. Column D (Exposure Description) defines the type of marijuana as reported by the authors of the study. Columns E and F (Frequency of Use and Years of Use) stated how often (daily or weekly) and for how long participants reported consuming cannabis. These two columns were primarily based on participant self-reports and, as such, were extracted by the authors in this study precisely as stated in the literature. </w:t>
      </w:r>
    </w:p>
    <w:p w:rsidR="009F50D1" w:rsidRPr="00A31AA7" w:rsidRDefault="009F50D1" w:rsidP="009F50D1">
      <w:pPr>
        <w:spacing w:line="480" w:lineRule="auto"/>
        <w:rPr>
          <w:rFonts w:ascii="Arial" w:eastAsia="Arial" w:hAnsi="Arial" w:cs="Arial"/>
          <w:sz w:val="20"/>
          <w:szCs w:val="20"/>
        </w:rPr>
      </w:pPr>
    </w:p>
    <w:p w:rsidR="009F50D1" w:rsidRPr="00A31AA7" w:rsidRDefault="009F50D1" w:rsidP="009F50D1">
      <w:pPr>
        <w:spacing w:line="480" w:lineRule="auto"/>
        <w:rPr>
          <w:rFonts w:ascii="Arial" w:eastAsia="Arial" w:hAnsi="Arial" w:cs="Arial"/>
          <w:sz w:val="20"/>
          <w:szCs w:val="20"/>
        </w:rPr>
      </w:pPr>
      <w:r w:rsidRPr="00A31AA7">
        <w:rPr>
          <w:rFonts w:ascii="Arial" w:eastAsia="Arial" w:hAnsi="Arial" w:cs="Arial"/>
          <w:sz w:val="20"/>
          <w:szCs w:val="20"/>
        </w:rPr>
        <w:t xml:space="preserve">Column G (Failed treatment) lists any pharmacological therapies that the patient reported failing in the past or during the clinical presentation of the study. This was included as a column to identify one of the defining characteristics of CHS - failure of symptom relief from traditional antiemetics. Column H (Nonpharmacological Treatments) consists of all nonpharmacological therapies self-reported by the patient and documented as used during the current clinical visit. Column I (Symptom Relief from Heat) </w:t>
      </w:r>
      <w:proofErr w:type="gramStart"/>
      <w:r w:rsidRPr="00A31AA7">
        <w:rPr>
          <w:rFonts w:ascii="Arial" w:eastAsia="Arial" w:hAnsi="Arial" w:cs="Arial"/>
          <w:sz w:val="20"/>
          <w:szCs w:val="20"/>
        </w:rPr>
        <w:t>encompasses</w:t>
      </w:r>
      <w:proofErr w:type="gramEnd"/>
      <w:r w:rsidRPr="00A31AA7">
        <w:rPr>
          <w:rFonts w:ascii="Arial" w:eastAsia="Arial" w:hAnsi="Arial" w:cs="Arial"/>
          <w:sz w:val="20"/>
          <w:szCs w:val="20"/>
        </w:rPr>
        <w:t xml:space="preserve"> whether participants reported relief from symptoms by utilizing hot showers, warm baths, heat compresses, or other elevated temperatures. This was included as a column since compulsive hot showers/baths, and the resolution of symptoms with hot showers/baths have been reported in the established literature on CHS. Column J (Pharmacological Treatments) included any pharmacological treatments received during the current clinic visit that were not noted as failed. Lastly, column K (Resolution of Symptoms) addresses whether the study clearly stated that the participants' symptoms were resolved by the end of the visit.</w:t>
      </w:r>
    </w:p>
    <w:p w:rsidR="009F50D1" w:rsidRPr="00A31AA7" w:rsidRDefault="009F50D1" w:rsidP="009F50D1">
      <w:pPr>
        <w:spacing w:line="480" w:lineRule="auto"/>
        <w:rPr>
          <w:rFonts w:ascii="Arial" w:eastAsia="Arial" w:hAnsi="Arial" w:cs="Arial"/>
          <w:sz w:val="20"/>
          <w:szCs w:val="20"/>
        </w:rPr>
      </w:pPr>
    </w:p>
    <w:p w:rsidR="009F50D1" w:rsidRPr="00A31AA7" w:rsidRDefault="009F50D1" w:rsidP="009F50D1">
      <w:pPr>
        <w:spacing w:line="480" w:lineRule="auto"/>
        <w:rPr>
          <w:rFonts w:ascii="Arial" w:eastAsia="Arial" w:hAnsi="Arial" w:cs="Arial"/>
          <w:sz w:val="20"/>
          <w:szCs w:val="20"/>
        </w:rPr>
      </w:pPr>
      <w:r w:rsidRPr="00A31AA7">
        <w:rPr>
          <w:rFonts w:ascii="Arial" w:eastAsia="Arial" w:hAnsi="Arial" w:cs="Arial"/>
          <w:sz w:val="20"/>
          <w:szCs w:val="20"/>
        </w:rPr>
        <w:t xml:space="preserve">All the studies in the analytical spreadsheet looked at Columns A-G; study, study design, exposure description, frequency of use, population of interest, definition of CHS, and number of participants, respectively. The columns for study, exposure description, and frequency of use were defined as above. As stated in the study, the population of interest column defined the patient population, i.e., emergency department, pediatric, or others. The definition of CHS for column F was utilized to report the definition of CHS used in the study. Since CHS does not have an official definition, it is important to consider how </w:t>
      </w:r>
      <w:r w:rsidRPr="00A31AA7">
        <w:rPr>
          <w:rFonts w:ascii="Arial" w:eastAsia="Arial" w:hAnsi="Arial" w:cs="Arial"/>
          <w:sz w:val="20"/>
          <w:szCs w:val="20"/>
        </w:rPr>
        <w:lastRenderedPageBreak/>
        <w:t>each study defined it for their analysis. The number of participants and study design were reported in columns for data comparison.</w:t>
      </w:r>
    </w:p>
    <w:p w:rsidR="009F50D1" w:rsidRPr="00A31AA7" w:rsidRDefault="009F50D1" w:rsidP="009F50D1">
      <w:pPr>
        <w:spacing w:line="480" w:lineRule="auto"/>
        <w:rPr>
          <w:rFonts w:ascii="Arial" w:eastAsia="Arial" w:hAnsi="Arial" w:cs="Arial"/>
          <w:sz w:val="20"/>
          <w:szCs w:val="20"/>
        </w:rPr>
      </w:pPr>
    </w:p>
    <w:p w:rsidR="009F50D1" w:rsidRPr="00A31AA7" w:rsidRDefault="009F50D1" w:rsidP="009F50D1">
      <w:pPr>
        <w:spacing w:line="480" w:lineRule="auto"/>
        <w:rPr>
          <w:rFonts w:ascii="Arial" w:eastAsia="Arial" w:hAnsi="Arial" w:cs="Arial"/>
          <w:b/>
          <w:sz w:val="20"/>
          <w:szCs w:val="20"/>
        </w:rPr>
      </w:pPr>
      <w:r w:rsidRPr="00A31AA7">
        <w:rPr>
          <w:rFonts w:ascii="Arial" w:eastAsia="Arial" w:hAnsi="Arial" w:cs="Arial"/>
          <w:b/>
          <w:sz w:val="20"/>
          <w:szCs w:val="20"/>
        </w:rPr>
        <w:t>Data Synthesis</w:t>
      </w:r>
    </w:p>
    <w:p w:rsidR="009F50D1" w:rsidRDefault="009F50D1" w:rsidP="009F50D1">
      <w:pPr>
        <w:spacing w:line="480" w:lineRule="auto"/>
        <w:rPr>
          <w:rFonts w:ascii="Arial" w:eastAsia="Arial" w:hAnsi="Arial" w:cs="Arial"/>
          <w:sz w:val="20"/>
          <w:szCs w:val="20"/>
        </w:rPr>
      </w:pPr>
      <w:r w:rsidRPr="00A31AA7">
        <w:rPr>
          <w:rFonts w:ascii="Arial" w:eastAsia="Arial" w:hAnsi="Arial" w:cs="Arial"/>
          <w:sz w:val="20"/>
          <w:szCs w:val="20"/>
        </w:rPr>
        <w:t>The data gathered report</w:t>
      </w:r>
      <w:r w:rsidR="00D42026">
        <w:rPr>
          <w:rFonts w:ascii="Arial" w:eastAsia="Arial" w:hAnsi="Arial" w:cs="Arial"/>
          <w:sz w:val="20"/>
          <w:szCs w:val="20"/>
        </w:rPr>
        <w:t>s</w:t>
      </w:r>
      <w:r w:rsidRPr="00A31AA7">
        <w:rPr>
          <w:rFonts w:ascii="Arial" w:eastAsia="Arial" w:hAnsi="Arial" w:cs="Arial"/>
          <w:sz w:val="20"/>
          <w:szCs w:val="20"/>
        </w:rPr>
        <w:t xml:space="preserve"> common characteristics </w:t>
      </w:r>
      <w:r w:rsidRPr="00A31AA7">
        <w:rPr>
          <w:rFonts w:ascii="Arial" w:eastAsia="Roboto" w:hAnsi="Arial" w:cs="Arial"/>
          <w:sz w:val="20"/>
          <w:szCs w:val="20"/>
          <w:highlight w:val="white"/>
        </w:rPr>
        <w:t>observed in the case reports and case series</w:t>
      </w:r>
      <w:r w:rsidRPr="00A31AA7">
        <w:rPr>
          <w:rFonts w:ascii="Arial" w:eastAsia="Arial" w:hAnsi="Arial" w:cs="Arial"/>
          <w:sz w:val="20"/>
          <w:szCs w:val="20"/>
        </w:rPr>
        <w:t xml:space="preserve">. Case reports and series synthesis of the findings focus on failed treatments, age, frequency of use, years of use, nonpharmacological treatment, definitive treatments, and resolution of symptoms from hot showers/baths. This information will be analyzed to assess the current literature against known common characteristics defined in previous literature. Furthermore, the analytical observational studies will be </w:t>
      </w:r>
      <w:r w:rsidRPr="00A31AA7">
        <w:rPr>
          <w:rFonts w:ascii="Arial" w:eastAsia="Roboto" w:hAnsi="Arial" w:cs="Arial"/>
          <w:sz w:val="20"/>
          <w:szCs w:val="20"/>
        </w:rPr>
        <w:t>described by outcomes including</w:t>
      </w:r>
      <w:r w:rsidRPr="00A31AA7">
        <w:rPr>
          <w:rFonts w:ascii="Arial" w:eastAsia="Arial" w:hAnsi="Arial" w:cs="Arial"/>
          <w:sz w:val="20"/>
          <w:szCs w:val="20"/>
        </w:rPr>
        <w:t xml:space="preserve"> patient populations of interest, and definitions of CHS will be used to evaluate strengths and limitations in the analytic studies. Lastly, the authors review the definitive pharmacological treatments noted in the descriptive studies.</w:t>
      </w:r>
    </w:p>
    <w:p w:rsidR="00D42026" w:rsidRDefault="00D42026" w:rsidP="009F50D1">
      <w:pPr>
        <w:spacing w:line="480" w:lineRule="auto"/>
        <w:rPr>
          <w:rFonts w:ascii="Arial" w:eastAsia="Arial" w:hAnsi="Arial" w:cs="Arial"/>
          <w:sz w:val="20"/>
          <w:szCs w:val="20"/>
        </w:rPr>
      </w:pPr>
    </w:p>
    <w:p w:rsidR="00D42026" w:rsidRPr="00A31AA7" w:rsidRDefault="00D42026" w:rsidP="00D42026">
      <w:pPr>
        <w:spacing w:line="480" w:lineRule="auto"/>
        <w:rPr>
          <w:rFonts w:ascii="Arial" w:eastAsia="Arial" w:hAnsi="Arial" w:cs="Arial"/>
          <w:b/>
        </w:rPr>
      </w:pPr>
      <w:r w:rsidRPr="00A31AA7">
        <w:rPr>
          <w:rFonts w:ascii="Arial" w:eastAsia="Arial" w:hAnsi="Arial" w:cs="Arial"/>
          <w:b/>
        </w:rPr>
        <w:t>RESULTS</w:t>
      </w:r>
    </w:p>
    <w:p w:rsidR="00D42026" w:rsidRDefault="00D42026" w:rsidP="00D42026">
      <w:pPr>
        <w:spacing w:line="480" w:lineRule="auto"/>
        <w:rPr>
          <w:rFonts w:ascii="Arial" w:eastAsia="Arial" w:hAnsi="Arial" w:cs="Arial"/>
          <w:sz w:val="20"/>
          <w:szCs w:val="20"/>
        </w:rPr>
      </w:pPr>
      <w:r w:rsidRPr="00A31AA7">
        <w:rPr>
          <w:rFonts w:ascii="Arial" w:eastAsia="Arial" w:hAnsi="Arial" w:cs="Arial"/>
          <w:sz w:val="20"/>
          <w:szCs w:val="20"/>
        </w:rPr>
        <w:t xml:space="preserve">205 search record hits were identified through the literature search strategy. After the title and abstract screening, the total number of studies was narrowed to 56. These studies underwent full-text review and were further narrowed to 37 studies. The total study breakdown can be found in Table 2. Of the 37 studies found there were 25 (67.7%) case reports, 4 (10.8%) case series, 4(10.8%) retrospective cohort studies, 3(8.1%) cross-sectional studies, and 1(2.7%) prospective cohort study as shown in Table 3. </w:t>
      </w:r>
    </w:p>
    <w:p w:rsidR="00D42026" w:rsidRDefault="00D42026" w:rsidP="00D42026">
      <w:pPr>
        <w:spacing w:line="480" w:lineRule="auto"/>
        <w:rPr>
          <w:rFonts w:ascii="Arial" w:eastAsia="Arial" w:hAnsi="Arial" w:cs="Arial"/>
          <w:sz w:val="20"/>
          <w:szCs w:val="20"/>
        </w:rPr>
      </w:pPr>
    </w:p>
    <w:p w:rsidR="00D42026" w:rsidRPr="00A31AA7" w:rsidRDefault="00CF5FEE" w:rsidP="00D42026">
      <w:pPr>
        <w:spacing w:line="480" w:lineRule="auto"/>
        <w:rPr>
          <w:rFonts w:ascii="Arial" w:eastAsia="Arial" w:hAnsi="Arial" w:cs="Arial"/>
          <w:sz w:val="20"/>
          <w:szCs w:val="20"/>
        </w:rPr>
      </w:pPr>
      <w:r>
        <w:rPr>
          <w:rFonts w:ascii="Arial" w:eastAsia="Arial" w:hAnsi="Arial" w:cs="Arial"/>
          <w:b/>
          <w:sz w:val="20"/>
          <w:szCs w:val="20"/>
        </w:rPr>
        <w:t xml:space="preserve">Supplemental </w:t>
      </w:r>
      <w:r w:rsidR="00D42026" w:rsidRPr="00A31AA7">
        <w:rPr>
          <w:rFonts w:ascii="Arial" w:eastAsia="Arial" w:hAnsi="Arial" w:cs="Arial"/>
          <w:b/>
          <w:sz w:val="20"/>
          <w:szCs w:val="20"/>
        </w:rPr>
        <w:t>Table 2: Literature Search Findings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D42026" w:rsidRPr="00A31AA7" w:rsidTr="005961BD">
        <w:tc>
          <w:tcPr>
            <w:tcW w:w="2340" w:type="dxa"/>
            <w:shd w:val="clear" w:color="auto" w:fill="000000"/>
            <w:tcMar>
              <w:top w:w="100" w:type="dxa"/>
              <w:left w:w="100" w:type="dxa"/>
              <w:bottom w:w="100" w:type="dxa"/>
              <w:right w:w="100" w:type="dxa"/>
            </w:tcMar>
          </w:tcPr>
          <w:p w:rsidR="00D42026" w:rsidRPr="00A31AA7" w:rsidRDefault="00D42026" w:rsidP="005961BD">
            <w:pPr>
              <w:jc w:val="center"/>
              <w:rPr>
                <w:rFonts w:ascii="Arial" w:eastAsia="Arial" w:hAnsi="Arial" w:cs="Arial"/>
                <w:color w:val="FFFFFF"/>
                <w:sz w:val="20"/>
                <w:szCs w:val="20"/>
              </w:rPr>
            </w:pPr>
            <w:r w:rsidRPr="00A31AA7">
              <w:rPr>
                <w:rFonts w:ascii="Arial" w:eastAsia="Arial" w:hAnsi="Arial" w:cs="Arial"/>
                <w:b/>
                <w:color w:val="FFFFFF"/>
                <w:sz w:val="20"/>
                <w:szCs w:val="20"/>
              </w:rPr>
              <w:t>Search Engines</w:t>
            </w:r>
          </w:p>
        </w:tc>
        <w:tc>
          <w:tcPr>
            <w:tcW w:w="2340" w:type="dxa"/>
            <w:shd w:val="clear" w:color="auto" w:fill="000000"/>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color w:val="FFFFFF"/>
                <w:sz w:val="20"/>
                <w:szCs w:val="20"/>
              </w:rPr>
            </w:pPr>
            <w:r w:rsidRPr="00A31AA7">
              <w:rPr>
                <w:rFonts w:ascii="Arial" w:eastAsia="Arial" w:hAnsi="Arial" w:cs="Arial"/>
                <w:b/>
                <w:color w:val="FFFFFF"/>
                <w:sz w:val="20"/>
                <w:szCs w:val="20"/>
              </w:rPr>
              <w:t>Studies Identified from Database</w:t>
            </w:r>
          </w:p>
        </w:tc>
        <w:tc>
          <w:tcPr>
            <w:tcW w:w="2340" w:type="dxa"/>
            <w:shd w:val="clear" w:color="auto" w:fill="000000"/>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color w:val="FFFFFF"/>
                <w:sz w:val="20"/>
                <w:szCs w:val="20"/>
              </w:rPr>
            </w:pPr>
            <w:r w:rsidRPr="00A31AA7">
              <w:rPr>
                <w:rFonts w:ascii="Arial" w:eastAsia="Arial" w:hAnsi="Arial" w:cs="Arial"/>
                <w:b/>
                <w:color w:val="FFFFFF"/>
                <w:sz w:val="20"/>
                <w:szCs w:val="20"/>
              </w:rPr>
              <w:t>Studies After Title Abstract Screening</w:t>
            </w:r>
          </w:p>
        </w:tc>
        <w:tc>
          <w:tcPr>
            <w:tcW w:w="2340" w:type="dxa"/>
            <w:shd w:val="clear" w:color="auto" w:fill="000000"/>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color w:val="FFFFFF"/>
                <w:sz w:val="20"/>
                <w:szCs w:val="20"/>
              </w:rPr>
            </w:pPr>
            <w:r w:rsidRPr="00A31AA7">
              <w:rPr>
                <w:rFonts w:ascii="Arial" w:eastAsia="Arial" w:hAnsi="Arial" w:cs="Arial"/>
                <w:b/>
                <w:color w:val="FFFFFF"/>
                <w:sz w:val="20"/>
                <w:szCs w:val="20"/>
              </w:rPr>
              <w:t>Final Studies After Full-Text Review</w:t>
            </w:r>
          </w:p>
        </w:tc>
      </w:tr>
      <w:tr w:rsidR="00D42026" w:rsidRPr="00A31AA7" w:rsidTr="005961BD">
        <w:tc>
          <w:tcPr>
            <w:tcW w:w="2340" w:type="dxa"/>
            <w:shd w:val="clear" w:color="auto" w:fill="auto"/>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rPr>
                <w:rFonts w:ascii="Arial" w:eastAsia="Arial" w:hAnsi="Arial" w:cs="Arial"/>
                <w:sz w:val="20"/>
                <w:szCs w:val="20"/>
              </w:rPr>
            </w:pPr>
            <w:r w:rsidRPr="00A31AA7">
              <w:rPr>
                <w:rFonts w:ascii="Arial" w:eastAsia="Arial" w:hAnsi="Arial" w:cs="Arial"/>
                <w:sz w:val="20"/>
                <w:szCs w:val="20"/>
              </w:rPr>
              <w:t>Large Scale Systematic Review</w:t>
            </w:r>
          </w:p>
        </w:tc>
        <w:tc>
          <w:tcPr>
            <w:tcW w:w="2340" w:type="dxa"/>
            <w:shd w:val="clear" w:color="auto" w:fill="auto"/>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52</w:t>
            </w:r>
          </w:p>
        </w:tc>
        <w:tc>
          <w:tcPr>
            <w:tcW w:w="2340" w:type="dxa"/>
            <w:shd w:val="clear" w:color="auto" w:fill="auto"/>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3</w:t>
            </w:r>
          </w:p>
        </w:tc>
        <w:tc>
          <w:tcPr>
            <w:tcW w:w="2340" w:type="dxa"/>
            <w:shd w:val="clear" w:color="auto" w:fill="auto"/>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0</w:t>
            </w:r>
          </w:p>
        </w:tc>
      </w:tr>
      <w:tr w:rsidR="00D42026" w:rsidRPr="00A31AA7" w:rsidTr="005961BD">
        <w:tc>
          <w:tcPr>
            <w:tcW w:w="2340" w:type="dxa"/>
            <w:shd w:val="clear" w:color="auto" w:fill="CCCCCC"/>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rPr>
                <w:rFonts w:ascii="Arial" w:eastAsia="Arial" w:hAnsi="Arial" w:cs="Arial"/>
                <w:sz w:val="20"/>
                <w:szCs w:val="20"/>
              </w:rPr>
            </w:pPr>
            <w:r w:rsidRPr="00A31AA7">
              <w:rPr>
                <w:rFonts w:ascii="Arial" w:eastAsia="Arial" w:hAnsi="Arial" w:cs="Arial"/>
                <w:sz w:val="20"/>
                <w:szCs w:val="20"/>
              </w:rPr>
              <w:t>PubMed</w:t>
            </w:r>
          </w:p>
        </w:tc>
        <w:tc>
          <w:tcPr>
            <w:tcW w:w="2340" w:type="dxa"/>
            <w:shd w:val="clear" w:color="auto" w:fill="CCCCCC"/>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153</w:t>
            </w:r>
          </w:p>
        </w:tc>
        <w:tc>
          <w:tcPr>
            <w:tcW w:w="2340" w:type="dxa"/>
            <w:shd w:val="clear" w:color="auto" w:fill="CCCCCC"/>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53</w:t>
            </w:r>
          </w:p>
        </w:tc>
        <w:tc>
          <w:tcPr>
            <w:tcW w:w="2340" w:type="dxa"/>
            <w:shd w:val="clear" w:color="auto" w:fill="CCCCCC"/>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37</w:t>
            </w:r>
          </w:p>
        </w:tc>
      </w:tr>
      <w:tr w:rsidR="00D42026" w:rsidRPr="00A31AA7" w:rsidTr="005961BD">
        <w:tc>
          <w:tcPr>
            <w:tcW w:w="2340" w:type="dxa"/>
            <w:shd w:val="clear" w:color="auto" w:fill="auto"/>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rPr>
                <w:rFonts w:ascii="Arial" w:eastAsia="Arial" w:hAnsi="Arial" w:cs="Arial"/>
                <w:sz w:val="20"/>
                <w:szCs w:val="20"/>
              </w:rPr>
            </w:pPr>
            <w:r w:rsidRPr="00A31AA7">
              <w:rPr>
                <w:rFonts w:ascii="Arial" w:eastAsia="Arial" w:hAnsi="Arial" w:cs="Arial"/>
                <w:sz w:val="20"/>
                <w:szCs w:val="20"/>
              </w:rPr>
              <w:t>Total</w:t>
            </w:r>
          </w:p>
        </w:tc>
        <w:tc>
          <w:tcPr>
            <w:tcW w:w="2340" w:type="dxa"/>
            <w:shd w:val="clear" w:color="auto" w:fill="auto"/>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205</w:t>
            </w:r>
          </w:p>
        </w:tc>
        <w:tc>
          <w:tcPr>
            <w:tcW w:w="2340" w:type="dxa"/>
            <w:shd w:val="clear" w:color="auto" w:fill="auto"/>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56</w:t>
            </w:r>
          </w:p>
        </w:tc>
        <w:tc>
          <w:tcPr>
            <w:tcW w:w="2340" w:type="dxa"/>
            <w:shd w:val="clear" w:color="auto" w:fill="auto"/>
            <w:tcMar>
              <w:top w:w="100" w:type="dxa"/>
              <w:left w:w="100" w:type="dxa"/>
              <w:bottom w:w="100" w:type="dxa"/>
              <w:right w:w="100" w:type="dxa"/>
            </w:tcMar>
          </w:tcPr>
          <w:p w:rsidR="00D42026" w:rsidRPr="00A31AA7" w:rsidRDefault="00D42026" w:rsidP="005961BD">
            <w:pPr>
              <w:widowControl w:val="0"/>
              <w:pBdr>
                <w:top w:val="nil"/>
                <w:left w:val="nil"/>
                <w:bottom w:val="nil"/>
                <w:right w:val="nil"/>
                <w:between w:val="nil"/>
              </w:pBdr>
              <w:jc w:val="center"/>
              <w:rPr>
                <w:rFonts w:ascii="Arial" w:eastAsia="Arial" w:hAnsi="Arial" w:cs="Arial"/>
                <w:sz w:val="20"/>
                <w:szCs w:val="20"/>
              </w:rPr>
            </w:pPr>
            <w:r w:rsidRPr="00A31AA7">
              <w:rPr>
                <w:rFonts w:ascii="Arial" w:eastAsia="Arial" w:hAnsi="Arial" w:cs="Arial"/>
                <w:sz w:val="20"/>
                <w:szCs w:val="20"/>
              </w:rPr>
              <w:t>37</w:t>
            </w:r>
          </w:p>
        </w:tc>
      </w:tr>
    </w:tbl>
    <w:p w:rsidR="00D42026" w:rsidRPr="00A31AA7" w:rsidRDefault="00D42026" w:rsidP="00D42026">
      <w:pPr>
        <w:rPr>
          <w:rFonts w:ascii="Arial" w:eastAsia="Arial" w:hAnsi="Arial" w:cs="Arial"/>
          <w:sz w:val="20"/>
          <w:szCs w:val="20"/>
        </w:rPr>
      </w:pPr>
    </w:p>
    <w:p w:rsidR="00D42026" w:rsidRDefault="00D42026" w:rsidP="00D42026">
      <w:pPr>
        <w:spacing w:line="480" w:lineRule="auto"/>
        <w:rPr>
          <w:rFonts w:ascii="Arial" w:eastAsia="Arial" w:hAnsi="Arial" w:cs="Arial"/>
          <w:sz w:val="20"/>
          <w:szCs w:val="20"/>
        </w:rPr>
      </w:pPr>
    </w:p>
    <w:p w:rsidR="00175C05" w:rsidRDefault="00175C05" w:rsidP="00D42026">
      <w:pPr>
        <w:spacing w:line="480" w:lineRule="auto"/>
        <w:rPr>
          <w:rFonts w:ascii="Arial" w:eastAsia="Arial" w:hAnsi="Arial" w:cs="Arial"/>
          <w:sz w:val="20"/>
          <w:szCs w:val="20"/>
        </w:rPr>
      </w:pPr>
    </w:p>
    <w:p w:rsidR="00736741" w:rsidRPr="00A31AA7" w:rsidRDefault="00CF5FEE" w:rsidP="00736741">
      <w:pPr>
        <w:rPr>
          <w:rFonts w:ascii="Arial" w:eastAsia="Arial" w:hAnsi="Arial" w:cs="Arial"/>
          <w:b/>
          <w:sz w:val="20"/>
          <w:szCs w:val="20"/>
          <w:vertAlign w:val="subscript"/>
        </w:rPr>
      </w:pPr>
      <w:r>
        <w:rPr>
          <w:rFonts w:ascii="Arial" w:eastAsia="Arial" w:hAnsi="Arial" w:cs="Arial"/>
          <w:b/>
          <w:sz w:val="20"/>
          <w:szCs w:val="20"/>
        </w:rPr>
        <w:lastRenderedPageBreak/>
        <w:t xml:space="preserve">Supplemental </w:t>
      </w:r>
      <w:r w:rsidR="00736741" w:rsidRPr="00A31AA7">
        <w:rPr>
          <w:rFonts w:ascii="Arial" w:eastAsia="Arial" w:hAnsi="Arial" w:cs="Arial"/>
          <w:b/>
          <w:sz w:val="20"/>
          <w:szCs w:val="20"/>
        </w:rPr>
        <w:t xml:space="preserve">Table 3: Summary of Study Designs </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3195"/>
        <w:gridCol w:w="3165"/>
        <w:gridCol w:w="3000"/>
      </w:tblGrid>
      <w:tr w:rsidR="00736741" w:rsidRPr="00A31AA7" w:rsidTr="005961BD">
        <w:trPr>
          <w:trHeight w:val="300"/>
        </w:trPr>
        <w:tc>
          <w:tcPr>
            <w:tcW w:w="319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b/>
                <w:color w:val="FFFFFF"/>
                <w:sz w:val="20"/>
                <w:szCs w:val="20"/>
              </w:rPr>
            </w:pPr>
            <w:r w:rsidRPr="00A31AA7">
              <w:rPr>
                <w:rFonts w:ascii="Arial" w:eastAsia="Arial" w:hAnsi="Arial" w:cs="Arial"/>
                <w:b/>
                <w:color w:val="FFFFFF"/>
                <w:sz w:val="20"/>
                <w:szCs w:val="20"/>
              </w:rPr>
              <w:t xml:space="preserve">Study Design </w:t>
            </w:r>
          </w:p>
        </w:tc>
        <w:tc>
          <w:tcPr>
            <w:tcW w:w="316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b/>
                <w:color w:val="FFFFFF"/>
                <w:sz w:val="20"/>
                <w:szCs w:val="20"/>
              </w:rPr>
            </w:pPr>
            <w:r w:rsidRPr="00A31AA7">
              <w:rPr>
                <w:rFonts w:ascii="Arial" w:eastAsia="Arial" w:hAnsi="Arial" w:cs="Arial"/>
                <w:b/>
                <w:color w:val="FFFFFF"/>
                <w:sz w:val="20"/>
                <w:szCs w:val="20"/>
              </w:rPr>
              <w:t>Studies (n)</w:t>
            </w:r>
          </w:p>
        </w:tc>
        <w:tc>
          <w:tcPr>
            <w:tcW w:w="300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b/>
                <w:color w:val="FFFFFF"/>
                <w:sz w:val="20"/>
                <w:szCs w:val="20"/>
              </w:rPr>
            </w:pPr>
            <w:r w:rsidRPr="00A31AA7">
              <w:rPr>
                <w:rFonts w:ascii="Arial" w:eastAsia="Arial" w:hAnsi="Arial" w:cs="Arial"/>
                <w:b/>
                <w:color w:val="FFFFFF"/>
                <w:sz w:val="20"/>
                <w:szCs w:val="20"/>
              </w:rPr>
              <w:t>Percentage (%)</w:t>
            </w:r>
          </w:p>
        </w:tc>
      </w:tr>
      <w:tr w:rsidR="00736741" w:rsidRPr="00A31AA7" w:rsidTr="005961BD">
        <w:trPr>
          <w:trHeight w:val="300"/>
        </w:trPr>
        <w:tc>
          <w:tcPr>
            <w:tcW w:w="319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Cohort Study</w:t>
            </w:r>
          </w:p>
        </w:tc>
        <w:tc>
          <w:tcPr>
            <w:tcW w:w="316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5</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13.7</w:t>
            </w:r>
          </w:p>
        </w:tc>
      </w:tr>
      <w:tr w:rsidR="00736741" w:rsidRPr="00A31AA7" w:rsidTr="005961BD">
        <w:trPr>
          <w:trHeight w:val="300"/>
        </w:trPr>
        <w:tc>
          <w:tcPr>
            <w:tcW w:w="31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736741" w:rsidRPr="00A31AA7" w:rsidRDefault="00736741"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Case Report</w:t>
            </w:r>
          </w:p>
        </w:tc>
        <w:tc>
          <w:tcPr>
            <w:tcW w:w="316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25</w:t>
            </w:r>
          </w:p>
        </w:tc>
        <w:tc>
          <w:tcPr>
            <w:tcW w:w="300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68</w:t>
            </w:r>
          </w:p>
        </w:tc>
      </w:tr>
      <w:tr w:rsidR="00736741" w:rsidRPr="00A31AA7" w:rsidTr="005961BD">
        <w:trPr>
          <w:trHeight w:val="300"/>
        </w:trPr>
        <w:tc>
          <w:tcPr>
            <w:tcW w:w="319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Case Series</w:t>
            </w:r>
          </w:p>
        </w:tc>
        <w:tc>
          <w:tcPr>
            <w:tcW w:w="316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4</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10.8</w:t>
            </w:r>
          </w:p>
        </w:tc>
      </w:tr>
      <w:tr w:rsidR="00736741" w:rsidRPr="00A31AA7" w:rsidTr="005961BD">
        <w:trPr>
          <w:trHeight w:val="300"/>
        </w:trPr>
        <w:tc>
          <w:tcPr>
            <w:tcW w:w="31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736741" w:rsidRPr="00A31AA7" w:rsidRDefault="00736741"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Cross-Sectional Study</w:t>
            </w:r>
          </w:p>
        </w:tc>
        <w:tc>
          <w:tcPr>
            <w:tcW w:w="316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3</w:t>
            </w:r>
          </w:p>
        </w:tc>
        <w:tc>
          <w:tcPr>
            <w:tcW w:w="300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8.1</w:t>
            </w:r>
          </w:p>
        </w:tc>
      </w:tr>
      <w:tr w:rsidR="00736741" w:rsidRPr="00A31AA7" w:rsidTr="005961BD">
        <w:trPr>
          <w:trHeight w:val="300"/>
        </w:trPr>
        <w:tc>
          <w:tcPr>
            <w:tcW w:w="319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Total</w:t>
            </w:r>
          </w:p>
        </w:tc>
        <w:tc>
          <w:tcPr>
            <w:tcW w:w="316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37</w:t>
            </w: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736741" w:rsidRPr="00A31AA7" w:rsidRDefault="00736741"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100</w:t>
            </w:r>
          </w:p>
        </w:tc>
      </w:tr>
    </w:tbl>
    <w:p w:rsidR="00736741" w:rsidRPr="00A31AA7" w:rsidRDefault="00736741" w:rsidP="00D42026">
      <w:pPr>
        <w:spacing w:line="480" w:lineRule="auto"/>
        <w:rPr>
          <w:rFonts w:ascii="Arial" w:eastAsia="Arial" w:hAnsi="Arial" w:cs="Arial"/>
          <w:sz w:val="20"/>
          <w:szCs w:val="20"/>
        </w:rPr>
      </w:pPr>
    </w:p>
    <w:p w:rsidR="00021C2D" w:rsidRPr="00A31AA7" w:rsidRDefault="00021C2D" w:rsidP="00021C2D">
      <w:pPr>
        <w:spacing w:line="480" w:lineRule="auto"/>
        <w:rPr>
          <w:rFonts w:ascii="Arial" w:eastAsia="Arial" w:hAnsi="Arial" w:cs="Arial"/>
          <w:color w:val="0E101A"/>
          <w:sz w:val="20"/>
          <w:szCs w:val="20"/>
        </w:rPr>
      </w:pPr>
    </w:p>
    <w:p w:rsidR="00021C2D" w:rsidRDefault="00021C2D" w:rsidP="00021C2D">
      <w:pPr>
        <w:spacing w:line="480" w:lineRule="auto"/>
        <w:rPr>
          <w:rFonts w:ascii="Arial" w:eastAsia="Arial" w:hAnsi="Arial" w:cs="Arial"/>
          <w:sz w:val="20"/>
          <w:szCs w:val="20"/>
        </w:rPr>
      </w:pPr>
      <w:r w:rsidRPr="00A31AA7">
        <w:rPr>
          <w:rFonts w:ascii="Arial" w:eastAsia="Arial" w:hAnsi="Arial" w:cs="Arial"/>
          <w:sz w:val="20"/>
          <w:szCs w:val="20"/>
        </w:rPr>
        <w:t xml:space="preserve">In </w:t>
      </w:r>
      <w:r w:rsidR="00CF5FEE">
        <w:rPr>
          <w:rFonts w:ascii="Arial" w:eastAsia="Arial" w:hAnsi="Arial" w:cs="Arial"/>
          <w:sz w:val="20"/>
          <w:szCs w:val="20"/>
        </w:rPr>
        <w:t>addition to case reports and case series</w:t>
      </w:r>
      <w:r w:rsidRPr="00A31AA7">
        <w:rPr>
          <w:rFonts w:ascii="Arial" w:eastAsia="Arial" w:hAnsi="Arial" w:cs="Arial"/>
          <w:sz w:val="20"/>
          <w:szCs w:val="20"/>
        </w:rPr>
        <w:t xml:space="preserve">, there were 8 analytical observational studies </w:t>
      </w:r>
      <w:r w:rsidR="00CF5FEE">
        <w:rPr>
          <w:rFonts w:ascii="Arial" w:eastAsia="Arial" w:hAnsi="Arial" w:cs="Arial"/>
          <w:sz w:val="20"/>
          <w:szCs w:val="20"/>
        </w:rPr>
        <w:t>identified</w:t>
      </w:r>
      <w:r w:rsidRPr="00A31AA7">
        <w:rPr>
          <w:rFonts w:ascii="Arial" w:eastAsia="Arial" w:hAnsi="Arial" w:cs="Arial"/>
          <w:sz w:val="20"/>
          <w:szCs w:val="20"/>
        </w:rPr>
        <w:t>: 3 cross-sectional studies, and 5 cohort studies. Of the cross-sectional and cohort studies, 2 studies defined CHS based on medical records/chart review/ICD-Codes, 2 defined CHS based on diagnosis of exclusion, 1 defined CHS based on diagnostic criteria seen in the literature (severe nausea and vomiting, vomiting in a cyclic pattern over weeks to months, compulsive hot bathing with symptom relief, abdominal pain, etcetera), and 1 defined CHS based on laboratory findings (serum bicarbonate, venous blood glucose, anion gap, ketone body beta-hydroxybutyrate, and venous pH), or unspecified</w:t>
      </w:r>
      <w:r w:rsidR="00175C05">
        <w:rPr>
          <w:rFonts w:ascii="Arial" w:eastAsia="Arial" w:hAnsi="Arial" w:cs="Arial"/>
          <w:sz w:val="20"/>
          <w:szCs w:val="20"/>
        </w:rPr>
        <w:t xml:space="preserve"> (see Supplemental Table 4)</w:t>
      </w:r>
      <w:r w:rsidRPr="00A31AA7">
        <w:rPr>
          <w:rFonts w:ascii="Arial" w:eastAsia="Arial" w:hAnsi="Arial" w:cs="Arial"/>
          <w:sz w:val="20"/>
          <w:szCs w:val="20"/>
        </w:rPr>
        <w:t>. For the analytical studies, the population of interest for 4 studies was the emergency department, 1 study was pediatric GI patients, 2 studies reviewed unspecified adult patients, and 1 study had type 1 diabetes mellitus as the population of interest.</w:t>
      </w:r>
      <w:r w:rsidR="00175C05">
        <w:rPr>
          <w:rFonts w:ascii="Arial" w:eastAsia="Arial" w:hAnsi="Arial" w:cs="Arial"/>
          <w:sz w:val="20"/>
          <w:szCs w:val="20"/>
        </w:rPr>
        <w:t xml:space="preserve"> All remaining supplemental tables (Supplemental Tables 5 and 6) describe findings, study population characteristics, and provide methodological detail summaries.</w:t>
      </w:r>
    </w:p>
    <w:p w:rsidR="00021C2D" w:rsidRDefault="00021C2D" w:rsidP="00021C2D">
      <w:pPr>
        <w:spacing w:line="480" w:lineRule="auto"/>
        <w:rPr>
          <w:rFonts w:ascii="Arial" w:eastAsia="Arial" w:hAnsi="Arial" w:cs="Arial"/>
          <w:sz w:val="20"/>
          <w:szCs w:val="20"/>
        </w:rPr>
      </w:pPr>
    </w:p>
    <w:p w:rsidR="00A1279C" w:rsidRDefault="00A1279C" w:rsidP="003167F6">
      <w:pPr>
        <w:rPr>
          <w:rFonts w:ascii="Arial" w:eastAsia="Arial" w:hAnsi="Arial" w:cs="Arial"/>
          <w:sz w:val="20"/>
          <w:szCs w:val="20"/>
        </w:rPr>
        <w:sectPr w:rsidR="00A1279C" w:rsidSect="001D1A9E">
          <w:pgSz w:w="12240" w:h="15840"/>
          <w:pgMar w:top="1440" w:right="1440" w:bottom="1440" w:left="1440" w:header="720" w:footer="720" w:gutter="0"/>
          <w:cols w:space="720"/>
          <w:docGrid w:linePitch="360"/>
        </w:sectPr>
      </w:pPr>
    </w:p>
    <w:p w:rsidR="00175C05" w:rsidRDefault="00175C05" w:rsidP="00A1279C">
      <w:pPr>
        <w:rPr>
          <w:rFonts w:ascii="Arial" w:eastAsia="Arial" w:hAnsi="Arial" w:cs="Arial"/>
          <w:sz w:val="20"/>
          <w:szCs w:val="20"/>
        </w:rPr>
      </w:pPr>
    </w:p>
    <w:p w:rsidR="00175C05" w:rsidRDefault="00175C05" w:rsidP="00021C2D">
      <w:pPr>
        <w:spacing w:line="480" w:lineRule="auto"/>
        <w:rPr>
          <w:rFonts w:ascii="Arial" w:eastAsia="Arial" w:hAnsi="Arial" w:cs="Arial"/>
          <w:sz w:val="20"/>
          <w:szCs w:val="20"/>
        </w:rPr>
      </w:pPr>
    </w:p>
    <w:p w:rsidR="00021C2D" w:rsidRPr="00A31AA7" w:rsidRDefault="00CF5FEE" w:rsidP="00021C2D">
      <w:pPr>
        <w:rPr>
          <w:rFonts w:ascii="Arial" w:eastAsia="Arial" w:hAnsi="Arial" w:cs="Arial"/>
          <w:b/>
          <w:sz w:val="20"/>
          <w:szCs w:val="20"/>
        </w:rPr>
      </w:pPr>
      <w:r>
        <w:rPr>
          <w:rFonts w:ascii="Arial" w:eastAsia="Arial" w:hAnsi="Arial" w:cs="Arial"/>
          <w:b/>
          <w:sz w:val="20"/>
          <w:szCs w:val="20"/>
        </w:rPr>
        <w:t xml:space="preserve">Supplemental </w:t>
      </w:r>
      <w:r w:rsidR="00021C2D" w:rsidRPr="00A31AA7">
        <w:rPr>
          <w:rFonts w:ascii="Arial" w:eastAsia="Arial" w:hAnsi="Arial" w:cs="Arial"/>
          <w:b/>
          <w:sz w:val="20"/>
          <w:szCs w:val="20"/>
        </w:rPr>
        <w:t xml:space="preserve">Table </w:t>
      </w:r>
      <w:r>
        <w:rPr>
          <w:rFonts w:ascii="Arial" w:eastAsia="Arial" w:hAnsi="Arial" w:cs="Arial"/>
          <w:b/>
          <w:sz w:val="20"/>
          <w:szCs w:val="20"/>
        </w:rPr>
        <w:t>4</w:t>
      </w:r>
      <w:r w:rsidR="00021C2D" w:rsidRPr="00A31AA7">
        <w:rPr>
          <w:rFonts w:ascii="Arial" w:eastAsia="Arial" w:hAnsi="Arial" w:cs="Arial"/>
          <w:b/>
          <w:sz w:val="20"/>
          <w:szCs w:val="20"/>
        </w:rPr>
        <w:t>: Descriptive Studies - Case Series and Reports</w:t>
      </w:r>
      <w:r w:rsidR="00175C05">
        <w:rPr>
          <w:rFonts w:ascii="Arial" w:eastAsia="Arial" w:hAnsi="Arial" w:cs="Arial"/>
          <w:b/>
          <w:sz w:val="20"/>
          <w:szCs w:val="20"/>
        </w:rPr>
        <w:t>,</w:t>
      </w:r>
      <w:r w:rsidR="00021C2D" w:rsidRPr="00A31AA7">
        <w:rPr>
          <w:rFonts w:ascii="Arial" w:eastAsia="Arial" w:hAnsi="Arial" w:cs="Arial"/>
          <w:b/>
          <w:sz w:val="20"/>
          <w:szCs w:val="20"/>
        </w:rPr>
        <w:t xml:space="preserve"> Summary of Findings</w:t>
      </w:r>
    </w:p>
    <w:tbl>
      <w:tblPr>
        <w:tblW w:w="14505" w:type="dxa"/>
        <w:tblInd w:w="-1020" w:type="dxa"/>
        <w:tblBorders>
          <w:top w:val="nil"/>
          <w:left w:val="nil"/>
          <w:bottom w:val="nil"/>
          <w:right w:val="nil"/>
          <w:insideH w:val="nil"/>
          <w:insideV w:val="nil"/>
        </w:tblBorders>
        <w:tblLayout w:type="fixed"/>
        <w:tblLook w:val="0600" w:firstRow="0" w:lastRow="0" w:firstColumn="0" w:lastColumn="0" w:noHBand="1" w:noVBand="1"/>
      </w:tblPr>
      <w:tblGrid>
        <w:gridCol w:w="2595"/>
        <w:gridCol w:w="1620"/>
        <w:gridCol w:w="2340"/>
        <w:gridCol w:w="2175"/>
        <w:gridCol w:w="2190"/>
        <w:gridCol w:w="1515"/>
        <w:gridCol w:w="2070"/>
      </w:tblGrid>
      <w:tr w:rsidR="00021C2D" w:rsidRPr="00A1279C" w:rsidTr="005961BD">
        <w:trPr>
          <w:trHeight w:val="300"/>
        </w:trPr>
        <w:tc>
          <w:tcPr>
            <w:tcW w:w="259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color w:val="FFFFFF"/>
                <w:sz w:val="20"/>
                <w:szCs w:val="20"/>
              </w:rPr>
            </w:pPr>
            <w:r w:rsidRPr="00A1279C">
              <w:rPr>
                <w:rFonts w:ascii="Arial" w:eastAsia="Arial" w:hAnsi="Arial" w:cs="Arial"/>
                <w:b/>
                <w:color w:val="FFFFFF"/>
                <w:sz w:val="20"/>
                <w:szCs w:val="20"/>
              </w:rPr>
              <w:t>A - Study</w:t>
            </w:r>
          </w:p>
        </w:tc>
        <w:tc>
          <w:tcPr>
            <w:tcW w:w="162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color w:val="FFFFFF"/>
                <w:sz w:val="20"/>
                <w:szCs w:val="20"/>
              </w:rPr>
            </w:pPr>
            <w:r w:rsidRPr="00A1279C">
              <w:rPr>
                <w:rFonts w:ascii="Arial" w:eastAsia="Arial" w:hAnsi="Arial" w:cs="Arial"/>
                <w:b/>
                <w:color w:val="FFFFFF"/>
                <w:sz w:val="20"/>
                <w:szCs w:val="20"/>
              </w:rPr>
              <w:t>B - Age</w:t>
            </w:r>
          </w:p>
        </w:tc>
        <w:tc>
          <w:tcPr>
            <w:tcW w:w="234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color w:val="FFFFFF"/>
                <w:sz w:val="20"/>
                <w:szCs w:val="20"/>
              </w:rPr>
            </w:pPr>
            <w:r w:rsidRPr="00A1279C">
              <w:rPr>
                <w:rFonts w:ascii="Arial" w:eastAsia="Arial" w:hAnsi="Arial" w:cs="Arial"/>
                <w:b/>
                <w:color w:val="FFFFFF"/>
                <w:sz w:val="20"/>
                <w:szCs w:val="20"/>
              </w:rPr>
              <w:t>C - Comorbidities</w:t>
            </w:r>
          </w:p>
        </w:tc>
        <w:tc>
          <w:tcPr>
            <w:tcW w:w="217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color w:val="FFFFFF"/>
                <w:sz w:val="20"/>
                <w:szCs w:val="20"/>
              </w:rPr>
            </w:pPr>
            <w:r w:rsidRPr="00A1279C">
              <w:rPr>
                <w:rFonts w:ascii="Arial" w:eastAsia="Arial" w:hAnsi="Arial" w:cs="Arial"/>
                <w:b/>
                <w:color w:val="FFFFFF"/>
                <w:sz w:val="20"/>
                <w:szCs w:val="20"/>
              </w:rPr>
              <w:t>D - Exposure Description</w:t>
            </w:r>
          </w:p>
        </w:tc>
        <w:tc>
          <w:tcPr>
            <w:tcW w:w="219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color w:val="FFFFFF"/>
                <w:sz w:val="20"/>
                <w:szCs w:val="20"/>
              </w:rPr>
            </w:pPr>
            <w:r w:rsidRPr="00A1279C">
              <w:rPr>
                <w:rFonts w:ascii="Arial" w:eastAsia="Arial" w:hAnsi="Arial" w:cs="Arial"/>
                <w:b/>
                <w:color w:val="FFFFFF"/>
                <w:sz w:val="20"/>
                <w:szCs w:val="20"/>
              </w:rPr>
              <w:t>E - Frequency of Use</w:t>
            </w:r>
          </w:p>
        </w:tc>
        <w:tc>
          <w:tcPr>
            <w:tcW w:w="151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color w:val="FFFFFF"/>
                <w:sz w:val="20"/>
                <w:szCs w:val="20"/>
              </w:rPr>
            </w:pPr>
            <w:r w:rsidRPr="00A1279C">
              <w:rPr>
                <w:rFonts w:ascii="Arial" w:eastAsia="Arial" w:hAnsi="Arial" w:cs="Arial"/>
                <w:b/>
                <w:color w:val="FFFFFF"/>
                <w:sz w:val="20"/>
                <w:szCs w:val="20"/>
              </w:rPr>
              <w:t>F - Years of use</w:t>
            </w:r>
          </w:p>
        </w:tc>
        <w:tc>
          <w:tcPr>
            <w:tcW w:w="207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color w:val="FFFFFF"/>
                <w:sz w:val="20"/>
                <w:szCs w:val="20"/>
              </w:rPr>
            </w:pPr>
            <w:r w:rsidRPr="00A1279C">
              <w:rPr>
                <w:rFonts w:ascii="Arial" w:eastAsia="Arial" w:hAnsi="Arial" w:cs="Arial"/>
                <w:b/>
                <w:color w:val="FFFFFF"/>
                <w:sz w:val="20"/>
                <w:szCs w:val="20"/>
              </w:rPr>
              <w:t>G - Failed Treatment</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 xml:space="preserve">Mahamad, A., Jehangir, </w:t>
            </w:r>
            <w:proofErr w:type="gramStart"/>
            <w:r w:rsidRPr="00A1279C">
              <w:rPr>
                <w:rFonts w:ascii="Arial" w:eastAsia="Arial" w:hAnsi="Arial" w:cs="Arial"/>
                <w:color w:val="333333"/>
                <w:sz w:val="20"/>
                <w:szCs w:val="20"/>
              </w:rPr>
              <w:t>W.,et al.</w:t>
            </w:r>
            <w:proofErr w:type="gramEnd"/>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32</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15 pack year history of smoking, social drinking, and possible inflammatory bowel disease</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Delta-9-tetrahydrocannabinol (THC)</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Daily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19</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Zofran and pantoprazole</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vertAlign w:val="superscript"/>
              </w:rPr>
            </w:pPr>
            <w:r w:rsidRPr="00A1279C">
              <w:rPr>
                <w:rFonts w:ascii="Arial" w:eastAsia="Arial" w:hAnsi="Arial" w:cs="Arial"/>
                <w:color w:val="333333"/>
                <w:sz w:val="20"/>
                <w:szCs w:val="20"/>
              </w:rPr>
              <w:t xml:space="preserve">Figueroa-Rivera, I., Estremera-Marcai, R., </w:t>
            </w:r>
            <w:r w:rsidR="0025211F">
              <w:rPr>
                <w:rFonts w:ascii="Arial" w:eastAsia="Arial" w:hAnsi="Arial" w:cs="Arial"/>
                <w:color w:val="333333"/>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29</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Anxiety disorder, major depression, asthma, and substance abuse</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Δ9-tetrahydrocannabinol (Δ9-THC)</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Three to four joints a day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16</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Antiemetic and IV hydration (not specified)</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 xml:space="preserve">Hermes-Laufer, J., Puppo, Lola., </w:t>
            </w:r>
            <w:r w:rsidR="0025211F">
              <w:rPr>
                <w:rFonts w:ascii="Arial" w:eastAsia="Arial" w:hAnsi="Arial" w:cs="Arial"/>
                <w:color w:val="333333"/>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26</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Gilbert's syndrome and a myringoplasty at the age of 5</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Twice a day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16</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Metoclopramide, ondansetron, or droperidol.</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vertAlign w:val="superscript"/>
              </w:rPr>
            </w:pPr>
            <w:r w:rsidRPr="00A1279C">
              <w:rPr>
                <w:rFonts w:ascii="Arial" w:eastAsia="Arial" w:hAnsi="Arial" w:cs="Arial"/>
                <w:color w:val="333333"/>
                <w:sz w:val="20"/>
                <w:szCs w:val="20"/>
              </w:rPr>
              <w:t xml:space="preserve">Parekh, </w:t>
            </w:r>
            <w:proofErr w:type="gramStart"/>
            <w:r w:rsidRPr="00A1279C">
              <w:rPr>
                <w:rFonts w:ascii="Arial" w:eastAsia="Arial" w:hAnsi="Arial" w:cs="Arial"/>
                <w:color w:val="333333"/>
                <w:sz w:val="20"/>
                <w:szCs w:val="20"/>
              </w:rPr>
              <w:t>J.,Wozniak</w:t>
            </w:r>
            <w:proofErr w:type="gramEnd"/>
            <w:r w:rsidRPr="00A1279C">
              <w:rPr>
                <w:rFonts w:ascii="Arial" w:eastAsia="Arial" w:hAnsi="Arial" w:cs="Arial"/>
                <w:color w:val="333333"/>
                <w:sz w:val="20"/>
                <w:szCs w:val="20"/>
              </w:rPr>
              <w:t xml:space="preserve">, S., </w:t>
            </w:r>
            <w:r w:rsidR="0025211F">
              <w:rPr>
                <w:rFonts w:ascii="Arial" w:eastAsia="Arial" w:hAnsi="Arial" w:cs="Arial"/>
                <w:color w:val="333333"/>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38</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Hypertension and gastro-oesophageal reflux disease (GERD)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Average of 5–6 joints a day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20</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Not stated</w:t>
            </w:r>
          </w:p>
        </w:tc>
      </w:tr>
      <w:tr w:rsidR="00021C2D" w:rsidRPr="00A1279C" w:rsidTr="005961BD">
        <w:trPr>
          <w:trHeight w:val="300"/>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color w:val="333333"/>
                <w:sz w:val="20"/>
                <w:szCs w:val="20"/>
              </w:rPr>
            </w:pPr>
          </w:p>
          <w:p w:rsidR="00021C2D" w:rsidRPr="00A1279C" w:rsidRDefault="00021C2D" w:rsidP="005961BD">
            <w:pPr>
              <w:widowControl w:val="0"/>
              <w:spacing w:line="276" w:lineRule="auto"/>
              <w:rPr>
                <w:rFonts w:ascii="Arial" w:hAnsi="Arial" w:cs="Arial"/>
                <w:color w:val="333333"/>
                <w:sz w:val="20"/>
                <w:szCs w:val="20"/>
                <w:vertAlign w:val="superscript"/>
              </w:rPr>
            </w:pPr>
            <w:r w:rsidRPr="00A1279C">
              <w:rPr>
                <w:rFonts w:ascii="Arial" w:eastAsia="Arial" w:hAnsi="Arial" w:cs="Arial"/>
                <w:color w:val="333333"/>
                <w:sz w:val="20"/>
                <w:szCs w:val="20"/>
              </w:rPr>
              <w:t>Sharma, U</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27</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Gilbert Syndrome</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Daily cannabis use</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1</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Not stated</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vertAlign w:val="superscript"/>
              </w:rPr>
            </w:pPr>
            <w:r w:rsidRPr="00A1279C">
              <w:rPr>
                <w:rFonts w:ascii="Arial" w:eastAsia="Arial" w:hAnsi="Arial" w:cs="Arial"/>
                <w:color w:val="333333"/>
                <w:sz w:val="20"/>
                <w:szCs w:val="20"/>
              </w:rPr>
              <w:t>Howard, I</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31</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Five-year history of limb-onset ALS</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Δ9-tetrahydrocannabinol (THC)/cannabidiol (CBD) content</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10 mg three to five times per week</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&gt;1</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Dicyclomine,</w:t>
            </w:r>
          </w:p>
        </w:tc>
      </w:tr>
      <w:tr w:rsidR="00021C2D" w:rsidRPr="00A1279C" w:rsidTr="005961BD">
        <w:trPr>
          <w:trHeight w:val="975"/>
        </w:trPr>
        <w:tc>
          <w:tcPr>
            <w:tcW w:w="259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vertAlign w:val="superscript"/>
              </w:rPr>
            </w:pPr>
            <w:r w:rsidRPr="00A1279C">
              <w:rPr>
                <w:rFonts w:ascii="Arial" w:eastAsia="Arial" w:hAnsi="Arial" w:cs="Arial"/>
                <w:color w:val="333333"/>
                <w:sz w:val="20"/>
                <w:szCs w:val="20"/>
              </w:rPr>
              <w:t xml:space="preserve">Parvatanenim, S., Varela, L., </w:t>
            </w:r>
            <w:r w:rsidR="0025211F">
              <w:rPr>
                <w:rFonts w:ascii="Arial" w:eastAsia="Arial" w:hAnsi="Arial" w:cs="Arial"/>
                <w:color w:val="333333"/>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30</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Asthma</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 xml:space="preserve">11-Nor-9-carboxy-Δ9-tetrahydrocannabinol (THC-COOH) </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Few times per week</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4</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Ondansetron, metoclopramide, prochlorperazine, omeprazole, ranitidine, promethazine, and haloperidol</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vertAlign w:val="superscript"/>
              </w:rPr>
            </w:pPr>
            <w:r w:rsidRPr="00A1279C">
              <w:rPr>
                <w:rFonts w:ascii="Arial" w:eastAsia="Arial" w:hAnsi="Arial" w:cs="Arial"/>
                <w:color w:val="333333"/>
                <w:sz w:val="20"/>
                <w:szCs w:val="20"/>
              </w:rPr>
              <w:t>Flamient, J., Scius, N</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29</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 xml:space="preserve">First pregnancy </w:t>
            </w:r>
            <w:proofErr w:type="gramStart"/>
            <w:r w:rsidRPr="00A1279C">
              <w:rPr>
                <w:rFonts w:ascii="Arial" w:eastAsia="Arial" w:hAnsi="Arial" w:cs="Arial"/>
                <w:color w:val="333333"/>
                <w:sz w:val="20"/>
                <w:szCs w:val="20"/>
              </w:rPr>
              <w:t>( 29</w:t>
            </w:r>
            <w:proofErr w:type="gramEnd"/>
            <w:r w:rsidRPr="00A1279C">
              <w:rPr>
                <w:rFonts w:ascii="Arial" w:eastAsia="Arial" w:hAnsi="Arial" w:cs="Arial"/>
                <w:color w:val="333333"/>
                <w:sz w:val="20"/>
                <w:szCs w:val="20"/>
              </w:rPr>
              <w:t xml:space="preserve">-week and 1-day </w:t>
            </w:r>
            <w:r w:rsidRPr="00A1279C">
              <w:rPr>
                <w:rFonts w:ascii="Arial" w:eastAsia="Arial" w:hAnsi="Arial" w:cs="Arial"/>
                <w:color w:val="333333"/>
                <w:sz w:val="20"/>
                <w:szCs w:val="20"/>
              </w:rPr>
              <w:lastRenderedPageBreak/>
              <w:t>gestation)</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lastRenderedPageBreak/>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2 g per week</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6</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Not stated</w:t>
            </w:r>
          </w:p>
        </w:tc>
      </w:tr>
      <w:tr w:rsidR="00021C2D" w:rsidRPr="00A1279C" w:rsidTr="005961BD">
        <w:trPr>
          <w:trHeight w:val="300"/>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color w:val="333333"/>
                <w:sz w:val="20"/>
                <w:szCs w:val="20"/>
              </w:rPr>
            </w:pPr>
          </w:p>
          <w:p w:rsidR="00021C2D" w:rsidRPr="00A1279C" w:rsidRDefault="00021C2D" w:rsidP="005961BD">
            <w:pPr>
              <w:widowControl w:val="0"/>
              <w:spacing w:line="276" w:lineRule="auto"/>
              <w:rPr>
                <w:rFonts w:ascii="Arial" w:eastAsia="Arial" w:hAnsi="Arial" w:cs="Arial"/>
                <w:color w:val="333333"/>
                <w:sz w:val="20"/>
                <w:szCs w:val="20"/>
              </w:rPr>
            </w:pPr>
          </w:p>
          <w:p w:rsidR="00021C2D" w:rsidRPr="00A1279C" w:rsidRDefault="00021C2D" w:rsidP="005961BD">
            <w:pPr>
              <w:widowControl w:val="0"/>
              <w:spacing w:line="276" w:lineRule="auto"/>
              <w:rPr>
                <w:rFonts w:ascii="Arial" w:eastAsia="Arial" w:hAnsi="Arial" w:cs="Arial"/>
                <w:color w:val="333333"/>
                <w:sz w:val="20"/>
                <w:szCs w:val="20"/>
              </w:rPr>
            </w:pPr>
          </w:p>
          <w:p w:rsidR="00021C2D" w:rsidRPr="00A1279C" w:rsidRDefault="00021C2D" w:rsidP="005961BD">
            <w:pPr>
              <w:widowControl w:val="0"/>
              <w:spacing w:line="276" w:lineRule="auto"/>
              <w:rPr>
                <w:rFonts w:ascii="Arial" w:hAnsi="Arial" w:cs="Arial"/>
                <w:color w:val="333333"/>
                <w:sz w:val="20"/>
                <w:szCs w:val="20"/>
                <w:vertAlign w:val="superscript"/>
              </w:rPr>
            </w:pPr>
            <w:r w:rsidRPr="00A1279C">
              <w:rPr>
                <w:rFonts w:ascii="Arial" w:eastAsia="Arial" w:hAnsi="Arial" w:cs="Arial"/>
                <w:color w:val="333333"/>
                <w:sz w:val="20"/>
                <w:szCs w:val="20"/>
              </w:rPr>
              <w:t>Fleshman, B., and Kaiser, K</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20</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Daily cannabis use</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color w:val="333333"/>
                <w:sz w:val="20"/>
                <w:szCs w:val="20"/>
              </w:rPr>
            </w:pPr>
            <w:r w:rsidRPr="00A1279C">
              <w:rPr>
                <w:rFonts w:ascii="Arial" w:eastAsia="Arial" w:hAnsi="Arial" w:cs="Arial"/>
                <w:color w:val="333333"/>
                <w:sz w:val="20"/>
                <w:szCs w:val="20"/>
              </w:rPr>
              <w:t>7</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color w:val="333333"/>
                <w:sz w:val="20"/>
                <w:szCs w:val="20"/>
              </w:rPr>
            </w:pPr>
            <w:r w:rsidRPr="00A1279C">
              <w:rPr>
                <w:rFonts w:ascii="Arial" w:eastAsia="Arial" w:hAnsi="Arial" w:cs="Arial"/>
                <w:color w:val="333333"/>
                <w:sz w:val="20"/>
                <w:szCs w:val="20"/>
              </w:rPr>
              <w:t>Ondansetron, promethazine</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vertAlign w:val="superscript"/>
              </w:rPr>
            </w:pPr>
            <w:r w:rsidRPr="00A1279C">
              <w:rPr>
                <w:rFonts w:ascii="Arial" w:eastAsia="Arial" w:hAnsi="Arial" w:cs="Arial"/>
                <w:sz w:val="20"/>
                <w:szCs w:val="20"/>
              </w:rPr>
              <w:t xml:space="preserve">Patel, M., Narayanan, R.,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sz w:val="20"/>
                <w:szCs w:val="20"/>
              </w:rPr>
            </w:pPr>
          </w:p>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28</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CHS, marijuana abuse, Kidney stone and tobacco abuse</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vertAlign w:val="superscript"/>
              </w:rPr>
            </w:pPr>
            <w:r w:rsidRPr="00A1279C">
              <w:rPr>
                <w:rFonts w:ascii="Arial" w:eastAsia="Arial" w:hAnsi="Arial" w:cs="Arial"/>
                <w:sz w:val="20"/>
                <w:szCs w:val="20"/>
              </w:rPr>
              <w:t xml:space="preserve">Hickey, J., Witsil, J.,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34</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Daily cannabis use</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&gt;15</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Morphine 4 mg intravenously (IV), ondansetron 4 mg IV, and 1 L normal saline IV fluid bolus</w:t>
            </w:r>
          </w:p>
        </w:tc>
      </w:tr>
      <w:tr w:rsidR="00021C2D" w:rsidRPr="00A1279C" w:rsidTr="005961BD">
        <w:trPr>
          <w:trHeight w:val="300"/>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vertAlign w:val="superscript"/>
              </w:rPr>
            </w:pPr>
            <w:r w:rsidRPr="00A1279C">
              <w:rPr>
                <w:rFonts w:ascii="Arial" w:eastAsia="Arial" w:hAnsi="Arial" w:cs="Arial"/>
                <w:sz w:val="20"/>
                <w:szCs w:val="20"/>
              </w:rPr>
              <w:t xml:space="preserve">Mohammed, F., Panchoo, </w:t>
            </w:r>
            <w:proofErr w:type="gramStart"/>
            <w:r w:rsidRPr="00A1279C">
              <w:rPr>
                <w:rFonts w:ascii="Arial" w:eastAsia="Arial" w:hAnsi="Arial" w:cs="Arial"/>
                <w:sz w:val="20"/>
                <w:szCs w:val="20"/>
              </w:rPr>
              <w:t>K.,</w:t>
            </w:r>
            <w:r w:rsidR="0025211F">
              <w:rPr>
                <w:rFonts w:ascii="Arial" w:eastAsia="Arial" w:hAnsi="Arial" w:cs="Arial"/>
                <w:sz w:val="20"/>
                <w:szCs w:val="20"/>
              </w:rPr>
              <w:t>et al.</w:t>
            </w:r>
            <w:proofErr w:type="gramEnd"/>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26</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4 “joints” or marijuana cigars every day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Morphine and antiemetics.</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vertAlign w:val="superscript"/>
              </w:rPr>
            </w:pPr>
            <w:r w:rsidRPr="00A1279C">
              <w:rPr>
                <w:rFonts w:ascii="Arial" w:eastAsia="Arial" w:hAnsi="Arial" w:cs="Arial"/>
                <w:sz w:val="20"/>
                <w:szCs w:val="20"/>
              </w:rPr>
              <w:t xml:space="preserve">Cha, J., Kozarek, R.,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44</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At least 4-8 marijuana doses (“joints”) per day.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20</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Amitriptyline, paroxetine hydrochloride, sertraline and tegaserod</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vertAlign w:val="superscript"/>
              </w:rPr>
            </w:pPr>
            <w:r w:rsidRPr="00A1279C">
              <w:rPr>
                <w:rFonts w:ascii="Arial" w:eastAsia="Arial" w:hAnsi="Arial" w:cs="Arial"/>
                <w:sz w:val="20"/>
                <w:szCs w:val="20"/>
              </w:rPr>
              <w:t xml:space="preserve">Lam, P., Frost, D.,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20</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color w:val="333333"/>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1 g of cannabis daily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Several (unspecified)</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Intravenous fluids, dimenhydrinate, ondansetron and metoclopramide</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vertAlign w:val="superscript"/>
              </w:rPr>
            </w:pPr>
            <w:proofErr w:type="gramStart"/>
            <w:r w:rsidRPr="00A1279C">
              <w:rPr>
                <w:rFonts w:ascii="Arial" w:eastAsia="Arial" w:hAnsi="Arial" w:cs="Arial"/>
                <w:sz w:val="20"/>
                <w:szCs w:val="20"/>
              </w:rPr>
              <w:t>Nogi,M.</w:t>
            </w:r>
            <w:proofErr w:type="gramEnd"/>
            <w:r w:rsidRPr="00A1279C">
              <w:rPr>
                <w:rFonts w:ascii="Arial" w:eastAsia="Arial" w:hAnsi="Arial" w:cs="Arial"/>
                <w:sz w:val="20"/>
                <w:szCs w:val="20"/>
              </w:rPr>
              <w:t xml:space="preserve">, Fergusson, D.,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32</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Hypertension, dyslipidemia, migraine headaches, prior marijuana use, and Takotsubo cardiomyopathy</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Δ9-tetrahydrocannabinol (THC)</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Regular basis (unquantified amount)</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&gt;10</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Ondansetron</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lastRenderedPageBreak/>
              <w:t xml:space="preserve">Ukaigwe, A., Karmacharya, P.,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38</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Nonulcer dyspepsia</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Standard cannabinoid uses and K2 (a synthetic cannabis)</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3-4 times a day, occasionally up to 10 rolls a day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Ondansetron</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Desjardins, N., Jamoulle, O.,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17</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Smoking marijuana daily (2 g/day)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&gt;2</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color w:val="1F1F1F"/>
                <w:sz w:val="20"/>
                <w:szCs w:val="20"/>
              </w:rPr>
              <w:t>Ondansetron, dimenhydrinate, and metoclopramide</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Udo, B</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26</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&gt;11</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Antiemetics, corticoids, or prucalopride, dronabinol, clonidine, fentanyl patch</w:t>
            </w:r>
          </w:p>
        </w:tc>
      </w:tr>
      <w:tr w:rsidR="00021C2D" w:rsidRPr="00A1279C" w:rsidTr="005961BD">
        <w:trPr>
          <w:trHeight w:val="300"/>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Argamany, J., Reveles, K.,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27</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 significant medical history</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Synthetic Marijuana</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Morphine sulfate and ondansetron</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Jones, J., Abernathy, K.,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18</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2-3 times per day on average.</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Ondansetron, promethazine, prochlorperazine, metoclopramide, lorazepam, and omeprazole.</w:t>
            </w:r>
          </w:p>
        </w:tc>
      </w:tr>
      <w:tr w:rsidR="00021C2D" w:rsidRPr="00A1279C" w:rsidTr="005961BD">
        <w:trPr>
          <w:trHeight w:val="300"/>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Alaniz, V., Liss, J.,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28</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Asthma, pregnancy</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Smoking up to “20 bowls” of marijuana daily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12</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r>
      <w:tr w:rsidR="00021C2D" w:rsidRPr="00A1279C" w:rsidTr="005961BD">
        <w:trPr>
          <w:trHeight w:val="193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Brewerton, T., Anderson, O.,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22</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Childhood onset ano-rexia nervosa (AN), binge purge type, obsessive-compulsive disorder (OCD), major depressive </w:t>
            </w:r>
            <w:proofErr w:type="gramStart"/>
            <w:r w:rsidRPr="00A1279C">
              <w:rPr>
                <w:rFonts w:ascii="Arial" w:eastAsia="Arial" w:hAnsi="Arial" w:cs="Arial"/>
                <w:sz w:val="20"/>
                <w:szCs w:val="20"/>
              </w:rPr>
              <w:t>disorder(</w:t>
            </w:r>
            <w:proofErr w:type="gramEnd"/>
            <w:r w:rsidRPr="00A1279C">
              <w:rPr>
                <w:rFonts w:ascii="Arial" w:eastAsia="Arial" w:hAnsi="Arial" w:cs="Arial"/>
                <w:sz w:val="20"/>
                <w:szCs w:val="20"/>
              </w:rPr>
              <w:t xml:space="preserve">MDD), single episode, benign paroxysmal positional vertigo (BPPV ), migraine headache, temporomandib-ular joint </w:t>
            </w:r>
            <w:r w:rsidRPr="00A1279C">
              <w:rPr>
                <w:rFonts w:ascii="Arial" w:eastAsia="Arial" w:hAnsi="Arial" w:cs="Arial"/>
                <w:sz w:val="20"/>
                <w:szCs w:val="20"/>
              </w:rPr>
              <w:lastRenderedPageBreak/>
              <w:t>(TMJ) locking, and scoliosis</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lastRenderedPageBreak/>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Daily use</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Several (unspecified)</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Intravenous fluid and electrolyte repletion, antiemetic </w:t>
            </w:r>
            <w:proofErr w:type="gramStart"/>
            <w:r w:rsidRPr="00A1279C">
              <w:rPr>
                <w:rFonts w:ascii="Arial" w:eastAsia="Arial" w:hAnsi="Arial" w:cs="Arial"/>
                <w:sz w:val="20"/>
                <w:szCs w:val="20"/>
              </w:rPr>
              <w:t>therapy ,narcotics</w:t>
            </w:r>
            <w:proofErr w:type="gramEnd"/>
          </w:p>
        </w:tc>
      </w:tr>
      <w:tr w:rsidR="00021C2D" w:rsidRPr="00A1279C" w:rsidTr="005961BD">
        <w:trPr>
          <w:trHeight w:val="300"/>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vertAlign w:val="superscript"/>
              </w:rPr>
            </w:pPr>
            <w:r w:rsidRPr="00A1279C">
              <w:rPr>
                <w:rFonts w:ascii="Arial" w:eastAsia="Arial" w:hAnsi="Arial" w:cs="Arial"/>
                <w:sz w:val="20"/>
                <w:szCs w:val="20"/>
              </w:rPr>
              <w:t xml:space="preserve">Inayat, F., Hassan, H.,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27</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Atleast 5 joints a day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10</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Ondansetron and intravenous hydration</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Philips, H., and Smith, D</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34</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daily use</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9</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Ondansetron 4gm IV, and 2 mg of IV lorazepam</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Enuh, H., Chin, J.,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47</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Diabetes, hypertension, epilepsy, and drug addiction</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Two to three “blunts” (cigars hollowed out and filled with marijuana) most days and occasionally up to eight blunts daily.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30</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Ondansetron</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vertAlign w:val="superscript"/>
              </w:rPr>
            </w:pPr>
            <w:r w:rsidRPr="00A1279C">
              <w:rPr>
                <w:rFonts w:ascii="Arial" w:eastAsia="Arial" w:hAnsi="Arial" w:cs="Arial"/>
                <w:sz w:val="20"/>
                <w:szCs w:val="20"/>
              </w:rPr>
              <w:t xml:space="preserve">Attout, H., Amichi, S.,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36</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Diabetes mellitus and an episode of acute pancreatitis of alcoholic origin</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smoked five marijuana cigars (each containing 1.0 g marijuana bud) every day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10</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None stated</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vertAlign w:val="superscript"/>
              </w:rPr>
            </w:pPr>
            <w:r w:rsidRPr="00A1279C">
              <w:rPr>
                <w:rFonts w:ascii="Arial" w:eastAsia="Arial" w:hAnsi="Arial" w:cs="Arial"/>
                <w:sz w:val="20"/>
                <w:szCs w:val="20"/>
              </w:rPr>
              <w:t xml:space="preserve">Attout, H., Amichi, S.,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28</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Bipolar disorder</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Three marijuana cigars (each containing 1.0 g marijuana bud) every day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10</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Antiemetics</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Nachnani, R., Hushagen, K.,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17</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Binging-purging behaviors</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Delta-9-tetrahydrocannabinol (THC)</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3 times daily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3</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Topical capsaicin cream, hyoscyamine, dicyclomine, morphine, promethazine, famotidine, and divalent cation antacids</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Nachnani, R., Hushagen, K.,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16</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Eosinophilic esophagitis (EoE)</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Delta-9-tetrahydrocannabinol (THC)</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3 times weekly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Ondansetron</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eastAsia="Arial" w:hAnsi="Arial" w:cs="Arial"/>
                <w:sz w:val="20"/>
                <w:szCs w:val="20"/>
              </w:rPr>
            </w:pPr>
          </w:p>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Nachnani, R., Hushagen, K.,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15</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Delta-9-tetrahydrocannabinol (THC)</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3 bowls per day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Ondansetron and metoclopramide</w:t>
            </w:r>
          </w:p>
        </w:tc>
      </w:tr>
      <w:tr w:rsidR="00021C2D" w:rsidRPr="00A1279C" w:rsidTr="005961BD">
        <w:trPr>
          <w:trHeight w:val="97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Sawni, A., Vaniawala, V.,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15</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Pelvic inflammatory disease, urinary tract infection, and Clostridium difficile infection, depression, and anxiety</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Tetrahydrocannabinol (THC, the active ingredient in marijuana)</w:t>
            </w:r>
          </w:p>
        </w:tc>
        <w:tc>
          <w:tcPr>
            <w:tcW w:w="21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color w:val="212121"/>
                <w:sz w:val="20"/>
                <w:szCs w:val="20"/>
              </w:rPr>
              <w:t>2 to 3 times weekly</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Antibiotics, intravenous fluid hydration, antiemetics, and analgesics</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 xml:space="preserve">Sawni, A., Vaniawala, V.,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16</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Gastritis</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color w:val="333333"/>
                <w:sz w:val="20"/>
                <w:szCs w:val="20"/>
              </w:rPr>
              <w:t>THC (unspecified)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Patient did not quantify</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Antiemetics, proton pump inhibitors, and analgesics</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Wistil, J., and Mycyk, M</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34</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 psychiatric disorders identified</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color w:val="333333"/>
                <w:sz w:val="20"/>
                <w:szCs w:val="20"/>
              </w:rPr>
              <w:t>Promethazine, ondansetron (OND) 4 mg IV and IV fluids</w:t>
            </w:r>
          </w:p>
        </w:tc>
      </w:tr>
      <w:tr w:rsidR="00021C2D" w:rsidRPr="00A1279C" w:rsidTr="005961BD">
        <w:trPr>
          <w:trHeight w:val="49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Wistil, J., and Mycyk, M</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28</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 psychiatric disorders identified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color w:val="333333"/>
                <w:sz w:val="20"/>
                <w:szCs w:val="20"/>
              </w:rPr>
              <w:t>Ondansetron (OND), metoclopramide (MET), or chlorpromazine</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Wistil, J., and Mycyk, M</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48</w:t>
            </w:r>
          </w:p>
        </w:tc>
        <w:tc>
          <w:tcPr>
            <w:tcW w:w="23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 psychiatric disorders identified</w:t>
            </w:r>
          </w:p>
        </w:tc>
        <w:tc>
          <w:tcPr>
            <w:tcW w:w="21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15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color w:val="333333"/>
                <w:sz w:val="20"/>
                <w:szCs w:val="20"/>
              </w:rPr>
              <w:t>metoclopramide (MET), promethazine, ondansetron (OND) 4 mg IV, IVF, and chlorpromazine</w:t>
            </w:r>
          </w:p>
        </w:tc>
      </w:tr>
      <w:tr w:rsidR="00021C2D" w:rsidRPr="00A1279C" w:rsidTr="005961BD">
        <w:trPr>
          <w:trHeight w:val="735"/>
        </w:trPr>
        <w:tc>
          <w:tcPr>
            <w:tcW w:w="259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Wistil, J., and Mycyk, M</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22</w:t>
            </w:r>
          </w:p>
        </w:tc>
        <w:tc>
          <w:tcPr>
            <w:tcW w:w="234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 psychiatric disorders identified</w:t>
            </w:r>
          </w:p>
        </w:tc>
        <w:tc>
          <w:tcPr>
            <w:tcW w:w="21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sz w:val="20"/>
                <w:szCs w:val="20"/>
              </w:rPr>
              <w:t>Not stated</w:t>
            </w:r>
          </w:p>
        </w:tc>
        <w:tc>
          <w:tcPr>
            <w:tcW w:w="151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jc w:val="center"/>
              <w:rPr>
                <w:rFonts w:ascii="Arial" w:hAnsi="Arial" w:cs="Arial"/>
                <w:sz w:val="20"/>
                <w:szCs w:val="20"/>
              </w:rPr>
            </w:pPr>
            <w:r w:rsidRPr="00A1279C">
              <w:rPr>
                <w:rFonts w:ascii="Arial" w:eastAsia="Arial" w:hAnsi="Arial" w:cs="Arial"/>
                <w:sz w:val="20"/>
                <w:szCs w:val="20"/>
              </w:rPr>
              <w:t>Not stated</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1279C" w:rsidRDefault="00021C2D" w:rsidP="005961BD">
            <w:pPr>
              <w:widowControl w:val="0"/>
              <w:spacing w:line="276" w:lineRule="auto"/>
              <w:rPr>
                <w:rFonts w:ascii="Arial" w:hAnsi="Arial" w:cs="Arial"/>
                <w:sz w:val="20"/>
                <w:szCs w:val="20"/>
              </w:rPr>
            </w:pPr>
            <w:r w:rsidRPr="00A1279C">
              <w:rPr>
                <w:rFonts w:ascii="Arial" w:eastAsia="Arial" w:hAnsi="Arial" w:cs="Arial"/>
                <w:color w:val="333333"/>
                <w:sz w:val="20"/>
                <w:szCs w:val="20"/>
              </w:rPr>
              <w:t>metoclopramide (MET), ondansetron (OND) 4 mg IV, and intravenous fluid (IVF)</w:t>
            </w:r>
          </w:p>
        </w:tc>
      </w:tr>
    </w:tbl>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rPr>
      </w:pPr>
    </w:p>
    <w:p w:rsidR="00021C2D" w:rsidRPr="00A31AA7" w:rsidRDefault="00021C2D" w:rsidP="00021C2D">
      <w:pPr>
        <w:rPr>
          <w:rFonts w:ascii="Arial" w:eastAsia="Arial" w:hAnsi="Arial" w:cs="Arial"/>
          <w:sz w:val="20"/>
          <w:szCs w:val="20"/>
        </w:rPr>
      </w:pPr>
    </w:p>
    <w:p w:rsidR="00021C2D" w:rsidRPr="00A31AA7" w:rsidRDefault="00021C2D" w:rsidP="00021C2D">
      <w:pPr>
        <w:rPr>
          <w:rFonts w:ascii="Arial" w:eastAsia="Arial" w:hAnsi="Arial" w:cs="Arial"/>
          <w:sz w:val="20"/>
          <w:szCs w:val="20"/>
        </w:rPr>
      </w:pPr>
    </w:p>
    <w:p w:rsidR="00021C2D" w:rsidRPr="00A31AA7" w:rsidRDefault="00021C2D" w:rsidP="00021C2D">
      <w:pPr>
        <w:rPr>
          <w:rFonts w:ascii="Arial" w:eastAsia="Arial" w:hAnsi="Arial" w:cs="Arial"/>
          <w:sz w:val="20"/>
          <w:szCs w:val="20"/>
        </w:rPr>
      </w:pPr>
    </w:p>
    <w:p w:rsidR="00021C2D" w:rsidRPr="00A31AA7" w:rsidRDefault="00021C2D" w:rsidP="00021C2D">
      <w:pPr>
        <w:rPr>
          <w:rFonts w:ascii="Arial" w:eastAsia="Arial" w:hAnsi="Arial" w:cs="Arial"/>
          <w:sz w:val="20"/>
          <w:szCs w:val="20"/>
        </w:rPr>
      </w:pPr>
    </w:p>
    <w:p w:rsidR="00021C2D" w:rsidRPr="00A31AA7" w:rsidRDefault="00021C2D" w:rsidP="00021C2D">
      <w:pPr>
        <w:rPr>
          <w:rFonts w:ascii="Arial" w:eastAsia="Arial" w:hAnsi="Arial" w:cs="Arial"/>
          <w:sz w:val="20"/>
          <w:szCs w:val="20"/>
        </w:rPr>
      </w:pPr>
    </w:p>
    <w:p w:rsidR="00021C2D" w:rsidRPr="00A31AA7" w:rsidRDefault="00175C05" w:rsidP="00021C2D">
      <w:pPr>
        <w:rPr>
          <w:rFonts w:ascii="Arial" w:eastAsia="Arial" w:hAnsi="Arial" w:cs="Arial"/>
          <w:b/>
          <w:sz w:val="20"/>
          <w:szCs w:val="20"/>
          <w:vertAlign w:val="subscript"/>
        </w:rPr>
      </w:pPr>
      <w:r>
        <w:rPr>
          <w:rFonts w:ascii="Arial" w:eastAsia="Arial" w:hAnsi="Arial" w:cs="Arial"/>
          <w:b/>
          <w:sz w:val="20"/>
          <w:szCs w:val="20"/>
        </w:rPr>
        <w:t xml:space="preserve">Supplemental </w:t>
      </w:r>
      <w:r w:rsidR="00021C2D" w:rsidRPr="00A31AA7">
        <w:rPr>
          <w:rFonts w:ascii="Arial" w:eastAsia="Arial" w:hAnsi="Arial" w:cs="Arial"/>
          <w:b/>
          <w:sz w:val="20"/>
          <w:szCs w:val="20"/>
        </w:rPr>
        <w:t>Table</w:t>
      </w:r>
      <w:r>
        <w:rPr>
          <w:rFonts w:ascii="Arial" w:eastAsia="Arial" w:hAnsi="Arial" w:cs="Arial"/>
          <w:b/>
          <w:sz w:val="20"/>
          <w:szCs w:val="20"/>
        </w:rPr>
        <w:t xml:space="preserve"> 5</w:t>
      </w:r>
      <w:r w:rsidR="00021C2D" w:rsidRPr="00A31AA7">
        <w:rPr>
          <w:rFonts w:ascii="Arial" w:eastAsia="Arial" w:hAnsi="Arial" w:cs="Arial"/>
          <w:b/>
          <w:sz w:val="20"/>
          <w:szCs w:val="20"/>
        </w:rPr>
        <w:t>: Descriptive Studies - Case Series and Reports</w:t>
      </w:r>
      <w:r>
        <w:rPr>
          <w:rFonts w:ascii="Arial" w:eastAsia="Arial" w:hAnsi="Arial" w:cs="Arial"/>
          <w:b/>
          <w:sz w:val="20"/>
          <w:szCs w:val="20"/>
        </w:rPr>
        <w:t>,</w:t>
      </w:r>
      <w:r w:rsidR="00021C2D" w:rsidRPr="00A31AA7">
        <w:rPr>
          <w:rFonts w:ascii="Arial" w:eastAsia="Arial" w:hAnsi="Arial" w:cs="Arial"/>
          <w:b/>
          <w:sz w:val="20"/>
          <w:szCs w:val="20"/>
        </w:rPr>
        <w:t xml:space="preserve"> Summary of Findings </w:t>
      </w:r>
    </w:p>
    <w:tbl>
      <w:tblPr>
        <w:tblW w:w="14520" w:type="dxa"/>
        <w:tblInd w:w="-945" w:type="dxa"/>
        <w:tblBorders>
          <w:top w:val="nil"/>
          <w:left w:val="nil"/>
          <w:bottom w:val="nil"/>
          <w:right w:val="nil"/>
          <w:insideH w:val="nil"/>
          <w:insideV w:val="nil"/>
        </w:tblBorders>
        <w:tblLayout w:type="fixed"/>
        <w:tblLook w:val="0600" w:firstRow="0" w:lastRow="0" w:firstColumn="0" w:lastColumn="0" w:noHBand="1" w:noVBand="1"/>
      </w:tblPr>
      <w:tblGrid>
        <w:gridCol w:w="2460"/>
        <w:gridCol w:w="3510"/>
        <w:gridCol w:w="2475"/>
        <w:gridCol w:w="3870"/>
        <w:gridCol w:w="2205"/>
      </w:tblGrid>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color w:val="FFFFFF"/>
              </w:rPr>
            </w:pPr>
            <w:r w:rsidRPr="00A31AA7">
              <w:rPr>
                <w:rFonts w:ascii="Arial" w:eastAsia="Arial" w:hAnsi="Arial" w:cs="Arial"/>
                <w:b/>
                <w:color w:val="FFFFFF"/>
                <w:sz w:val="20"/>
                <w:szCs w:val="20"/>
              </w:rPr>
              <w:t>A - Study</w:t>
            </w:r>
          </w:p>
        </w:tc>
        <w:tc>
          <w:tcPr>
            <w:tcW w:w="351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color w:val="FFFFFF"/>
              </w:rPr>
            </w:pPr>
            <w:r w:rsidRPr="00A31AA7">
              <w:rPr>
                <w:rFonts w:ascii="Arial" w:eastAsia="Arial" w:hAnsi="Arial" w:cs="Arial"/>
                <w:b/>
                <w:color w:val="FFFFFF"/>
                <w:sz w:val="20"/>
                <w:szCs w:val="20"/>
              </w:rPr>
              <w:t>H - Non-Pharmacological Treatments</w:t>
            </w:r>
          </w:p>
        </w:tc>
        <w:tc>
          <w:tcPr>
            <w:tcW w:w="247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color w:val="FFFFFF"/>
              </w:rPr>
            </w:pPr>
            <w:r w:rsidRPr="00A31AA7">
              <w:rPr>
                <w:rFonts w:ascii="Arial" w:eastAsia="Arial" w:hAnsi="Arial" w:cs="Arial"/>
                <w:b/>
                <w:color w:val="FFFFFF"/>
                <w:sz w:val="20"/>
                <w:szCs w:val="20"/>
              </w:rPr>
              <w:t>I - Symptom Relief from Non-Pharmacological Treatment</w:t>
            </w:r>
          </w:p>
        </w:tc>
        <w:tc>
          <w:tcPr>
            <w:tcW w:w="387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color w:val="FFFFFF"/>
              </w:rPr>
            </w:pPr>
            <w:r w:rsidRPr="00A31AA7">
              <w:rPr>
                <w:rFonts w:ascii="Arial" w:eastAsia="Arial" w:hAnsi="Arial" w:cs="Arial"/>
                <w:b/>
                <w:color w:val="FFFFFF"/>
                <w:sz w:val="20"/>
                <w:szCs w:val="20"/>
              </w:rPr>
              <w:t>J - Definitive Pharmacological Treatment</w:t>
            </w:r>
          </w:p>
        </w:tc>
        <w:tc>
          <w:tcPr>
            <w:tcW w:w="220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color w:val="FFFFFF"/>
              </w:rPr>
            </w:pPr>
            <w:r w:rsidRPr="00A31AA7">
              <w:rPr>
                <w:rFonts w:ascii="Arial" w:eastAsia="Arial" w:hAnsi="Arial" w:cs="Arial"/>
                <w:b/>
                <w:color w:val="FFFFFF"/>
                <w:sz w:val="20"/>
                <w:szCs w:val="20"/>
              </w:rPr>
              <w:t>K - Resolution of Symptoms</w:t>
            </w:r>
          </w:p>
        </w:tc>
      </w:tr>
      <w:tr w:rsidR="00021C2D" w:rsidRPr="00A31AA7" w:rsidTr="005961BD">
        <w:trPr>
          <w:trHeight w:val="735"/>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Mahamad, A., Jehangir, </w:t>
            </w:r>
            <w:proofErr w:type="gramStart"/>
            <w:r w:rsidRPr="00A31AA7">
              <w:rPr>
                <w:rFonts w:ascii="Arial" w:eastAsia="Arial" w:hAnsi="Arial" w:cs="Arial"/>
                <w:sz w:val="20"/>
                <w:szCs w:val="20"/>
              </w:rPr>
              <w:t>W.,et al.</w:t>
            </w:r>
            <w:proofErr w:type="gramEnd"/>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Lorazepam 1 mg PO BID for 3 days and then reduced to once a day for 3 days</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495"/>
        </w:trPr>
        <w:tc>
          <w:tcPr>
            <w:tcW w:w="2460" w:type="dxa"/>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Figueroa-Rivera, I., Estremera-Marcai, R.,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proofErr w:type="gramStart"/>
            <w:r w:rsidRPr="00A31AA7">
              <w:rPr>
                <w:rFonts w:ascii="Arial" w:eastAsia="Arial" w:hAnsi="Arial" w:cs="Arial"/>
                <w:sz w:val="20"/>
                <w:szCs w:val="20"/>
              </w:rPr>
              <w:t>Yes</w:t>
            </w:r>
            <w:proofErr w:type="gramEnd"/>
            <w:r w:rsidRPr="00A31AA7">
              <w:rPr>
                <w:rFonts w:ascii="Arial" w:eastAsia="Arial" w:hAnsi="Arial" w:cs="Arial"/>
                <w:sz w:val="20"/>
                <w:szCs w:val="20"/>
              </w:rPr>
              <w:t xml:space="preserve"> from hot showers</w:t>
            </w:r>
          </w:p>
        </w:tc>
        <w:tc>
          <w:tcPr>
            <w:tcW w:w="3870" w:type="dxa"/>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Lorazepam (does not specified)</w:t>
            </w:r>
          </w:p>
        </w:tc>
        <w:tc>
          <w:tcPr>
            <w:tcW w:w="2205" w:type="dxa"/>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495"/>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Hermes-Laufer, J., Puppo, Lola.,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Parekh, </w:t>
            </w:r>
            <w:proofErr w:type="gramStart"/>
            <w:r w:rsidRPr="00A31AA7">
              <w:rPr>
                <w:rFonts w:ascii="Arial" w:eastAsia="Arial" w:hAnsi="Arial" w:cs="Arial"/>
                <w:sz w:val="20"/>
                <w:szCs w:val="20"/>
              </w:rPr>
              <w:t>J.,Wozniak</w:t>
            </w:r>
            <w:proofErr w:type="gramEnd"/>
            <w:r w:rsidRPr="00A31AA7">
              <w:rPr>
                <w:rFonts w:ascii="Arial" w:eastAsia="Arial" w:hAnsi="Arial" w:cs="Arial"/>
                <w:sz w:val="20"/>
                <w:szCs w:val="20"/>
              </w:rPr>
              <w:t xml:space="preserve">, S.,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Partial relief</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Antinausea medications and ranitidine</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1215"/>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Sharma, U</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Droperidol (1.25–2.5 mg intravenous as needed for nausea), proton pump inhibitor and antacids. Also, topical capsaicin that helped relieve her abdominal and back pain</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735"/>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Howard, I</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color w:val="292B2C"/>
                <w:sz w:val="20"/>
                <w:szCs w:val="20"/>
              </w:rPr>
              <w:t>Complete cessation of cannabis, and switch from cannabis oil to edible whole-plant products</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Unsuccessful attempt</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Parvatanenim, S., Varela, L.,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Not stated</w:t>
            </w:r>
          </w:p>
        </w:tc>
        <w:tc>
          <w:tcPr>
            <w:tcW w:w="38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color w:val="212121"/>
                <w:sz w:val="20"/>
                <w:szCs w:val="20"/>
              </w:rPr>
              <w:t>Aprepitant</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735"/>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Flamient, J., Scius, N</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Acetaminophen (1000 mg), tramadol (50 mg), metoclopramide (10 mg), and butylhyoscine bromide (10 mg)</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Not stated</w:t>
            </w:r>
          </w:p>
        </w:tc>
      </w:tr>
      <w:tr w:rsidR="00021C2D" w:rsidRPr="00A31AA7" w:rsidTr="005961BD">
        <w:trPr>
          <w:trHeight w:val="735"/>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lastRenderedPageBreak/>
              <w:t>Fleshman, B., and Kaiser, K</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color w:val="2E2B2B"/>
                <w:sz w:val="20"/>
                <w:szCs w:val="20"/>
              </w:rPr>
              <w:t>Topical capsaicin cream to his abdomen for symptom relief, and his promethazine was switched to suppository form.</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495"/>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Patel, M., Narayanan, R.,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Not stated</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One-liter normal saline bolus, hydromorphone, tamsulosin, and ceftriaxone</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Hickey, J., Witsil, J.,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color w:val="1F1F1F"/>
                <w:sz w:val="20"/>
                <w:szCs w:val="20"/>
              </w:rPr>
              <w:t>Haloperidol 5 mg IV</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Mohammed, F., Panchoo, </w:t>
            </w:r>
            <w:proofErr w:type="gramStart"/>
            <w:r w:rsidRPr="00A31AA7">
              <w:rPr>
                <w:rFonts w:ascii="Arial" w:eastAsia="Arial" w:hAnsi="Arial" w:cs="Arial"/>
                <w:sz w:val="20"/>
                <w:szCs w:val="20"/>
              </w:rPr>
              <w:t>K.,</w:t>
            </w:r>
            <w:r w:rsidR="0025211F">
              <w:rPr>
                <w:rFonts w:ascii="Arial" w:eastAsia="Arial" w:hAnsi="Arial" w:cs="Arial"/>
                <w:sz w:val="20"/>
                <w:szCs w:val="20"/>
              </w:rPr>
              <w:t>et al.</w:t>
            </w:r>
            <w:proofErr w:type="gramEnd"/>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Cha, J., Kozarek, R.,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Lam, P., Frost, D.,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Cessation </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Nabilone 1 mg orally twice daily</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proofErr w:type="gramStart"/>
            <w:r w:rsidRPr="00A31AA7">
              <w:rPr>
                <w:rFonts w:ascii="Arial" w:eastAsia="Arial" w:hAnsi="Arial" w:cs="Arial"/>
                <w:sz w:val="20"/>
                <w:szCs w:val="20"/>
              </w:rPr>
              <w:t>Nogi,M.</w:t>
            </w:r>
            <w:proofErr w:type="gramEnd"/>
            <w:r w:rsidRPr="00A31AA7">
              <w:rPr>
                <w:rFonts w:ascii="Arial" w:eastAsia="Arial" w:hAnsi="Arial" w:cs="Arial"/>
                <w:sz w:val="20"/>
                <w:szCs w:val="20"/>
              </w:rPr>
              <w:t xml:space="preserve">, Fergusson, D.,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Furosemide</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Ukaigwe, A., Karmacharya, P.,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Desjardins, N., Jamoulle, O.,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495"/>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Udo, B</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Heating pad, hot bath, and cessation</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all</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735"/>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Argamany, J., Reveles, K.,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Not stated</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Maintenance fluids, oral calcium carbonate, oral calcitriol, and pantoprazole </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Unclear</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Jones, J., Abernathy, K.,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Not stated</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color w:val="212121"/>
                <w:sz w:val="20"/>
                <w:szCs w:val="20"/>
              </w:rPr>
              <w:t>Haloperidol 5 mg</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Alaniz, V., Liss, J.,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reduction of cannabis use</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color w:val="333333"/>
                <w:sz w:val="20"/>
                <w:szCs w:val="20"/>
              </w:rPr>
              <w:t>Antacids and antiemetics</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735"/>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lastRenderedPageBreak/>
              <w:t xml:space="preserve">Brewerton, T., Anderson, O.,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Hot showers, cognitive behavioral therapy, motivational enhancement </w:t>
            </w:r>
            <w:proofErr w:type="gramStart"/>
            <w:r w:rsidRPr="00A31AA7">
              <w:rPr>
                <w:rFonts w:ascii="Arial" w:eastAsia="Arial" w:hAnsi="Arial" w:cs="Arial"/>
                <w:sz w:val="20"/>
                <w:szCs w:val="20"/>
              </w:rPr>
              <w:t>therapy,  drug</w:t>
            </w:r>
            <w:proofErr w:type="gramEnd"/>
            <w:r w:rsidRPr="00A31AA7">
              <w:rPr>
                <w:rFonts w:ascii="Arial" w:eastAsia="Arial" w:hAnsi="Arial" w:cs="Arial"/>
                <w:sz w:val="20"/>
                <w:szCs w:val="20"/>
              </w:rPr>
              <w:t xml:space="preserve"> rehabilitation facilities, and reduction of cannabis use</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proofErr w:type="gramStart"/>
            <w:r w:rsidRPr="00A31AA7">
              <w:rPr>
                <w:rFonts w:ascii="Arial" w:eastAsia="Arial" w:hAnsi="Arial" w:cs="Arial"/>
                <w:sz w:val="20"/>
                <w:szCs w:val="20"/>
              </w:rPr>
              <w:t>Yes</w:t>
            </w:r>
            <w:proofErr w:type="gramEnd"/>
            <w:r w:rsidRPr="00A31AA7">
              <w:rPr>
                <w:rFonts w:ascii="Arial" w:eastAsia="Arial" w:hAnsi="Arial" w:cs="Arial"/>
                <w:sz w:val="20"/>
                <w:szCs w:val="20"/>
              </w:rPr>
              <w:t xml:space="preserve"> for hot showers, and smoking reduction; Not stated for the other interventions</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495"/>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Inayat, F., Hassan, H.,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1 mg IV Haloperidol then 2 doses of 2 mg IV haloperidol</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Philips, H., and Smith, D</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proofErr w:type="gramStart"/>
            <w:r w:rsidRPr="00A31AA7">
              <w:rPr>
                <w:rFonts w:ascii="Arial" w:eastAsia="Arial" w:hAnsi="Arial" w:cs="Arial"/>
                <w:sz w:val="20"/>
                <w:szCs w:val="20"/>
              </w:rPr>
              <w:t>Yes</w:t>
            </w:r>
            <w:proofErr w:type="gramEnd"/>
            <w:r w:rsidRPr="00A31AA7">
              <w:rPr>
                <w:rFonts w:ascii="Arial" w:eastAsia="Arial" w:hAnsi="Arial" w:cs="Arial"/>
                <w:sz w:val="20"/>
                <w:szCs w:val="20"/>
              </w:rPr>
              <w:t xml:space="preserve"> hot showers; Not stated for cessation</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vertAlign w:val="superscript"/>
              </w:rPr>
            </w:pPr>
            <w:r w:rsidRPr="00A31AA7">
              <w:rPr>
                <w:rFonts w:ascii="Arial" w:eastAsia="Arial" w:hAnsi="Arial" w:cs="Arial"/>
                <w:sz w:val="20"/>
                <w:szCs w:val="20"/>
              </w:rPr>
              <w:t xml:space="preserve">Enuh, H., Chin, J.,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Attout, H., Amichi, S.,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Attout, H., Amichi, S.,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735"/>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Nachnani, R., Hushagen, K.,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Haloperidol, metoclopramide, lorazepam, and intravenous fluid replacement therapy</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Nachnani, R., Hushagen, K.,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Nachnani, R., Hushagen, K.,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proofErr w:type="gramStart"/>
            <w:r w:rsidRPr="00A31AA7">
              <w:rPr>
                <w:rFonts w:ascii="Arial" w:eastAsia="Arial" w:hAnsi="Arial" w:cs="Arial"/>
                <w:sz w:val="20"/>
                <w:szCs w:val="20"/>
              </w:rPr>
              <w:t>Yes</w:t>
            </w:r>
            <w:proofErr w:type="gramEnd"/>
            <w:r w:rsidRPr="00A31AA7">
              <w:rPr>
                <w:rFonts w:ascii="Arial" w:eastAsia="Arial" w:hAnsi="Arial" w:cs="Arial"/>
                <w:sz w:val="20"/>
                <w:szCs w:val="20"/>
              </w:rPr>
              <w:t xml:space="preserve"> hot showers; Unsuccessful cessation attempt</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Haloperidol, and prochlorperazine</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495"/>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Sawni, A., Vaniawala, V.,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495"/>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 xml:space="preserve">Sawni, A., Vaniawala, V., </w:t>
            </w:r>
            <w:r w:rsidR="0025211F">
              <w:rPr>
                <w:rFonts w:ascii="Arial" w:eastAsia="Arial" w:hAnsi="Arial" w:cs="Arial"/>
                <w:sz w:val="20"/>
                <w:szCs w:val="20"/>
              </w:rPr>
              <w:t>et al.</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Unclear</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Wistil, J., and Mycyk, M</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Hot showers and cessation</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p>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 both</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Haloperidol 5 mg</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p>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495"/>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Wistil, J., and Mycyk, M</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 xml:space="preserve">Not stated </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Haloperidol 5 mg IV, diphenhydramine 25 mg IV, and IVF</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Wistil, J., and Mycyk, M</w:t>
            </w:r>
          </w:p>
        </w:tc>
        <w:tc>
          <w:tcPr>
            <w:tcW w:w="35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4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Not stated</w:t>
            </w:r>
          </w:p>
        </w:tc>
        <w:tc>
          <w:tcPr>
            <w:tcW w:w="38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Haloperidol 5 mg IV</w:t>
            </w:r>
          </w:p>
        </w:tc>
        <w:tc>
          <w:tcPr>
            <w:tcW w:w="220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r w:rsidR="00021C2D" w:rsidRPr="00A31AA7" w:rsidTr="005961BD">
        <w:trPr>
          <w:trHeight w:val="300"/>
        </w:trPr>
        <w:tc>
          <w:tcPr>
            <w:tcW w:w="246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Wistil, J., and Mycyk, M</w:t>
            </w:r>
          </w:p>
        </w:tc>
        <w:tc>
          <w:tcPr>
            <w:tcW w:w="351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Not stated</w:t>
            </w:r>
          </w:p>
        </w:tc>
        <w:tc>
          <w:tcPr>
            <w:tcW w:w="24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Not stated</w:t>
            </w:r>
          </w:p>
        </w:tc>
        <w:tc>
          <w:tcPr>
            <w:tcW w:w="38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hAnsi="Arial" w:cs="Arial"/>
              </w:rPr>
            </w:pPr>
            <w:r w:rsidRPr="00A31AA7">
              <w:rPr>
                <w:rFonts w:ascii="Arial" w:eastAsia="Arial" w:hAnsi="Arial" w:cs="Arial"/>
                <w:sz w:val="20"/>
                <w:szCs w:val="20"/>
              </w:rPr>
              <w:t>Haloperidol 5 mg IV</w:t>
            </w:r>
          </w:p>
        </w:tc>
        <w:tc>
          <w:tcPr>
            <w:tcW w:w="220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hAnsi="Arial" w:cs="Arial"/>
              </w:rPr>
            </w:pPr>
            <w:r w:rsidRPr="00A31AA7">
              <w:rPr>
                <w:rFonts w:ascii="Arial" w:eastAsia="Arial" w:hAnsi="Arial" w:cs="Arial"/>
                <w:sz w:val="20"/>
                <w:szCs w:val="20"/>
              </w:rPr>
              <w:t>Yes</w:t>
            </w:r>
          </w:p>
        </w:tc>
      </w:tr>
    </w:tbl>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Default="00021C2D"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Default="00BA6E48" w:rsidP="00021C2D">
      <w:pPr>
        <w:rPr>
          <w:rFonts w:ascii="Arial" w:eastAsia="Arial" w:hAnsi="Arial" w:cs="Arial"/>
          <w:sz w:val="20"/>
          <w:szCs w:val="20"/>
          <w:vertAlign w:val="subscript"/>
        </w:rPr>
      </w:pPr>
    </w:p>
    <w:p w:rsidR="00BA6E48" w:rsidRPr="00A31AA7" w:rsidRDefault="00BA6E48"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021C2D" w:rsidP="00021C2D">
      <w:pPr>
        <w:rPr>
          <w:rFonts w:ascii="Arial" w:eastAsia="Arial" w:hAnsi="Arial" w:cs="Arial"/>
          <w:sz w:val="20"/>
          <w:szCs w:val="20"/>
          <w:vertAlign w:val="subscript"/>
        </w:rPr>
      </w:pPr>
    </w:p>
    <w:p w:rsidR="00021C2D" w:rsidRPr="00A31AA7" w:rsidRDefault="00175C05" w:rsidP="00021C2D">
      <w:pPr>
        <w:rPr>
          <w:rFonts w:ascii="Arial" w:eastAsia="Arial" w:hAnsi="Arial" w:cs="Arial"/>
          <w:b/>
          <w:sz w:val="20"/>
          <w:szCs w:val="20"/>
          <w:vertAlign w:val="subscript"/>
        </w:rPr>
      </w:pPr>
      <w:r>
        <w:rPr>
          <w:rFonts w:ascii="Arial" w:eastAsia="Arial" w:hAnsi="Arial" w:cs="Arial"/>
          <w:b/>
          <w:sz w:val="20"/>
          <w:szCs w:val="20"/>
        </w:rPr>
        <w:t xml:space="preserve">Supplemental </w:t>
      </w:r>
      <w:r w:rsidR="00021C2D" w:rsidRPr="00A31AA7">
        <w:rPr>
          <w:rFonts w:ascii="Arial" w:eastAsia="Arial" w:hAnsi="Arial" w:cs="Arial"/>
          <w:b/>
          <w:sz w:val="20"/>
          <w:szCs w:val="20"/>
        </w:rPr>
        <w:t xml:space="preserve">Table </w:t>
      </w:r>
      <w:r>
        <w:rPr>
          <w:rFonts w:ascii="Arial" w:eastAsia="Arial" w:hAnsi="Arial" w:cs="Arial"/>
          <w:b/>
          <w:sz w:val="20"/>
          <w:szCs w:val="20"/>
        </w:rPr>
        <w:t>6</w:t>
      </w:r>
      <w:r w:rsidR="00021C2D" w:rsidRPr="00A31AA7">
        <w:rPr>
          <w:rFonts w:ascii="Arial" w:eastAsia="Arial" w:hAnsi="Arial" w:cs="Arial"/>
          <w:b/>
          <w:sz w:val="20"/>
          <w:szCs w:val="20"/>
        </w:rPr>
        <w:t xml:space="preserve">: Analytical Studies - Summary of Findings </w:t>
      </w:r>
    </w:p>
    <w:tbl>
      <w:tblPr>
        <w:tblW w:w="14265" w:type="dxa"/>
        <w:tblInd w:w="-795" w:type="dxa"/>
        <w:tblBorders>
          <w:top w:val="nil"/>
          <w:left w:val="nil"/>
          <w:bottom w:val="nil"/>
          <w:right w:val="nil"/>
          <w:insideH w:val="nil"/>
          <w:insideV w:val="nil"/>
        </w:tblBorders>
        <w:tblLayout w:type="fixed"/>
        <w:tblLook w:val="0600" w:firstRow="0" w:lastRow="0" w:firstColumn="0" w:lastColumn="0" w:noHBand="1" w:noVBand="1"/>
      </w:tblPr>
      <w:tblGrid>
        <w:gridCol w:w="1785"/>
        <w:gridCol w:w="1620"/>
        <w:gridCol w:w="2190"/>
        <w:gridCol w:w="1875"/>
        <w:gridCol w:w="1875"/>
        <w:gridCol w:w="2850"/>
        <w:gridCol w:w="2070"/>
      </w:tblGrid>
      <w:tr w:rsidR="00021C2D" w:rsidRPr="00A31AA7" w:rsidTr="005961BD">
        <w:trPr>
          <w:trHeight w:val="300"/>
        </w:trPr>
        <w:tc>
          <w:tcPr>
            <w:tcW w:w="178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color w:val="FFFFFF"/>
                <w:sz w:val="20"/>
                <w:szCs w:val="20"/>
              </w:rPr>
            </w:pPr>
            <w:r w:rsidRPr="00A31AA7">
              <w:rPr>
                <w:rFonts w:ascii="Arial" w:eastAsia="Arial" w:hAnsi="Arial" w:cs="Arial"/>
                <w:b/>
                <w:color w:val="FFFFFF"/>
                <w:sz w:val="20"/>
                <w:szCs w:val="20"/>
              </w:rPr>
              <w:t>A - Study</w:t>
            </w:r>
          </w:p>
        </w:tc>
        <w:tc>
          <w:tcPr>
            <w:tcW w:w="162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color w:val="FFFFFF"/>
                <w:sz w:val="20"/>
                <w:szCs w:val="20"/>
              </w:rPr>
            </w:pPr>
            <w:r w:rsidRPr="00A31AA7">
              <w:rPr>
                <w:rFonts w:ascii="Arial" w:eastAsia="Arial" w:hAnsi="Arial" w:cs="Arial"/>
                <w:b/>
                <w:color w:val="FFFFFF"/>
                <w:sz w:val="20"/>
                <w:szCs w:val="20"/>
              </w:rPr>
              <w:t>B - Study Design</w:t>
            </w:r>
          </w:p>
        </w:tc>
        <w:tc>
          <w:tcPr>
            <w:tcW w:w="219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color w:val="FFFFFF"/>
                <w:sz w:val="20"/>
                <w:szCs w:val="20"/>
              </w:rPr>
            </w:pPr>
            <w:r w:rsidRPr="00A31AA7">
              <w:rPr>
                <w:rFonts w:ascii="Arial" w:eastAsia="Arial" w:hAnsi="Arial" w:cs="Arial"/>
                <w:b/>
                <w:color w:val="FFFFFF"/>
                <w:sz w:val="20"/>
                <w:szCs w:val="20"/>
              </w:rPr>
              <w:t>C - Exposure Description</w:t>
            </w:r>
          </w:p>
        </w:tc>
        <w:tc>
          <w:tcPr>
            <w:tcW w:w="187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color w:val="FFFFFF"/>
                <w:sz w:val="20"/>
                <w:szCs w:val="20"/>
              </w:rPr>
            </w:pPr>
            <w:r w:rsidRPr="00A31AA7">
              <w:rPr>
                <w:rFonts w:ascii="Arial" w:eastAsia="Arial" w:hAnsi="Arial" w:cs="Arial"/>
                <w:b/>
                <w:color w:val="FFFFFF"/>
                <w:sz w:val="20"/>
                <w:szCs w:val="20"/>
              </w:rPr>
              <w:t>D - Frequency of Use</w:t>
            </w:r>
          </w:p>
        </w:tc>
        <w:tc>
          <w:tcPr>
            <w:tcW w:w="1875"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color w:val="FFFFFF"/>
                <w:sz w:val="20"/>
                <w:szCs w:val="20"/>
              </w:rPr>
            </w:pPr>
            <w:r w:rsidRPr="00A31AA7">
              <w:rPr>
                <w:rFonts w:ascii="Arial" w:eastAsia="Arial" w:hAnsi="Arial" w:cs="Arial"/>
                <w:b/>
                <w:color w:val="FFFFFF"/>
                <w:sz w:val="20"/>
                <w:szCs w:val="20"/>
              </w:rPr>
              <w:t>E - Population of Interest</w:t>
            </w:r>
          </w:p>
        </w:tc>
        <w:tc>
          <w:tcPr>
            <w:tcW w:w="285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color w:val="FFFFFF"/>
                <w:sz w:val="20"/>
                <w:szCs w:val="20"/>
              </w:rPr>
            </w:pPr>
            <w:r w:rsidRPr="00A31AA7">
              <w:rPr>
                <w:rFonts w:ascii="Arial" w:eastAsia="Arial" w:hAnsi="Arial" w:cs="Arial"/>
                <w:b/>
                <w:color w:val="FFFFFF"/>
                <w:sz w:val="20"/>
                <w:szCs w:val="20"/>
              </w:rPr>
              <w:t>F - Definition of CHS</w:t>
            </w:r>
          </w:p>
        </w:tc>
        <w:tc>
          <w:tcPr>
            <w:tcW w:w="2070" w:type="dxa"/>
            <w:tcBorders>
              <w:top w:val="single" w:sz="4" w:space="0" w:color="000000"/>
              <w:left w:val="single" w:sz="4" w:space="0" w:color="000000"/>
              <w:bottom w:val="single" w:sz="4" w:space="0" w:color="000000"/>
              <w:right w:val="single" w:sz="4" w:space="0" w:color="000000"/>
            </w:tcBorders>
            <w:shd w:val="clear" w:color="auto" w:fill="000000"/>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color w:val="FFFFFF"/>
                <w:sz w:val="20"/>
                <w:szCs w:val="20"/>
              </w:rPr>
            </w:pPr>
            <w:r w:rsidRPr="00A31AA7">
              <w:rPr>
                <w:rFonts w:ascii="Arial" w:eastAsia="Arial" w:hAnsi="Arial" w:cs="Arial"/>
                <w:b/>
                <w:color w:val="FFFFFF"/>
                <w:sz w:val="20"/>
                <w:szCs w:val="20"/>
              </w:rPr>
              <w:t xml:space="preserve">G </w:t>
            </w:r>
            <w:proofErr w:type="gramStart"/>
            <w:r w:rsidRPr="00A31AA7">
              <w:rPr>
                <w:rFonts w:ascii="Arial" w:eastAsia="Arial" w:hAnsi="Arial" w:cs="Arial"/>
                <w:b/>
                <w:color w:val="FFFFFF"/>
                <w:sz w:val="20"/>
                <w:szCs w:val="20"/>
              </w:rPr>
              <w:t>-  Participants</w:t>
            </w:r>
            <w:proofErr w:type="gramEnd"/>
            <w:r w:rsidRPr="00A31AA7">
              <w:rPr>
                <w:rFonts w:ascii="Arial" w:eastAsia="Arial" w:hAnsi="Arial" w:cs="Arial"/>
                <w:b/>
                <w:color w:val="FFFFFF"/>
                <w:sz w:val="20"/>
                <w:szCs w:val="20"/>
              </w:rPr>
              <w:t xml:space="preserve"> (n)</w:t>
            </w:r>
          </w:p>
        </w:tc>
      </w:tr>
      <w:tr w:rsidR="00021C2D" w:rsidRPr="00A31AA7" w:rsidTr="005961BD">
        <w:trPr>
          <w:trHeight w:val="1515"/>
        </w:trPr>
        <w:tc>
          <w:tcPr>
            <w:tcW w:w="178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lastRenderedPageBreak/>
              <w:t xml:space="preserve">Collins, A., Beaudoin, F.,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Prospective Cohort Study</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Positive urine toxicology screening and history of cannabis use more than 20 days per month for one or more years and experiencing clinical symptoms suggestive of CHS (e.g., severe cyclic vomiting, abdominal pain) that started after using cannabis chronically</w:t>
            </w:r>
          </w:p>
        </w:tc>
        <w:tc>
          <w:tcPr>
            <w:tcW w:w="187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color w:val="1F1F1F"/>
                <w:sz w:val="20"/>
                <w:szCs w:val="20"/>
              </w:rPr>
              <w:t>20 days per month for one or more years</w:t>
            </w:r>
          </w:p>
        </w:tc>
        <w:tc>
          <w:tcPr>
            <w:tcW w:w="18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Emergency department participants, 18 years or older, and able to speak English</w:t>
            </w:r>
          </w:p>
        </w:tc>
        <w:tc>
          <w:tcPr>
            <w:tcW w:w="285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Definitive CHS diagnosis could not be made in the ED and was thus not required for this study</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39</w:t>
            </w:r>
          </w:p>
        </w:tc>
      </w:tr>
      <w:tr w:rsidR="00021C2D" w:rsidRPr="00A31AA7" w:rsidTr="005961BD">
        <w:trPr>
          <w:trHeight w:val="2295"/>
        </w:trPr>
        <w:tc>
          <w:tcPr>
            <w:tcW w:w="178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Myran, D., Roberts, R.,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Cross-Sectional Study</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ICD-10-CA code F12 or T40.7</w:t>
            </w:r>
          </w:p>
        </w:tc>
        <w:tc>
          <w:tcPr>
            <w:tcW w:w="18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Not stated</w:t>
            </w:r>
          </w:p>
        </w:tc>
        <w:tc>
          <w:tcPr>
            <w:tcW w:w="18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Emergency department, individuals aged at least 15 years and who were eligible for Ontario’s Universal Health Coverage</w:t>
            </w:r>
          </w:p>
        </w:tc>
        <w:tc>
          <w:tcPr>
            <w:tcW w:w="285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Followed the previous literature identifying CHS ED visits as those in which vomiting (International Statistical Classification of Diseases and Related Health Problems, Tenth Revision, Canada [ICD-10-CA] code R11) was the primary diagnosis and cannabis harm (ICD-10-CA code F12 or T40.7) was an additional diagnosis.19,20 Since CHS is not widely recognized, we developed a secondary outcome measure termed sensitive CHS ED visits, which includes the primary outcome definition and an ED visit with a primary diagnosis of vomiting (ICD-10-CA code R11) plus an ED visit owing to a cannabis </w:t>
            </w:r>
            <w:r w:rsidRPr="00A31AA7">
              <w:rPr>
                <w:rFonts w:ascii="Arial" w:eastAsia="Arial" w:hAnsi="Arial" w:cs="Arial"/>
                <w:sz w:val="20"/>
                <w:szCs w:val="20"/>
              </w:rPr>
              <w:lastRenderedPageBreak/>
              <w:t>harm in the 6 months preceding or following the incident vomiting visit</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lastRenderedPageBreak/>
              <w:t>8140</w:t>
            </w:r>
          </w:p>
        </w:tc>
      </w:tr>
      <w:tr w:rsidR="00021C2D" w:rsidRPr="00A31AA7" w:rsidTr="005961BD">
        <w:trPr>
          <w:trHeight w:val="930"/>
        </w:trPr>
        <w:tc>
          <w:tcPr>
            <w:tcW w:w="178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Akturk, H., Snell-Bergeon, J.,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Cross-Sectional Study</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Cannabis use was defined as a positive urine test result for cannabis</w:t>
            </w:r>
          </w:p>
        </w:tc>
        <w:tc>
          <w:tcPr>
            <w:tcW w:w="18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Not stated</w:t>
            </w:r>
          </w:p>
        </w:tc>
        <w:tc>
          <w:tcPr>
            <w:tcW w:w="18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Type 1 diabetes who were seen with DKA-related ICD-10 codes</w:t>
            </w:r>
          </w:p>
        </w:tc>
        <w:tc>
          <w:tcPr>
            <w:tcW w:w="285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Unicode MS" w:hAnsi="Arial" w:cs="Arial"/>
                <w:sz w:val="20"/>
                <w:szCs w:val="20"/>
              </w:rPr>
              <w:t>Not defined. Study defined Diabetic Ketoacidosis due to cannabis hyperemesis as hyperglycemic ketosis (venous blood glucose &gt;250 mg/dL, anion gap &gt;10, and serum BHB ≥0.6 mmol/L) as HK-CHS if venous pH was ≥7.4 and serum bicarbonate was ≥15 mmol/L at the time of the ED visit</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68</w:t>
            </w:r>
          </w:p>
        </w:tc>
      </w:tr>
      <w:tr w:rsidR="00021C2D" w:rsidRPr="00A31AA7" w:rsidTr="005961BD">
        <w:trPr>
          <w:trHeight w:val="2295"/>
        </w:trPr>
        <w:tc>
          <w:tcPr>
            <w:tcW w:w="178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Cordova, J., Biank, V.,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Cross-Sectional Study</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All patients had urine specimens checked for THC-COOH that were sent to Mayo Clinic (Rochester, MN) for GC/MS in a manner consistent with CLIA requirements. The laboratory cutoff for a negative value was 3.0 ng/mL. Levels &gt;500 ng/mL were reported as such, without a specific level</w:t>
            </w:r>
          </w:p>
        </w:tc>
        <w:tc>
          <w:tcPr>
            <w:tcW w:w="18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Frequent cannabis </w:t>
            </w:r>
            <w:proofErr w:type="gramStart"/>
            <w:r w:rsidRPr="00A31AA7">
              <w:rPr>
                <w:rFonts w:ascii="Arial" w:eastAsia="Arial" w:hAnsi="Arial" w:cs="Arial"/>
                <w:sz w:val="20"/>
                <w:szCs w:val="20"/>
              </w:rPr>
              <w:t>use</w:t>
            </w:r>
            <w:proofErr w:type="gramEnd"/>
            <w:r w:rsidRPr="00A31AA7">
              <w:rPr>
                <w:rFonts w:ascii="Arial" w:eastAsia="Arial" w:hAnsi="Arial" w:cs="Arial"/>
                <w:sz w:val="20"/>
                <w:szCs w:val="20"/>
              </w:rPr>
              <w:t xml:space="preserve"> for at least 1 month</w:t>
            </w:r>
          </w:p>
        </w:tc>
        <w:tc>
          <w:tcPr>
            <w:tcW w:w="18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Pediatric GI patients</w:t>
            </w:r>
          </w:p>
        </w:tc>
        <w:tc>
          <w:tcPr>
            <w:tcW w:w="285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Cannabis Hyperemesis Syndrome (CHS) is a syndrome of persistent vomiting in the setting of heavy cannabis use. It is very similar in presentation to Cyclic Vomiting Syndrome (CVS) and may be a variant triggered by the frequent use of cannabis. Although there are no universally accepted diagnostic criteria for this syndrome, several have been suggested. Most criteria include severe nausea and vomiting, vomiting </w:t>
            </w:r>
            <w:r w:rsidRPr="00A31AA7">
              <w:rPr>
                <w:rFonts w:ascii="Arial" w:eastAsia="Arial" w:hAnsi="Arial" w:cs="Arial"/>
                <w:sz w:val="20"/>
                <w:szCs w:val="20"/>
              </w:rPr>
              <w:lastRenderedPageBreak/>
              <w:t xml:space="preserve">in a cyclic pattern over weeks to months, compulsive hot bathing with symptom relief, abdominal pain, chronic and frequent cannabis use, age &lt;50 years old at the onset cannabis use, and ultimately the resolution of symptoms after cannabis cessation </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lastRenderedPageBreak/>
              <w:t>15</w:t>
            </w:r>
          </w:p>
        </w:tc>
      </w:tr>
      <w:tr w:rsidR="00021C2D" w:rsidRPr="00A31AA7" w:rsidTr="005961BD">
        <w:trPr>
          <w:trHeight w:val="300"/>
        </w:trPr>
        <w:tc>
          <w:tcPr>
            <w:tcW w:w="178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Wagner, S., Hoppe, J.,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Retrospective Cohort Study</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Not stated</w:t>
            </w:r>
          </w:p>
        </w:tc>
        <w:tc>
          <w:tcPr>
            <w:tcW w:w="18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Not stated</w:t>
            </w:r>
          </w:p>
        </w:tc>
        <w:tc>
          <w:tcPr>
            <w:tcW w:w="18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Emergency Department</w:t>
            </w:r>
          </w:p>
        </w:tc>
        <w:tc>
          <w:tcPr>
            <w:tcW w:w="285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Recurrent episodes of nausea, vomiting, and abdominal pain</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43</w:t>
            </w:r>
          </w:p>
        </w:tc>
      </w:tr>
      <w:tr w:rsidR="00021C2D" w:rsidRPr="00A31AA7" w:rsidTr="005961BD">
        <w:trPr>
          <w:trHeight w:val="930"/>
        </w:trPr>
        <w:tc>
          <w:tcPr>
            <w:tcW w:w="178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Marshall, A., Fai, C.,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Retrospective Cohort Study</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ICD 10 CM diagnosis codes for cannabis abuse or dependence (F12.xx) or ICD 9 CM diagnosis codes for cannabis dependence (304.3) or nondependent cannabis abuse (305.2)</w:t>
            </w:r>
          </w:p>
        </w:tc>
        <w:tc>
          <w:tcPr>
            <w:tcW w:w="18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Not stated</w:t>
            </w:r>
          </w:p>
        </w:tc>
        <w:tc>
          <w:tcPr>
            <w:tcW w:w="18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Patients ages 18 to 80 years of age admitted to the Tufts Medical Center in Boston, Massachusetts</w:t>
            </w:r>
          </w:p>
        </w:tc>
        <w:tc>
          <w:tcPr>
            <w:tcW w:w="285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CHS was defined as a patient with a primary diagnosis of episodic vomiting among a chronic cannabis user without any alternative identifiable cause</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63</w:t>
            </w:r>
          </w:p>
        </w:tc>
      </w:tr>
      <w:tr w:rsidR="00021C2D" w:rsidRPr="00A31AA7" w:rsidTr="005961BD">
        <w:trPr>
          <w:trHeight w:val="300"/>
        </w:trPr>
        <w:tc>
          <w:tcPr>
            <w:tcW w:w="178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p>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Lewis, B., Leach, E., &amp;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Retrospective Cohort Study</w:t>
            </w:r>
          </w:p>
        </w:tc>
        <w:tc>
          <w:tcPr>
            <w:tcW w:w="21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Not stated</w:t>
            </w:r>
          </w:p>
        </w:tc>
        <w:tc>
          <w:tcPr>
            <w:tcW w:w="18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Not stated</w:t>
            </w:r>
          </w:p>
        </w:tc>
        <w:tc>
          <w:tcPr>
            <w:tcW w:w="187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Community-based ED population</w:t>
            </w:r>
          </w:p>
        </w:tc>
        <w:tc>
          <w:tcPr>
            <w:tcW w:w="285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Hospital discharge records</w:t>
            </w:r>
          </w:p>
        </w:tc>
        <w:tc>
          <w:tcPr>
            <w:tcW w:w="207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758</w:t>
            </w:r>
          </w:p>
        </w:tc>
      </w:tr>
      <w:tr w:rsidR="00021C2D" w:rsidRPr="00A31AA7" w:rsidTr="005961BD">
        <w:trPr>
          <w:trHeight w:val="5304"/>
        </w:trPr>
        <w:tc>
          <w:tcPr>
            <w:tcW w:w="178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lastRenderedPageBreak/>
              <w:t xml:space="preserve">Russo, E., Spooner, C., </w:t>
            </w:r>
            <w:r w:rsidR="0025211F">
              <w:rPr>
                <w:rFonts w:ascii="Arial" w:eastAsia="Arial" w:hAnsi="Arial" w:cs="Arial"/>
                <w:sz w:val="20"/>
                <w:szCs w:val="20"/>
              </w:rPr>
              <w:t>et al.</w:t>
            </w:r>
          </w:p>
        </w:tc>
        <w:tc>
          <w:tcPr>
            <w:tcW w:w="162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Retrospective Cohort Study</w:t>
            </w:r>
          </w:p>
        </w:tc>
        <w:tc>
          <w:tcPr>
            <w:tcW w:w="219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 xml:space="preserve">A detailed questionnaire for prospective CHS patient candidates was distributed through cannabis-related list-serves, websites, the Society of Cannabis Clinicians, and direct solicitations directed to previous investigators of published studies. All CHS Qualified Participants displayed the constellation of symptoms of CHS,4 </w:t>
            </w:r>
            <w:proofErr w:type="gramStart"/>
            <w:r w:rsidRPr="00A31AA7">
              <w:rPr>
                <w:rFonts w:ascii="Arial" w:eastAsia="Arial" w:hAnsi="Arial" w:cs="Arial"/>
                <w:sz w:val="20"/>
                <w:szCs w:val="20"/>
              </w:rPr>
              <w:t>were</w:t>
            </w:r>
            <w:proofErr w:type="gramEnd"/>
            <w:r w:rsidRPr="00A31AA7">
              <w:rPr>
                <w:rFonts w:ascii="Arial" w:eastAsia="Arial" w:hAnsi="Arial" w:cs="Arial"/>
                <w:sz w:val="20"/>
                <w:szCs w:val="20"/>
              </w:rPr>
              <w:t xml:space="preserve"> diagnosed by physicians and had ongoing symptoms</w:t>
            </w:r>
          </w:p>
        </w:tc>
        <w:tc>
          <w:tcPr>
            <w:tcW w:w="18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Not stated</w:t>
            </w:r>
          </w:p>
        </w:tc>
        <w:tc>
          <w:tcPr>
            <w:tcW w:w="1875"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Known Cannabis users (with and without CHS)</w:t>
            </w:r>
          </w:p>
        </w:tc>
        <w:tc>
          <w:tcPr>
            <w:tcW w:w="285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rPr>
                <w:rFonts w:ascii="Arial" w:eastAsia="Arial" w:hAnsi="Arial" w:cs="Arial"/>
                <w:sz w:val="20"/>
                <w:szCs w:val="20"/>
              </w:rPr>
            </w:pPr>
            <w:r w:rsidRPr="00A31AA7">
              <w:rPr>
                <w:rFonts w:ascii="Arial" w:eastAsia="Arial" w:hAnsi="Arial" w:cs="Arial"/>
                <w:sz w:val="20"/>
                <w:szCs w:val="20"/>
              </w:rPr>
              <w:t>Cannabinoid hyperemesis syndrome (CHS) is a diagnosis of exclusion with intractable nausea, cyclic vomiting, abdominal pain, and hot bathing behavior associated with ongoing tetrahydrocannabinol (THC) exposure</w:t>
            </w:r>
          </w:p>
        </w:tc>
        <w:tc>
          <w:tcPr>
            <w:tcW w:w="2070" w:type="dxa"/>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tcPr>
          <w:p w:rsidR="00021C2D" w:rsidRPr="00A31AA7" w:rsidRDefault="00021C2D" w:rsidP="005961BD">
            <w:pPr>
              <w:widowControl w:val="0"/>
              <w:spacing w:line="276" w:lineRule="auto"/>
              <w:jc w:val="center"/>
              <w:rPr>
                <w:rFonts w:ascii="Arial" w:eastAsia="Arial" w:hAnsi="Arial" w:cs="Arial"/>
                <w:sz w:val="20"/>
                <w:szCs w:val="20"/>
              </w:rPr>
            </w:pPr>
            <w:r w:rsidRPr="00A31AA7">
              <w:rPr>
                <w:rFonts w:ascii="Arial" w:eastAsia="Arial" w:hAnsi="Arial" w:cs="Arial"/>
                <w:sz w:val="20"/>
                <w:szCs w:val="20"/>
              </w:rPr>
              <w:t>40</w:t>
            </w:r>
          </w:p>
        </w:tc>
      </w:tr>
    </w:tbl>
    <w:p w:rsidR="00021C2D" w:rsidRPr="00A31AA7" w:rsidRDefault="00021C2D" w:rsidP="00021C2D">
      <w:pPr>
        <w:spacing w:line="480" w:lineRule="auto"/>
        <w:rPr>
          <w:rFonts w:ascii="Arial" w:eastAsia="Arial" w:hAnsi="Arial" w:cs="Arial"/>
          <w:sz w:val="20"/>
          <w:szCs w:val="20"/>
        </w:rPr>
      </w:pPr>
    </w:p>
    <w:p w:rsidR="00021C2D" w:rsidRDefault="00021C2D"/>
    <w:sectPr w:rsidR="00021C2D" w:rsidSect="001D1A9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76677"/>
    <w:multiLevelType w:val="multilevel"/>
    <w:tmpl w:val="81F893E0"/>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9A0681E"/>
    <w:multiLevelType w:val="multilevel"/>
    <w:tmpl w:val="1E1A4130"/>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564369250">
    <w:abstractNumId w:val="0"/>
  </w:num>
  <w:num w:numId="2" w16cid:durableId="964579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0D1"/>
    <w:rsid w:val="0001303A"/>
    <w:rsid w:val="00021C2D"/>
    <w:rsid w:val="0003045A"/>
    <w:rsid w:val="0003323F"/>
    <w:rsid w:val="0004495A"/>
    <w:rsid w:val="000506E3"/>
    <w:rsid w:val="000632F4"/>
    <w:rsid w:val="00067FEA"/>
    <w:rsid w:val="00093970"/>
    <w:rsid w:val="000B216F"/>
    <w:rsid w:val="000D098F"/>
    <w:rsid w:val="000E27B4"/>
    <w:rsid w:val="0011453A"/>
    <w:rsid w:val="001311EF"/>
    <w:rsid w:val="00131978"/>
    <w:rsid w:val="00133178"/>
    <w:rsid w:val="001341C9"/>
    <w:rsid w:val="00151D97"/>
    <w:rsid w:val="00175C05"/>
    <w:rsid w:val="0018390B"/>
    <w:rsid w:val="00194312"/>
    <w:rsid w:val="00196487"/>
    <w:rsid w:val="001B6A69"/>
    <w:rsid w:val="001D1A9E"/>
    <w:rsid w:val="001F374A"/>
    <w:rsid w:val="001F3909"/>
    <w:rsid w:val="00213BB3"/>
    <w:rsid w:val="00240483"/>
    <w:rsid w:val="0025211F"/>
    <w:rsid w:val="002653A5"/>
    <w:rsid w:val="00265771"/>
    <w:rsid w:val="0029521B"/>
    <w:rsid w:val="002A52D8"/>
    <w:rsid w:val="002B07BF"/>
    <w:rsid w:val="002B59B3"/>
    <w:rsid w:val="002B5D46"/>
    <w:rsid w:val="002C5ECC"/>
    <w:rsid w:val="002D2A50"/>
    <w:rsid w:val="002F4D6D"/>
    <w:rsid w:val="00305A3C"/>
    <w:rsid w:val="003167F6"/>
    <w:rsid w:val="00332A2E"/>
    <w:rsid w:val="00340467"/>
    <w:rsid w:val="00350A3F"/>
    <w:rsid w:val="00387C2B"/>
    <w:rsid w:val="003B2F08"/>
    <w:rsid w:val="003C6B55"/>
    <w:rsid w:val="003F5504"/>
    <w:rsid w:val="00480B71"/>
    <w:rsid w:val="004824AA"/>
    <w:rsid w:val="00483B9C"/>
    <w:rsid w:val="004A73CD"/>
    <w:rsid w:val="004E5416"/>
    <w:rsid w:val="004F701B"/>
    <w:rsid w:val="00523E23"/>
    <w:rsid w:val="00647D10"/>
    <w:rsid w:val="00656D98"/>
    <w:rsid w:val="006731E7"/>
    <w:rsid w:val="006A628A"/>
    <w:rsid w:val="006C4BAC"/>
    <w:rsid w:val="006E2F0C"/>
    <w:rsid w:val="00736741"/>
    <w:rsid w:val="00741B4E"/>
    <w:rsid w:val="00760FFE"/>
    <w:rsid w:val="0078712F"/>
    <w:rsid w:val="00793F61"/>
    <w:rsid w:val="00796144"/>
    <w:rsid w:val="007B08A2"/>
    <w:rsid w:val="007C5502"/>
    <w:rsid w:val="0082524E"/>
    <w:rsid w:val="00827F7F"/>
    <w:rsid w:val="00855961"/>
    <w:rsid w:val="008620C5"/>
    <w:rsid w:val="00897F0A"/>
    <w:rsid w:val="008B4805"/>
    <w:rsid w:val="008C22A7"/>
    <w:rsid w:val="009060A2"/>
    <w:rsid w:val="00924CA7"/>
    <w:rsid w:val="009374D2"/>
    <w:rsid w:val="009420FD"/>
    <w:rsid w:val="00976E11"/>
    <w:rsid w:val="009963B0"/>
    <w:rsid w:val="009A5D1D"/>
    <w:rsid w:val="009C615A"/>
    <w:rsid w:val="009E5309"/>
    <w:rsid w:val="009F50D1"/>
    <w:rsid w:val="00A10550"/>
    <w:rsid w:val="00A1279C"/>
    <w:rsid w:val="00A26C33"/>
    <w:rsid w:val="00A355C3"/>
    <w:rsid w:val="00A57574"/>
    <w:rsid w:val="00A64D75"/>
    <w:rsid w:val="00A65215"/>
    <w:rsid w:val="00A81180"/>
    <w:rsid w:val="00A92B11"/>
    <w:rsid w:val="00AB4637"/>
    <w:rsid w:val="00AB47D0"/>
    <w:rsid w:val="00AC2E1F"/>
    <w:rsid w:val="00AF6004"/>
    <w:rsid w:val="00B203AF"/>
    <w:rsid w:val="00B30909"/>
    <w:rsid w:val="00B411C5"/>
    <w:rsid w:val="00B95005"/>
    <w:rsid w:val="00BA6E48"/>
    <w:rsid w:val="00BA7BF5"/>
    <w:rsid w:val="00BB2D69"/>
    <w:rsid w:val="00BC7B03"/>
    <w:rsid w:val="00BD7425"/>
    <w:rsid w:val="00C04A62"/>
    <w:rsid w:val="00C228F2"/>
    <w:rsid w:val="00C25776"/>
    <w:rsid w:val="00C75C08"/>
    <w:rsid w:val="00CA7595"/>
    <w:rsid w:val="00CB7DEC"/>
    <w:rsid w:val="00CE6778"/>
    <w:rsid w:val="00CF27B9"/>
    <w:rsid w:val="00CF5FEE"/>
    <w:rsid w:val="00D42026"/>
    <w:rsid w:val="00D55C49"/>
    <w:rsid w:val="00D6152D"/>
    <w:rsid w:val="00D84328"/>
    <w:rsid w:val="00DF4145"/>
    <w:rsid w:val="00DF4162"/>
    <w:rsid w:val="00E07A1D"/>
    <w:rsid w:val="00E14CC9"/>
    <w:rsid w:val="00E2595F"/>
    <w:rsid w:val="00E46B94"/>
    <w:rsid w:val="00E93358"/>
    <w:rsid w:val="00EE389F"/>
    <w:rsid w:val="00F379D6"/>
    <w:rsid w:val="00F41C44"/>
    <w:rsid w:val="00F6353F"/>
    <w:rsid w:val="00F72417"/>
    <w:rsid w:val="00F81095"/>
    <w:rsid w:val="00F94FA1"/>
    <w:rsid w:val="00FB5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0E49FD"/>
  <w15:chartTrackingRefBased/>
  <w15:docId w15:val="{64650F9A-4D90-8244-8376-8FDAF38DD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18</Pages>
  <Words>3682</Words>
  <Characters>20988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Amie Goodin</dc:creator>
  <cp:keywords/>
  <dc:description/>
  <cp:lastModifiedBy>Amie Goodin</cp:lastModifiedBy>
  <cp:revision>11</cp:revision>
  <dcterms:created xsi:type="dcterms:W3CDTF">2024-04-11T18:41:00Z</dcterms:created>
  <dcterms:modified xsi:type="dcterms:W3CDTF">2024-04-22T18:02:00Z</dcterms:modified>
</cp:coreProperties>
</file>