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C81F41" w14:textId="23E71E61" w:rsidR="00E06E99" w:rsidRDefault="00BF1150">
      <w:r>
        <w:rPr>
          <w:noProof/>
        </w:rPr>
        <mc:AlternateContent>
          <mc:Choice Requires="wps">
            <w:drawing>
              <wp:anchor distT="0" distB="0" distL="114300" distR="114300" simplePos="0" relativeHeight="251660288" behindDoc="0" locked="0" layoutInCell="1" allowOverlap="1" wp14:anchorId="7485348B" wp14:editId="55E580EC">
                <wp:simplePos x="0" y="0"/>
                <wp:positionH relativeFrom="column">
                  <wp:posOffset>48260</wp:posOffset>
                </wp:positionH>
                <wp:positionV relativeFrom="paragraph">
                  <wp:posOffset>5083810</wp:posOffset>
                </wp:positionV>
                <wp:extent cx="5233670" cy="635"/>
                <wp:effectExtent l="0" t="0" r="0" b="0"/>
                <wp:wrapThrough wrapText="bothSides">
                  <wp:wrapPolygon edited="0">
                    <wp:start x="0" y="0"/>
                    <wp:lineTo x="0" y="21600"/>
                    <wp:lineTo x="21600" y="21600"/>
                    <wp:lineTo x="21600" y="0"/>
                  </wp:wrapPolygon>
                </wp:wrapThrough>
                <wp:docPr id="2" name="Text Box 2"/>
                <wp:cNvGraphicFramePr/>
                <a:graphic xmlns:a="http://schemas.openxmlformats.org/drawingml/2006/main">
                  <a:graphicData uri="http://schemas.microsoft.com/office/word/2010/wordprocessingShape">
                    <wps:wsp>
                      <wps:cNvSpPr txBox="1"/>
                      <wps:spPr>
                        <a:xfrm>
                          <a:off x="0" y="0"/>
                          <a:ext cx="5233670" cy="635"/>
                        </a:xfrm>
                        <a:prstGeom prst="rect">
                          <a:avLst/>
                        </a:prstGeom>
                        <a:solidFill>
                          <a:prstClr val="white"/>
                        </a:solidFill>
                        <a:ln>
                          <a:noFill/>
                        </a:ln>
                      </wps:spPr>
                      <wps:txbx>
                        <w:txbxContent>
                          <w:p w14:paraId="3CBCF003" w14:textId="2A346696" w:rsidR="00BF1150" w:rsidRPr="00BF1150" w:rsidRDefault="00BF1150" w:rsidP="00BF1150">
                            <w:pPr>
                              <w:pStyle w:val="Caption"/>
                              <w:rPr>
                                <w:rFonts w:ascii="Arial" w:hAnsi="Arial" w:cs="Arial"/>
                                <w:b/>
                                <w:bCs/>
                                <w:i w:val="0"/>
                                <w:iCs w:val="0"/>
                                <w:color w:val="auto"/>
                                <w:sz w:val="22"/>
                                <w:szCs w:val="22"/>
                              </w:rPr>
                            </w:pPr>
                            <w:r w:rsidRPr="00BF1150">
                              <w:rPr>
                                <w:rFonts w:ascii="Arial" w:hAnsi="Arial" w:cs="Arial"/>
                                <w:b/>
                                <w:bCs/>
                                <w:i w:val="0"/>
                                <w:iCs w:val="0"/>
                                <w:color w:val="auto"/>
                                <w:sz w:val="22"/>
                                <w:szCs w:val="22"/>
                              </w:rPr>
                              <w:t>Supplementary Figure 3</w:t>
                            </w:r>
                            <w:r>
                              <w:rPr>
                                <w:rFonts w:ascii="Arial" w:hAnsi="Arial" w:cs="Arial"/>
                                <w:b/>
                                <w:bCs/>
                                <w:i w:val="0"/>
                                <w:iCs w:val="0"/>
                                <w:color w:val="auto"/>
                                <w:sz w:val="22"/>
                                <w:szCs w:val="22"/>
                              </w:rPr>
                              <w:t>:</w:t>
                            </w:r>
                            <w:r w:rsidRPr="00BF1150">
                              <w:rPr>
                                <w:rFonts w:ascii="Arial" w:hAnsi="Arial" w:cs="Arial"/>
                                <w:b/>
                                <w:bCs/>
                                <w:i w:val="0"/>
                                <w:iCs w:val="0"/>
                                <w:color w:val="auto"/>
                                <w:sz w:val="22"/>
                                <w:szCs w:val="22"/>
                              </w:rPr>
                              <w:t xml:space="preserve"> </w:t>
                            </w:r>
                            <w:r w:rsidRPr="00BF1150">
                              <w:rPr>
                                <w:rFonts w:ascii="Arial" w:hAnsi="Arial" w:cs="Arial"/>
                                <w:b/>
                                <w:bCs/>
                                <w:i w:val="0"/>
                                <w:iCs w:val="0"/>
                                <w:color w:val="auto"/>
                                <w:sz w:val="22"/>
                                <w:szCs w:val="22"/>
                              </w:rPr>
                              <w:t>Sepsis cases in CPRD, HES, ONS (concurrent cases have index or recurrent HES sepsis events in 30 days before or after index event in CPRD or index or recurrent sepsis events within 30 days before date of death in ONS death</w:t>
                            </w:r>
                            <w:r w:rsidRPr="00BF1150">
                              <w:rPr>
                                <w:rFonts w:ascii="Arial" w:hAnsi="Arial" w:cs="Arial"/>
                                <w:b/>
                                <w:bCs/>
                                <w:i w:val="0"/>
                                <w:iCs w:val="0"/>
                                <w:color w:val="auto"/>
                                <w:sz w:val="22"/>
                                <w:szCs w:val="22"/>
                              </w:rPr>
                              <w:t xml:space="preserve"> registry).</w:t>
                            </w:r>
                          </w:p>
                          <w:p w14:paraId="5C29EBE7" w14:textId="0FB7191F" w:rsidR="00BF1150" w:rsidRPr="00BF1150" w:rsidRDefault="00BF1150" w:rsidP="00BF1150">
                            <w:r>
                              <w:t>CPRD, Clinical Practice Research Datalink; HES, Hospital Episode Statistics; ONS, Office for National Statistics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485348B" id="_x0000_t202" coordsize="21600,21600" o:spt="202" path="m,l,21600r21600,l21600,xe">
                <v:stroke joinstyle="miter"/>
                <v:path gradientshapeok="t" o:connecttype="rect"/>
              </v:shapetype>
              <v:shape id="Text Box 2" o:spid="_x0000_s1026" type="#_x0000_t202" style="position:absolute;margin-left:3.8pt;margin-top:400.3pt;width:412.1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" stroked="f">
                <v:textbox style="mso-fit-shape-to-text:t" inset="0,0,0,0">
                  <w:txbxContent>
                    <w:p w14:paraId="3CBCF003" w14:textId="2A346696" w:rsidR="00BF1150" w:rsidRPr="00BF1150" w:rsidRDefault="00BF1150" w:rsidP="00BF1150">
                      <w:pPr>
                        <w:pStyle w:val="Caption"/>
                        <w:rPr>
                          <w:rFonts w:ascii="Arial" w:hAnsi="Arial" w:cs="Arial"/>
                          <w:b/>
                          <w:bCs/>
                          <w:i w:val="0"/>
                          <w:iCs w:val="0"/>
                          <w:color w:val="auto"/>
                          <w:sz w:val="22"/>
                          <w:szCs w:val="22"/>
                        </w:rPr>
                      </w:pPr>
                      <w:r w:rsidRPr="00BF1150">
                        <w:rPr>
                          <w:rFonts w:ascii="Arial" w:hAnsi="Arial" w:cs="Arial"/>
                          <w:b/>
                          <w:bCs/>
                          <w:i w:val="0"/>
                          <w:iCs w:val="0"/>
                          <w:color w:val="auto"/>
                          <w:sz w:val="22"/>
                          <w:szCs w:val="22"/>
                        </w:rPr>
                        <w:t>Supplementary Figure 3</w:t>
                      </w:r>
                      <w:r>
                        <w:rPr>
                          <w:rFonts w:ascii="Arial" w:hAnsi="Arial" w:cs="Arial"/>
                          <w:b/>
                          <w:bCs/>
                          <w:i w:val="0"/>
                          <w:iCs w:val="0"/>
                          <w:color w:val="auto"/>
                          <w:sz w:val="22"/>
                          <w:szCs w:val="22"/>
                        </w:rPr>
                        <w:t>:</w:t>
                      </w:r>
                      <w:r w:rsidRPr="00BF1150">
                        <w:rPr>
                          <w:rFonts w:ascii="Arial" w:hAnsi="Arial" w:cs="Arial"/>
                          <w:b/>
                          <w:bCs/>
                          <w:i w:val="0"/>
                          <w:iCs w:val="0"/>
                          <w:color w:val="auto"/>
                          <w:sz w:val="22"/>
                          <w:szCs w:val="22"/>
                        </w:rPr>
                        <w:t xml:space="preserve"> </w:t>
                      </w:r>
                      <w:r w:rsidRPr="00BF1150">
                        <w:rPr>
                          <w:rFonts w:ascii="Arial" w:hAnsi="Arial" w:cs="Arial"/>
                          <w:b/>
                          <w:bCs/>
                          <w:i w:val="0"/>
                          <w:iCs w:val="0"/>
                          <w:color w:val="auto"/>
                          <w:sz w:val="22"/>
                          <w:szCs w:val="22"/>
                        </w:rPr>
                        <w:t>Sepsis cases in CPRD, HES, ONS (concurrent cases have index or recurrent HES sepsis events in 30 days before or after index event in CPRD or index or recurrent sepsis events within 30 days before date of death in ONS death</w:t>
                      </w:r>
                      <w:r w:rsidRPr="00BF1150">
                        <w:rPr>
                          <w:rFonts w:ascii="Arial" w:hAnsi="Arial" w:cs="Arial"/>
                          <w:b/>
                          <w:bCs/>
                          <w:i w:val="0"/>
                          <w:iCs w:val="0"/>
                          <w:color w:val="auto"/>
                          <w:sz w:val="22"/>
                          <w:szCs w:val="22"/>
                        </w:rPr>
                        <w:t xml:space="preserve"> registry).</w:t>
                      </w:r>
                    </w:p>
                    <w:p w14:paraId="5C29EBE7" w14:textId="0FB7191F" w:rsidR="00BF1150" w:rsidRPr="00BF1150" w:rsidRDefault="00BF1150" w:rsidP="00BF1150">
                      <w:r>
                        <w:t>CPRD, Clinical Practice Research Datalink; HES, Hospital Episode Statistics; ONS, Office for National Statistics</w:t>
                      </w:r>
                    </w:p>
                  </w:txbxContent>
                </v:textbox>
                <w10:wrap type="through"/>
              </v:shape>
            </w:pict>
          </mc:Fallback>
        </mc:AlternateContent>
      </w:r>
      <w:r w:rsidRPr="00252958">
        <w:rPr>
          <w:rFonts w:ascii="Arial" w:hAnsi="Arial" w:cs="Arial"/>
          <w:noProof/>
          <w:sz w:val="20"/>
          <w:szCs w:val="20"/>
        </w:rPr>
        <w:drawing>
          <wp:anchor distT="0" distB="0" distL="114300" distR="114300" simplePos="0" relativeHeight="251658240" behindDoc="0" locked="0" layoutInCell="1" allowOverlap="1" wp14:anchorId="0592792F" wp14:editId="2819F129">
            <wp:simplePos x="0" y="0"/>
            <wp:positionH relativeFrom="column">
              <wp:posOffset>48768</wp:posOffset>
            </wp:positionH>
            <wp:positionV relativeFrom="paragraph">
              <wp:posOffset>365760</wp:posOffset>
            </wp:positionV>
            <wp:extent cx="5234020" cy="4660900"/>
            <wp:effectExtent l="0" t="0" r="5080" b="6350"/>
            <wp:wrapThrough wrapText="bothSides">
              <wp:wrapPolygon edited="0">
                <wp:start x="0" y="0"/>
                <wp:lineTo x="0" y="21541"/>
                <wp:lineTo x="21542" y="21541"/>
                <wp:lineTo x="2154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34020" cy="46609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E06E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150"/>
    <w:rsid w:val="003D568B"/>
    <w:rsid w:val="00BD0265"/>
    <w:rsid w:val="00BF1150"/>
    <w:rsid w:val="00E06E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14E04"/>
  <w15:chartTrackingRefBased/>
  <w15:docId w15:val="{237C2E83-7C35-4050-8A34-B4F1F0D53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BF1150"/>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2</Characters>
  <Application>Microsoft Office Word</Application>
  <DocSecurity>0</DocSecurity>
  <Lines>1</Lines>
  <Paragraphs>1</Paragraphs>
  <ScaleCrop>false</ScaleCrop>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Rezel-Potts, Emma</dc:creator>
  <cp:keywords/>
  <dc:description/>
  <cp:lastModifiedBy>Rezel-Potts, Emma</cp:lastModifiedBy>
  <cp:revision>1</cp:revision>
  <dcterms:created xsi:type="dcterms:W3CDTF">2020-10-12T15:06:00Z</dcterms:created>
  <dcterms:modified xsi:type="dcterms:W3CDTF">2020-10-12T15:09:00Z</dcterms:modified>
</cp:coreProperties>
</file>