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page" w:tblpX="916" w:tblpY="2020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18"/>
        <w:gridCol w:w="997"/>
        <w:gridCol w:w="1333"/>
        <w:gridCol w:w="770"/>
        <w:gridCol w:w="1437"/>
        <w:gridCol w:w="773"/>
        <w:gridCol w:w="1686"/>
        <w:gridCol w:w="1176"/>
        <w:gridCol w:w="879"/>
        <w:gridCol w:w="849"/>
        <w:gridCol w:w="756"/>
        <w:gridCol w:w="1412"/>
      </w:tblGrid>
      <w:tr w:rsidR="00B03595" w:rsidRPr="00C10309" w14:paraId="44A8A2EC" w14:textId="77777777" w:rsidTr="00786D90">
        <w:trPr>
          <w:trHeight w:val="576"/>
        </w:trPr>
        <w:tc>
          <w:tcPr>
            <w:tcW w:w="5000" w:type="pct"/>
            <w:gridSpan w:val="13"/>
            <w:tcBorders>
              <w:top w:val="nil"/>
              <w:bottom w:val="single" w:sz="4" w:space="0" w:color="auto"/>
            </w:tcBorders>
          </w:tcPr>
          <w:p w14:paraId="411EBEC2" w14:textId="77777777" w:rsidR="00B03595" w:rsidRPr="00C10309" w:rsidRDefault="00B03595" w:rsidP="00786D90">
            <w:pPr>
              <w:spacing w:line="480" w:lineRule="auto"/>
              <w:rPr>
                <w:rFonts w:cs="Times New Roman"/>
                <w:b/>
                <w:bCs/>
                <w:lang w:val="en-US"/>
              </w:rPr>
            </w:pPr>
            <w:bookmarkStart w:id="0" w:name="_Hlk212535178"/>
            <w:r w:rsidRPr="00C10309">
              <w:rPr>
                <w:rFonts w:cs="Times New Roman"/>
                <w:b/>
                <w:bCs/>
                <w:lang w:val="en-US"/>
              </w:rPr>
              <w:t xml:space="preserve">Supplementary Table 1.  </w:t>
            </w:r>
          </w:p>
          <w:p w14:paraId="5388DD8F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cs="Times New Roman"/>
                <w:i/>
                <w:iCs/>
                <w:lang w:val="en-US"/>
              </w:rPr>
              <w:t>Meta-analyses on cannabidiol (CBD) prevalence without logit transformation</w:t>
            </w:r>
          </w:p>
        </w:tc>
      </w:tr>
      <w:tr w:rsidR="00B03595" w:rsidRPr="00C10309" w14:paraId="481F381E" w14:textId="77777777" w:rsidTr="00786D90">
        <w:trPr>
          <w:trHeight w:val="576"/>
        </w:trPr>
        <w:tc>
          <w:tcPr>
            <w:tcW w:w="506" w:type="pct"/>
            <w:tcBorders>
              <w:bottom w:val="single" w:sz="4" w:space="0" w:color="auto"/>
              <w:right w:val="nil"/>
            </w:tcBorders>
          </w:tcPr>
          <w:p w14:paraId="147F07C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Time point</w:t>
            </w:r>
          </w:p>
        </w:tc>
        <w:tc>
          <w:tcPr>
            <w:tcW w:w="185" w:type="pct"/>
            <w:tcBorders>
              <w:left w:val="nil"/>
              <w:bottom w:val="single" w:sz="4" w:space="0" w:color="auto"/>
              <w:right w:val="nil"/>
            </w:tcBorders>
          </w:tcPr>
          <w:p w14:paraId="68597704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k</w:t>
            </w: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nil"/>
            </w:tcBorders>
          </w:tcPr>
          <w:p w14:paraId="4B37B09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N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nil"/>
            </w:tcBorders>
          </w:tcPr>
          <w:p w14:paraId="327F60E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Prevalence</w:t>
            </w:r>
          </w:p>
        </w:tc>
        <w:tc>
          <w:tcPr>
            <w:tcW w:w="275" w:type="pct"/>
            <w:tcBorders>
              <w:left w:val="nil"/>
              <w:bottom w:val="single" w:sz="4" w:space="0" w:color="auto"/>
              <w:right w:val="nil"/>
            </w:tcBorders>
          </w:tcPr>
          <w:p w14:paraId="5BB5975F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SE</w:t>
            </w:r>
          </w:p>
        </w:tc>
        <w:tc>
          <w:tcPr>
            <w:tcW w:w="513" w:type="pct"/>
            <w:tcBorders>
              <w:left w:val="nil"/>
              <w:bottom w:val="single" w:sz="4" w:space="0" w:color="auto"/>
              <w:right w:val="nil"/>
            </w:tcBorders>
          </w:tcPr>
          <w:p w14:paraId="607CF15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95% CI</w:t>
            </w:r>
          </w:p>
        </w:tc>
        <w:tc>
          <w:tcPr>
            <w:tcW w:w="276" w:type="pct"/>
            <w:tcBorders>
              <w:left w:val="nil"/>
              <w:bottom w:val="single" w:sz="4" w:space="0" w:color="auto"/>
              <w:right w:val="nil"/>
            </w:tcBorders>
          </w:tcPr>
          <w:p w14:paraId="3443DB5E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i/>
                <w:i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i/>
                <w:iCs/>
                <w:lang w:val="en-US"/>
              </w:rPr>
              <w:t>p</w:t>
            </w:r>
          </w:p>
        </w:tc>
        <w:tc>
          <w:tcPr>
            <w:tcW w:w="602" w:type="pct"/>
            <w:tcBorders>
              <w:left w:val="nil"/>
              <w:bottom w:val="single" w:sz="4" w:space="0" w:color="auto"/>
              <w:right w:val="nil"/>
            </w:tcBorders>
          </w:tcPr>
          <w:p w14:paraId="2A437E8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proofErr w:type="spellStart"/>
            <w:r w:rsidRPr="00C10309">
              <w:rPr>
                <w:rFonts w:eastAsia="Aptos" w:cs="Times New Roman"/>
                <w:b/>
                <w:bCs/>
                <w:lang w:val="en-US"/>
              </w:rPr>
              <w:t>rOSR</w:t>
            </w:r>
            <w:proofErr w:type="spellEnd"/>
          </w:p>
        </w:tc>
        <w:tc>
          <w:tcPr>
            <w:tcW w:w="420" w:type="pct"/>
            <w:tcBorders>
              <w:left w:val="nil"/>
              <w:bottom w:val="single" w:sz="4" w:space="0" w:color="auto"/>
              <w:right w:val="nil"/>
            </w:tcBorders>
          </w:tcPr>
          <w:p w14:paraId="7A5A425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Q</w:t>
            </w:r>
          </w:p>
        </w:tc>
        <w:tc>
          <w:tcPr>
            <w:tcW w:w="314" w:type="pct"/>
            <w:tcBorders>
              <w:left w:val="nil"/>
              <w:bottom w:val="single" w:sz="4" w:space="0" w:color="auto"/>
              <w:right w:val="nil"/>
            </w:tcBorders>
          </w:tcPr>
          <w:p w14:paraId="73B08F2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vertAlign w:val="subscript"/>
                <w:lang w:val="en-US"/>
              </w:rPr>
            </w:pPr>
            <w:proofErr w:type="spellStart"/>
            <w:r w:rsidRPr="00C10309">
              <w:rPr>
                <w:rFonts w:eastAsia="Aptos" w:cs="Times New Roman"/>
                <w:b/>
                <w:bCs/>
                <w:lang w:val="en-US"/>
              </w:rPr>
              <w:t>p</w:t>
            </w:r>
            <w:r w:rsidRPr="00C10309">
              <w:rPr>
                <w:rFonts w:eastAsia="Aptos" w:cs="Times New Roman"/>
                <w:b/>
                <w:bCs/>
                <w:vertAlign w:val="subscript"/>
                <w:lang w:val="en-US"/>
              </w:rPr>
              <w:t>Q</w:t>
            </w:r>
            <w:proofErr w:type="spellEnd"/>
          </w:p>
        </w:tc>
        <w:tc>
          <w:tcPr>
            <w:tcW w:w="303" w:type="pct"/>
            <w:tcBorders>
              <w:left w:val="nil"/>
              <w:bottom w:val="single" w:sz="4" w:space="0" w:color="auto"/>
              <w:right w:val="nil"/>
            </w:tcBorders>
          </w:tcPr>
          <w:p w14:paraId="57717D6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vertAlign w:val="superscript"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I</w:t>
            </w:r>
            <w:r w:rsidRPr="00C10309">
              <w:rPr>
                <w:rFonts w:eastAsia="Aptos" w:cs="Times New Roman"/>
                <w:b/>
                <w:bCs/>
                <w:vertAlign w:val="superscript"/>
                <w:lang w:val="en-US"/>
              </w:rPr>
              <w:t>2</w:t>
            </w:r>
          </w:p>
        </w:tc>
        <w:tc>
          <w:tcPr>
            <w:tcW w:w="270" w:type="pct"/>
            <w:tcBorders>
              <w:left w:val="nil"/>
              <w:bottom w:val="single" w:sz="4" w:space="0" w:color="auto"/>
              <w:right w:val="nil"/>
            </w:tcBorders>
          </w:tcPr>
          <w:p w14:paraId="37E499F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</w:rPr>
              <w:t>τ</w:t>
            </w:r>
            <w:r w:rsidRPr="00C10309">
              <w:rPr>
                <w:rFonts w:eastAsia="Aptos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503" w:type="pct"/>
            <w:tcBorders>
              <w:left w:val="nil"/>
              <w:bottom w:val="single" w:sz="4" w:space="0" w:color="auto"/>
            </w:tcBorders>
          </w:tcPr>
          <w:p w14:paraId="57F4098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</w:rPr>
            </w:pPr>
            <w:r w:rsidRPr="00C10309">
              <w:rPr>
                <w:rFonts w:eastAsia="Aptos" w:cs="Times New Roman"/>
                <w:b/>
                <w:bCs/>
              </w:rPr>
              <w:t>95% PI</w:t>
            </w:r>
          </w:p>
        </w:tc>
      </w:tr>
      <w:tr w:rsidR="00B03595" w:rsidRPr="00C10309" w14:paraId="7B71D106" w14:textId="77777777" w:rsidTr="00786D90">
        <w:trPr>
          <w:trHeight w:val="576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70B8C531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Europe</w:t>
            </w:r>
          </w:p>
        </w:tc>
      </w:tr>
      <w:tr w:rsidR="00B03595" w:rsidRPr="00C10309" w14:paraId="63477DE8" w14:textId="77777777" w:rsidTr="00786D90">
        <w:trPr>
          <w:trHeight w:val="547"/>
        </w:trPr>
        <w:tc>
          <w:tcPr>
            <w:tcW w:w="506" w:type="pct"/>
            <w:tcBorders>
              <w:bottom w:val="nil"/>
              <w:right w:val="nil"/>
            </w:tcBorders>
          </w:tcPr>
          <w:p w14:paraId="586CC67E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Lifetime</w:t>
            </w:r>
          </w:p>
        </w:tc>
        <w:tc>
          <w:tcPr>
            <w:tcW w:w="185" w:type="pct"/>
            <w:tcBorders>
              <w:left w:val="nil"/>
              <w:bottom w:val="nil"/>
              <w:right w:val="nil"/>
            </w:tcBorders>
          </w:tcPr>
          <w:p w14:paraId="6007BE97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10</w:t>
            </w:r>
          </w:p>
        </w:tc>
        <w:tc>
          <w:tcPr>
            <w:tcW w:w="356" w:type="pct"/>
            <w:tcBorders>
              <w:left w:val="nil"/>
              <w:bottom w:val="nil"/>
              <w:right w:val="nil"/>
            </w:tcBorders>
          </w:tcPr>
          <w:p w14:paraId="2427997F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32,000</w:t>
            </w:r>
          </w:p>
        </w:tc>
        <w:tc>
          <w:tcPr>
            <w:tcW w:w="476" w:type="pct"/>
            <w:tcBorders>
              <w:left w:val="nil"/>
              <w:bottom w:val="nil"/>
              <w:right w:val="nil"/>
            </w:tcBorders>
          </w:tcPr>
          <w:p w14:paraId="1E38738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16.83%</w:t>
            </w:r>
          </w:p>
        </w:tc>
        <w:tc>
          <w:tcPr>
            <w:tcW w:w="275" w:type="pct"/>
            <w:tcBorders>
              <w:left w:val="nil"/>
              <w:bottom w:val="nil"/>
              <w:right w:val="nil"/>
            </w:tcBorders>
          </w:tcPr>
          <w:p w14:paraId="76B4EC70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0.04</w:t>
            </w:r>
          </w:p>
        </w:tc>
        <w:tc>
          <w:tcPr>
            <w:tcW w:w="513" w:type="pct"/>
            <w:tcBorders>
              <w:left w:val="nil"/>
              <w:bottom w:val="nil"/>
              <w:right w:val="nil"/>
            </w:tcBorders>
          </w:tcPr>
          <w:p w14:paraId="15DF8232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0.08, 0.25</w:t>
            </w: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</w:tcPr>
          <w:p w14:paraId="3A92753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0.002</w:t>
            </w: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1FA833B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</w:t>
            </w:r>
          </w:p>
        </w:tc>
        <w:tc>
          <w:tcPr>
            <w:tcW w:w="420" w:type="pct"/>
            <w:tcBorders>
              <w:left w:val="nil"/>
              <w:bottom w:val="nil"/>
              <w:right w:val="nil"/>
            </w:tcBorders>
          </w:tcPr>
          <w:p w14:paraId="12D416A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3,320.64</w:t>
            </w:r>
          </w:p>
        </w:tc>
        <w:tc>
          <w:tcPr>
            <w:tcW w:w="314" w:type="pct"/>
            <w:tcBorders>
              <w:left w:val="nil"/>
              <w:bottom w:val="nil"/>
              <w:right w:val="nil"/>
            </w:tcBorders>
          </w:tcPr>
          <w:p w14:paraId="6D758FC1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</w:tcPr>
          <w:p w14:paraId="5218DAD2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99.85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</w:tcPr>
          <w:p w14:paraId="1E8F7FEF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0.014</w:t>
            </w:r>
          </w:p>
        </w:tc>
        <w:tc>
          <w:tcPr>
            <w:tcW w:w="503" w:type="pct"/>
            <w:tcBorders>
              <w:left w:val="nil"/>
              <w:bottom w:val="nil"/>
              <w:right w:val="nil"/>
            </w:tcBorders>
          </w:tcPr>
          <w:p w14:paraId="022BBEE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-0.12, 0.45</w:t>
            </w:r>
          </w:p>
        </w:tc>
      </w:tr>
      <w:tr w:rsidR="00B03595" w:rsidRPr="00C10309" w14:paraId="46F3A8D3" w14:textId="77777777" w:rsidTr="00786D90">
        <w:trPr>
          <w:trHeight w:val="576"/>
        </w:trPr>
        <w:tc>
          <w:tcPr>
            <w:tcW w:w="506" w:type="pct"/>
            <w:tcBorders>
              <w:top w:val="nil"/>
              <w:bottom w:val="nil"/>
              <w:right w:val="nil"/>
            </w:tcBorders>
          </w:tcPr>
          <w:p w14:paraId="48B60CE4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Past year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0B196EF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14:paraId="69C35917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16,686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14:paraId="063DB342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19.16%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14:paraId="08128DA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AD1B6C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0.10, 0.28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A5DF271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0.002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12AC67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510BE4BF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362.34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14:paraId="50534B5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267E9EF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99.42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14:paraId="62A5AA2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0.011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</w:tcPr>
          <w:p w14:paraId="087D38A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-0.07, 046</w:t>
            </w:r>
          </w:p>
        </w:tc>
      </w:tr>
      <w:tr w:rsidR="00B03595" w:rsidRPr="00C10309" w14:paraId="6B1452E9" w14:textId="77777777" w:rsidTr="00786D90">
        <w:trPr>
          <w:trHeight w:val="553"/>
        </w:trPr>
        <w:tc>
          <w:tcPr>
            <w:tcW w:w="506" w:type="pct"/>
            <w:tcBorders>
              <w:top w:val="nil"/>
              <w:bottom w:val="nil"/>
              <w:right w:val="nil"/>
            </w:tcBorders>
          </w:tcPr>
          <w:p w14:paraId="0CA0830B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Past month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04CFEF0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14:paraId="3812861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14,036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14:paraId="39AED4F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9.43%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14:paraId="032C821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0.03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5D88547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0.03, 0.16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21D79CE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0.017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4FD6A821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78FCE11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571.35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14:paraId="185406C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6A95990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99.44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14:paraId="081D5281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0.004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</w:tcPr>
          <w:p w14:paraId="67F2DCF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-0.08, 027</w:t>
            </w:r>
          </w:p>
        </w:tc>
      </w:tr>
      <w:tr w:rsidR="00B03595" w:rsidRPr="00C10309" w14:paraId="6A903DAF" w14:textId="77777777" w:rsidTr="00786D90">
        <w:trPr>
          <w:trHeight w:val="576"/>
        </w:trPr>
        <w:tc>
          <w:tcPr>
            <w:tcW w:w="506" w:type="pct"/>
            <w:tcBorders>
              <w:top w:val="nil"/>
              <w:bottom w:val="nil"/>
              <w:right w:val="nil"/>
            </w:tcBorders>
          </w:tcPr>
          <w:p w14:paraId="05BDAAA9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Past week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5848CC2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14:paraId="7BCD5EF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12,904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14:paraId="10C21A2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6.36%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14:paraId="017228F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0.03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1399E9DE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-0.01, 0.13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2AD993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0.06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28DC388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4.35%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237144D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261.56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14:paraId="4B6A80E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4FDFCDC2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99.64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14:paraId="57E577A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0.004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</w:tcPr>
          <w:p w14:paraId="192CE66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-0.11, 0.24</w:t>
            </w:r>
          </w:p>
        </w:tc>
      </w:tr>
      <w:tr w:rsidR="00B03595" w:rsidRPr="00C10309" w14:paraId="4DD52390" w14:textId="77777777" w:rsidTr="00786D90">
        <w:trPr>
          <w:trHeight w:val="576"/>
        </w:trPr>
        <w:tc>
          <w:tcPr>
            <w:tcW w:w="506" w:type="pct"/>
            <w:tcBorders>
              <w:top w:val="nil"/>
              <w:bottom w:val="single" w:sz="4" w:space="0" w:color="auto"/>
              <w:right w:val="nil"/>
            </w:tcBorders>
          </w:tcPr>
          <w:p w14:paraId="3A9B3FDC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Daily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DBA3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E4512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12,904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7CA31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3.22%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8DA2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60A9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-0.01, 0.07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14FC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0.11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F122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1.97%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79810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114.18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1855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61BA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99.51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07BF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15EF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-0.07, 0.13</w:t>
            </w:r>
          </w:p>
        </w:tc>
      </w:tr>
      <w:tr w:rsidR="00B03595" w:rsidRPr="00C10309" w14:paraId="2917C3D2" w14:textId="77777777" w:rsidTr="00786D90">
        <w:trPr>
          <w:trHeight w:val="547"/>
        </w:trPr>
        <w:tc>
          <w:tcPr>
            <w:tcW w:w="5000" w:type="pct"/>
            <w:gridSpan w:val="13"/>
            <w:tcBorders>
              <w:bottom w:val="nil"/>
              <w:right w:val="nil"/>
            </w:tcBorders>
          </w:tcPr>
          <w:p w14:paraId="04C2327E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b/>
                <w:bCs/>
                <w:lang w:val="en-US"/>
              </w:rPr>
            </w:pPr>
            <w:r w:rsidRPr="00C10309">
              <w:rPr>
                <w:rFonts w:eastAsia="Aptos" w:cs="Times New Roman"/>
                <w:b/>
                <w:bCs/>
                <w:lang w:val="en-US"/>
              </w:rPr>
              <w:t>North America</w:t>
            </w:r>
          </w:p>
        </w:tc>
      </w:tr>
      <w:tr w:rsidR="00B03595" w:rsidRPr="00C10309" w14:paraId="2C813638" w14:textId="77777777" w:rsidTr="00786D90">
        <w:trPr>
          <w:trHeight w:val="547"/>
        </w:trPr>
        <w:tc>
          <w:tcPr>
            <w:tcW w:w="506" w:type="pct"/>
            <w:tcBorders>
              <w:bottom w:val="nil"/>
              <w:right w:val="nil"/>
            </w:tcBorders>
          </w:tcPr>
          <w:p w14:paraId="0FC02409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Lifetime</w:t>
            </w:r>
          </w:p>
        </w:tc>
        <w:tc>
          <w:tcPr>
            <w:tcW w:w="185" w:type="pct"/>
            <w:tcBorders>
              <w:left w:val="nil"/>
              <w:bottom w:val="nil"/>
              <w:right w:val="nil"/>
            </w:tcBorders>
          </w:tcPr>
          <w:p w14:paraId="59333174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20</w:t>
            </w:r>
          </w:p>
        </w:tc>
        <w:tc>
          <w:tcPr>
            <w:tcW w:w="356" w:type="pct"/>
            <w:tcBorders>
              <w:left w:val="nil"/>
              <w:bottom w:val="nil"/>
              <w:right w:val="nil"/>
            </w:tcBorders>
          </w:tcPr>
          <w:p w14:paraId="1BFD143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101,056</w:t>
            </w:r>
          </w:p>
        </w:tc>
        <w:tc>
          <w:tcPr>
            <w:tcW w:w="476" w:type="pct"/>
            <w:tcBorders>
              <w:left w:val="nil"/>
              <w:bottom w:val="nil"/>
              <w:right w:val="nil"/>
            </w:tcBorders>
          </w:tcPr>
          <w:p w14:paraId="56FD837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31.81%</w:t>
            </w:r>
          </w:p>
        </w:tc>
        <w:tc>
          <w:tcPr>
            <w:tcW w:w="275" w:type="pct"/>
            <w:tcBorders>
              <w:left w:val="nil"/>
              <w:bottom w:val="nil"/>
              <w:right w:val="nil"/>
            </w:tcBorders>
          </w:tcPr>
          <w:p w14:paraId="56A8F48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0.04</w:t>
            </w:r>
          </w:p>
        </w:tc>
        <w:tc>
          <w:tcPr>
            <w:tcW w:w="513" w:type="pct"/>
            <w:tcBorders>
              <w:left w:val="nil"/>
              <w:bottom w:val="nil"/>
              <w:right w:val="nil"/>
            </w:tcBorders>
          </w:tcPr>
          <w:p w14:paraId="2ABA7EE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0.23, 0.41</w:t>
            </w: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</w:tcPr>
          <w:p w14:paraId="4FA3D1F7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602" w:type="pct"/>
            <w:tcBorders>
              <w:left w:val="nil"/>
              <w:bottom w:val="nil"/>
              <w:right w:val="nil"/>
            </w:tcBorders>
          </w:tcPr>
          <w:p w14:paraId="5ABACD57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</w:t>
            </w:r>
          </w:p>
        </w:tc>
        <w:tc>
          <w:tcPr>
            <w:tcW w:w="420" w:type="pct"/>
            <w:tcBorders>
              <w:left w:val="nil"/>
              <w:bottom w:val="nil"/>
              <w:right w:val="nil"/>
            </w:tcBorders>
          </w:tcPr>
          <w:p w14:paraId="4B646FE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18,639.76</w:t>
            </w:r>
          </w:p>
        </w:tc>
        <w:tc>
          <w:tcPr>
            <w:tcW w:w="314" w:type="pct"/>
            <w:tcBorders>
              <w:left w:val="nil"/>
              <w:bottom w:val="nil"/>
              <w:right w:val="nil"/>
            </w:tcBorders>
          </w:tcPr>
          <w:p w14:paraId="6726B17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</w:tcPr>
          <w:p w14:paraId="5272D7F4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99.90</w:t>
            </w:r>
          </w:p>
        </w:tc>
        <w:tc>
          <w:tcPr>
            <w:tcW w:w="270" w:type="pct"/>
            <w:tcBorders>
              <w:left w:val="nil"/>
              <w:bottom w:val="nil"/>
              <w:right w:val="nil"/>
            </w:tcBorders>
          </w:tcPr>
          <w:p w14:paraId="1AD38E8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0.037</w:t>
            </w:r>
          </w:p>
        </w:tc>
        <w:tc>
          <w:tcPr>
            <w:tcW w:w="503" w:type="pct"/>
            <w:tcBorders>
              <w:left w:val="nil"/>
              <w:bottom w:val="nil"/>
              <w:right w:val="nil"/>
            </w:tcBorders>
          </w:tcPr>
          <w:p w14:paraId="411061B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-0.09, 0.73</w:t>
            </w:r>
          </w:p>
        </w:tc>
      </w:tr>
      <w:tr w:rsidR="00B03595" w:rsidRPr="00C10309" w14:paraId="203995D6" w14:textId="77777777" w:rsidTr="00786D90">
        <w:trPr>
          <w:trHeight w:val="576"/>
        </w:trPr>
        <w:tc>
          <w:tcPr>
            <w:tcW w:w="506" w:type="pct"/>
            <w:tcBorders>
              <w:top w:val="nil"/>
              <w:bottom w:val="nil"/>
              <w:right w:val="nil"/>
            </w:tcBorders>
          </w:tcPr>
          <w:p w14:paraId="7409D789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Past year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389E90C4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14:paraId="36247B8E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212,146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14:paraId="30A4D3F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22.87%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14:paraId="3E63D131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165D1C52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0.14, 0.32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142F4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5A65DD07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10DD3E8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2,934.80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14:paraId="12B43A27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2727A8B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99.94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14:paraId="3781017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0.016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</w:tcPr>
          <w:p w14:paraId="6B225C3E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-0.06, 0.53</w:t>
            </w:r>
          </w:p>
        </w:tc>
      </w:tr>
      <w:tr w:rsidR="00B03595" w:rsidRPr="00C10309" w14:paraId="19CC87B3" w14:textId="77777777" w:rsidTr="00786D90">
        <w:trPr>
          <w:trHeight w:val="553"/>
        </w:trPr>
        <w:tc>
          <w:tcPr>
            <w:tcW w:w="506" w:type="pct"/>
            <w:tcBorders>
              <w:top w:val="nil"/>
              <w:bottom w:val="nil"/>
              <w:right w:val="nil"/>
            </w:tcBorders>
          </w:tcPr>
          <w:p w14:paraId="5C35E804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Past month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1B12C0E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14:paraId="397F943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334,298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14:paraId="6E65FF8F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16.25%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14:paraId="5A09FB4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4BF97CA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0.08, 0.24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D30E74B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1825F80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12.87%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03A9A8FF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10,558.35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14:paraId="1EC500C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06BC7AD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99.98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14:paraId="07C22138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0.024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</w:tcPr>
          <w:p w14:paraId="3D8105E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-0.17, 0.50</w:t>
            </w:r>
          </w:p>
        </w:tc>
      </w:tr>
      <w:tr w:rsidR="00B03595" w:rsidRPr="00C10309" w14:paraId="024327FA" w14:textId="77777777" w:rsidTr="00786D90">
        <w:trPr>
          <w:trHeight w:val="576"/>
        </w:trPr>
        <w:tc>
          <w:tcPr>
            <w:tcW w:w="506" w:type="pct"/>
            <w:tcBorders>
              <w:top w:val="nil"/>
              <w:bottom w:val="nil"/>
              <w:right w:val="nil"/>
            </w:tcBorders>
          </w:tcPr>
          <w:p w14:paraId="567E9F83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Past week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52BA5B5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</w:tcPr>
          <w:p w14:paraId="524F61B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46,584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</w:tcPr>
          <w:p w14:paraId="4A64710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14.95%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14:paraId="0A51520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</w:tcPr>
          <w:p w14:paraId="6CC444EF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0.03, 0.16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0956AB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0.134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</w:tcPr>
          <w:p w14:paraId="3F2C3C9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7.43%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</w:tcPr>
          <w:p w14:paraId="1F1DFAC0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646.87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</w:tcPr>
          <w:p w14:paraId="5C295590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38C46FE5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99.97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14:paraId="6305845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0.021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</w:tcPr>
          <w:p w14:paraId="65B23FB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-0.12, 0.31</w:t>
            </w:r>
          </w:p>
        </w:tc>
      </w:tr>
      <w:tr w:rsidR="00B03595" w:rsidRPr="00C10309" w14:paraId="199334DA" w14:textId="77777777" w:rsidTr="00786D90">
        <w:trPr>
          <w:trHeight w:val="576"/>
        </w:trPr>
        <w:tc>
          <w:tcPr>
            <w:tcW w:w="506" w:type="pct"/>
            <w:tcBorders>
              <w:top w:val="nil"/>
              <w:bottom w:val="single" w:sz="4" w:space="0" w:color="auto"/>
              <w:right w:val="nil"/>
            </w:tcBorders>
          </w:tcPr>
          <w:p w14:paraId="656142C9" w14:textId="77777777" w:rsidR="00B03595" w:rsidRPr="00C10309" w:rsidRDefault="00B03595" w:rsidP="00786D90">
            <w:pPr>
              <w:spacing w:line="480" w:lineRule="auto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lastRenderedPageBreak/>
              <w:t>Daily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C163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FD8D8F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116,913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C5C4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9.36%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DB60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D5CB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-008, 0.38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AFCCD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0.010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104E9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7.03%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6409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558.17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830D3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&lt;.001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5FE4C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99.95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975F6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0.008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AF3BBA" w14:textId="77777777" w:rsidR="00B03595" w:rsidRPr="00C10309" w:rsidRDefault="00B03595" w:rsidP="00786D90">
            <w:pPr>
              <w:spacing w:line="480" w:lineRule="auto"/>
              <w:jc w:val="center"/>
              <w:rPr>
                <w:rFonts w:eastAsia="Aptos" w:cs="Times New Roman"/>
                <w:lang w:val="en-US"/>
              </w:rPr>
            </w:pPr>
            <w:r w:rsidRPr="00C10309">
              <w:rPr>
                <w:rFonts w:eastAsia="Aptos" w:cs="Times New Roman"/>
                <w:lang w:val="en-US"/>
              </w:rPr>
              <w:t>-0.37, 0.67</w:t>
            </w:r>
          </w:p>
        </w:tc>
      </w:tr>
      <w:tr w:rsidR="00B03595" w:rsidRPr="00C10309" w14:paraId="44375609" w14:textId="77777777" w:rsidTr="00786D90">
        <w:trPr>
          <w:trHeight w:val="407"/>
        </w:trPr>
        <w:tc>
          <w:tcPr>
            <w:tcW w:w="5000" w:type="pct"/>
            <w:gridSpan w:val="13"/>
            <w:tcBorders>
              <w:top w:val="single" w:sz="4" w:space="0" w:color="auto"/>
              <w:bottom w:val="nil"/>
              <w:right w:val="nil"/>
            </w:tcBorders>
          </w:tcPr>
          <w:p w14:paraId="3F5F406C" w14:textId="77777777" w:rsidR="00B03595" w:rsidRPr="00C10309" w:rsidRDefault="00B03595" w:rsidP="00786D90">
            <w:pPr>
              <w:rPr>
                <w:rFonts w:eastAsia="Aptos" w:cs="Times New Roman"/>
                <w:i/>
                <w:iCs/>
                <w:lang w:val="en-US"/>
              </w:rPr>
            </w:pPr>
            <w:r w:rsidRPr="00C10309">
              <w:rPr>
                <w:rFonts w:eastAsia="Aptos" w:cs="Times New Roman"/>
                <w:i/>
                <w:iCs/>
                <w:lang w:val="en-US"/>
              </w:rPr>
              <w:t>Note</w:t>
            </w:r>
            <w:r w:rsidRPr="00C10309">
              <w:rPr>
                <w:rFonts w:eastAsia="Aptos" w:cs="Times New Roman"/>
                <w:lang w:val="en-US"/>
              </w:rPr>
              <w:t>.  k = Number of studies; N = Sample size; </w:t>
            </w:r>
            <w:r w:rsidRPr="00C10309">
              <w:rPr>
                <w:rFonts w:eastAsia="Aptos" w:cs="Times New Roman"/>
                <w:i/>
                <w:iCs/>
                <w:lang w:val="en-US"/>
              </w:rPr>
              <w:t xml:space="preserve">Prevalence </w:t>
            </w:r>
            <w:r w:rsidRPr="00C10309">
              <w:rPr>
                <w:rFonts w:eastAsia="Aptos" w:cs="Times New Roman"/>
                <w:lang w:val="en-US"/>
              </w:rPr>
              <w:t xml:space="preserve">= statistic from the random effects model; 95%CI = 95% confidence interval; </w:t>
            </w:r>
            <w:proofErr w:type="spellStart"/>
            <w:r w:rsidRPr="00C10309">
              <w:rPr>
                <w:rFonts w:eastAsia="Aptos" w:cs="Times New Roman"/>
                <w:lang w:val="en-US"/>
              </w:rPr>
              <w:t>rOSR</w:t>
            </w:r>
            <w:proofErr w:type="spellEnd"/>
            <w:r w:rsidRPr="00C10309">
              <w:rPr>
                <w:rFonts w:eastAsia="Aptos" w:cs="Times New Roman"/>
                <w:lang w:val="en-US"/>
              </w:rPr>
              <w:t xml:space="preserve"> = range of effect sizes obtained from one-study removed analysis; </w:t>
            </w:r>
            <w:r w:rsidRPr="00C10309">
              <w:rPr>
                <w:rFonts w:eastAsia="Aptos" w:cs="Times New Roman"/>
                <w:i/>
                <w:iCs/>
                <w:lang w:val="en-US"/>
              </w:rPr>
              <w:t xml:space="preserve">Q </w:t>
            </w:r>
            <w:r w:rsidRPr="00C10309">
              <w:rPr>
                <w:rFonts w:eastAsia="Aptos" w:cs="Times New Roman"/>
                <w:lang w:val="en-US"/>
              </w:rPr>
              <w:t>= Cochran’s </w:t>
            </w:r>
            <w:r w:rsidRPr="00C10309">
              <w:rPr>
                <w:rFonts w:eastAsia="Aptos" w:cs="Times New Roman"/>
                <w:i/>
                <w:iCs/>
                <w:lang w:val="en-US"/>
              </w:rPr>
              <w:t>Q</w:t>
            </w:r>
            <w:r w:rsidRPr="00C10309">
              <w:rPr>
                <w:rFonts w:eastAsia="Aptos" w:cs="Times New Roman"/>
                <w:lang w:val="en-US"/>
              </w:rPr>
              <w:t> test of homogeneity; </w:t>
            </w:r>
            <w:proofErr w:type="spellStart"/>
            <w:r w:rsidRPr="00C10309">
              <w:rPr>
                <w:rFonts w:eastAsia="Aptos" w:cs="Times New Roman"/>
                <w:i/>
                <w:iCs/>
                <w:lang w:val="en-US"/>
              </w:rPr>
              <w:t>p</w:t>
            </w:r>
            <w:r w:rsidRPr="00C10309">
              <w:rPr>
                <w:rFonts w:eastAsia="Aptos" w:cs="Times New Roman"/>
                <w:i/>
                <w:iCs/>
                <w:vertAlign w:val="subscript"/>
                <w:lang w:val="en-US"/>
              </w:rPr>
              <w:t>Q</w:t>
            </w:r>
            <w:proofErr w:type="spellEnd"/>
            <w:r w:rsidRPr="00C10309">
              <w:rPr>
                <w:rFonts w:eastAsia="Aptos" w:cs="Times New Roman"/>
                <w:i/>
                <w:iCs/>
                <w:vertAlign w:val="subscript"/>
                <w:lang w:val="en-US"/>
              </w:rPr>
              <w:t xml:space="preserve"> </w:t>
            </w:r>
            <w:r w:rsidRPr="00C10309">
              <w:rPr>
                <w:rFonts w:eastAsia="Aptos" w:cs="Times New Roman"/>
                <w:lang w:val="en-US"/>
              </w:rPr>
              <w:t>= </w:t>
            </w:r>
            <w:r w:rsidRPr="00C10309">
              <w:rPr>
                <w:rFonts w:eastAsia="Aptos" w:cs="Times New Roman"/>
                <w:i/>
                <w:iCs/>
                <w:lang w:val="en-US"/>
              </w:rPr>
              <w:t>p</w:t>
            </w:r>
            <w:r w:rsidRPr="00C10309">
              <w:rPr>
                <w:rFonts w:eastAsia="Aptos" w:cs="Times New Roman"/>
                <w:lang w:val="en-US"/>
              </w:rPr>
              <w:t>-value corresponding to Cochran’s Q; </w:t>
            </w:r>
            <w:r w:rsidRPr="00C10309">
              <w:rPr>
                <w:rFonts w:eastAsia="Aptos" w:cs="Times New Roman"/>
                <w:i/>
                <w:iCs/>
                <w:lang w:val="en-US"/>
              </w:rPr>
              <w:t>I</w:t>
            </w:r>
            <w:r w:rsidRPr="00C10309">
              <w:rPr>
                <w:rFonts w:eastAsia="Aptos" w:cs="Times New Roman"/>
                <w:vertAlign w:val="superscript"/>
                <w:lang w:val="en-US"/>
              </w:rPr>
              <w:t xml:space="preserve">2 </w:t>
            </w:r>
            <w:r w:rsidRPr="00C10309">
              <w:rPr>
                <w:rFonts w:eastAsia="Aptos" w:cs="Times New Roman"/>
                <w:lang w:val="en-US"/>
              </w:rPr>
              <w:t xml:space="preserve">= Proportion of variation across studies due to heterogeneity; </w:t>
            </w:r>
            <w:r w:rsidRPr="00C10309">
              <w:rPr>
                <w:rFonts w:eastAsia="Aptos" w:cs="Times New Roman"/>
              </w:rPr>
              <w:t>τ</w:t>
            </w:r>
            <w:r w:rsidRPr="00C10309">
              <w:rPr>
                <w:rFonts w:eastAsia="Aptos" w:cs="Times New Roman"/>
                <w:vertAlign w:val="superscript"/>
                <w:lang w:val="en-US"/>
              </w:rPr>
              <w:t xml:space="preserve">2 </w:t>
            </w:r>
            <w:r w:rsidRPr="00C10309">
              <w:rPr>
                <w:rFonts w:eastAsia="Aptos" w:cs="Times New Roman"/>
                <w:lang w:val="en-US"/>
              </w:rPr>
              <w:t>= tau-square (variance of the mean effect); 95% PI = 95% prediction interval.</w:t>
            </w:r>
          </w:p>
        </w:tc>
      </w:tr>
      <w:bookmarkEnd w:id="0"/>
    </w:tbl>
    <w:p w14:paraId="2BC875CF" w14:textId="77777777" w:rsidR="001932A3" w:rsidRPr="00B03595" w:rsidRDefault="001932A3">
      <w:pPr>
        <w:rPr>
          <w:lang w:val="en-US"/>
        </w:rPr>
      </w:pPr>
    </w:p>
    <w:sectPr w:rsidR="001932A3" w:rsidRPr="00B03595" w:rsidSect="00B0359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Cuerpo en alfa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95"/>
    <w:rsid w:val="00051664"/>
    <w:rsid w:val="001932A3"/>
    <w:rsid w:val="00905902"/>
    <w:rsid w:val="00A40442"/>
    <w:rsid w:val="00B03595"/>
    <w:rsid w:val="00C10309"/>
    <w:rsid w:val="00E9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4C8DD"/>
  <w15:chartTrackingRefBased/>
  <w15:docId w15:val="{AD4CB639-3711-44D5-BF56-DD23A8A6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595"/>
  </w:style>
  <w:style w:type="paragraph" w:styleId="Ttulo1">
    <w:name w:val="heading 1"/>
    <w:basedOn w:val="Normal"/>
    <w:next w:val="Normal"/>
    <w:link w:val="Ttulo1Car"/>
    <w:uiPriority w:val="9"/>
    <w:qFormat/>
    <w:rsid w:val="00B03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3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35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3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35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35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35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35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35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3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3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3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35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35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35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35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35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35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035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3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03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03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3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035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035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35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3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35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3595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B035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0359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03595"/>
    <w:rPr>
      <w:sz w:val="20"/>
      <w:szCs w:val="20"/>
    </w:rPr>
  </w:style>
  <w:style w:type="table" w:styleId="Tablaconcuadrcula">
    <w:name w:val="Table Grid"/>
    <w:basedOn w:val="Tablanormal"/>
    <w:uiPriority w:val="39"/>
    <w:rsid w:val="00B03595"/>
    <w:pPr>
      <w:spacing w:after="0" w:line="240" w:lineRule="auto"/>
    </w:pPr>
    <w:rPr>
      <w:rFonts w:ascii="Times New Roman" w:hAnsi="Times New Roman" w:cs="Times New Roman (Cuerpo en alf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Iza Fernández</dc:creator>
  <cp:keywords/>
  <dc:description/>
  <cp:lastModifiedBy>Clara Iza Fernández</cp:lastModifiedBy>
  <cp:revision>2</cp:revision>
  <dcterms:created xsi:type="dcterms:W3CDTF">2025-11-06T15:39:00Z</dcterms:created>
  <dcterms:modified xsi:type="dcterms:W3CDTF">2025-11-06T16:55:00Z</dcterms:modified>
</cp:coreProperties>
</file>