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D3B9E4" w14:textId="77777777" w:rsidR="00FE7A07" w:rsidRPr="007133B2" w:rsidRDefault="00FE7A07" w:rsidP="00FE7A07">
      <w:pPr>
        <w:spacing w:line="276" w:lineRule="auto"/>
        <w:jc w:val="both"/>
        <w:rPr>
          <w:rFonts w:cstheme="minorHAnsi"/>
          <w:b/>
          <w:bCs/>
          <w:lang w:val="en-GB"/>
        </w:rPr>
      </w:pPr>
      <w:r w:rsidRPr="007133B2">
        <w:rPr>
          <w:rFonts w:cstheme="minorHAnsi"/>
          <w:b/>
          <w:bCs/>
          <w:lang w:val="en-GB"/>
        </w:rPr>
        <w:t>Supplementary Figures:</w:t>
      </w:r>
    </w:p>
    <w:p w14:paraId="2C8F25AA" w14:textId="5F16C0BA" w:rsidR="00FE7A07" w:rsidRPr="007133B2" w:rsidRDefault="00FE7A07" w:rsidP="00FE7A07">
      <w:pPr>
        <w:spacing w:line="276" w:lineRule="auto"/>
        <w:jc w:val="both"/>
        <w:rPr>
          <w:rFonts w:cstheme="minorHAnsi"/>
          <w:lang w:val="en-GB"/>
        </w:rPr>
      </w:pPr>
      <w:r>
        <w:rPr>
          <w:rFonts w:cstheme="minorHAnsi"/>
          <w:b/>
          <w:bCs/>
          <w:lang w:val="en-GB"/>
        </w:rPr>
        <w:t>Supplementary</w:t>
      </w:r>
      <w:r w:rsidRPr="00F015AB">
        <w:rPr>
          <w:rFonts w:cstheme="minorHAnsi"/>
          <w:b/>
          <w:bCs/>
          <w:lang w:val="en-GB"/>
        </w:rPr>
        <w:t xml:space="preserve"> Figure 1</w:t>
      </w:r>
      <w:r w:rsidRPr="00F015AB">
        <w:rPr>
          <w:rFonts w:cstheme="minorHAnsi"/>
          <w:lang w:val="en-GB"/>
        </w:rPr>
        <w:t xml:space="preserve"> - </w:t>
      </w:r>
      <w:r w:rsidRPr="00F015AB">
        <w:rPr>
          <w:rFonts w:cstheme="minorHAnsi"/>
          <w:i/>
          <w:iCs/>
          <w:lang w:val="en-GB"/>
        </w:rPr>
        <w:t>NAPE-PLD</w:t>
      </w:r>
      <w:r w:rsidRPr="00F015AB">
        <w:rPr>
          <w:rFonts w:cstheme="minorHAnsi"/>
          <w:lang w:val="en-GB"/>
        </w:rPr>
        <w:t xml:space="preserve"> relative gene expression in human PBMCs from patients diagnosed with OCD and healthy individuals (CTRL) stratified based on sex (</w:t>
      </w:r>
      <w:r w:rsidRPr="00F015AB">
        <w:rPr>
          <w:rFonts w:cstheme="minorHAnsi"/>
          <w:b/>
          <w:bCs/>
          <w:lang w:val="en-GB"/>
        </w:rPr>
        <w:t>a</w:t>
      </w:r>
      <w:r w:rsidRPr="00F015AB">
        <w:rPr>
          <w:rFonts w:cstheme="minorHAnsi"/>
          <w:lang w:val="en-GB"/>
        </w:rPr>
        <w:t xml:space="preserve">: men, </w:t>
      </w:r>
      <w:r w:rsidRPr="00F015AB">
        <w:rPr>
          <w:rFonts w:cstheme="minorHAnsi"/>
          <w:b/>
          <w:bCs/>
          <w:lang w:val="en-GB"/>
        </w:rPr>
        <w:t>b</w:t>
      </w:r>
      <w:r w:rsidRPr="00F015AB">
        <w:rPr>
          <w:rFonts w:cstheme="minorHAnsi"/>
          <w:lang w:val="en-GB"/>
        </w:rPr>
        <w:t>: women) and drug therapy (</w:t>
      </w:r>
      <w:r w:rsidRPr="00F015AB">
        <w:rPr>
          <w:rFonts w:cstheme="minorHAnsi"/>
          <w:b/>
          <w:bCs/>
          <w:lang w:val="en-GB"/>
        </w:rPr>
        <w:t>c</w:t>
      </w:r>
      <w:r w:rsidRPr="00F015AB">
        <w:rPr>
          <w:rFonts w:cstheme="minorHAnsi"/>
          <w:lang w:val="en-GB"/>
        </w:rPr>
        <w:t>). % of DNA methylation at gene promoter stratified based on sex (</w:t>
      </w:r>
      <w:r w:rsidRPr="00F015AB">
        <w:rPr>
          <w:rFonts w:cstheme="minorHAnsi"/>
          <w:b/>
          <w:bCs/>
          <w:lang w:val="en-GB"/>
        </w:rPr>
        <w:t>f</w:t>
      </w:r>
      <w:r w:rsidRPr="00F015AB">
        <w:rPr>
          <w:rFonts w:cstheme="minorHAnsi"/>
          <w:lang w:val="en-GB"/>
        </w:rPr>
        <w:t xml:space="preserve">: men, </w:t>
      </w:r>
      <w:r w:rsidRPr="00F015AB">
        <w:rPr>
          <w:rFonts w:cstheme="minorHAnsi"/>
          <w:b/>
          <w:bCs/>
          <w:lang w:val="en-GB"/>
        </w:rPr>
        <w:t>g</w:t>
      </w:r>
      <w:r w:rsidRPr="00F015AB">
        <w:rPr>
          <w:rFonts w:cstheme="minorHAnsi"/>
          <w:lang w:val="en-GB"/>
        </w:rPr>
        <w:t>: women) and drug therapy (</w:t>
      </w:r>
      <w:r w:rsidRPr="00F015AB">
        <w:rPr>
          <w:rFonts w:cstheme="minorHAnsi"/>
          <w:b/>
          <w:bCs/>
          <w:lang w:val="en-GB"/>
        </w:rPr>
        <w:t>h</w:t>
      </w:r>
      <w:r w:rsidRPr="00F015AB">
        <w:rPr>
          <w:rFonts w:cstheme="minorHAnsi"/>
          <w:lang w:val="en-GB"/>
        </w:rPr>
        <w:t>); dashed lines indicate CTRL’s DNA methylation levels for the individual CpG site. X/Y graphs represent correlation between years of disease and Y-BOCS score with gene expression (</w:t>
      </w:r>
      <w:r w:rsidRPr="00F015AB">
        <w:rPr>
          <w:rFonts w:cstheme="minorHAnsi"/>
          <w:b/>
          <w:bCs/>
          <w:lang w:val="en-GB"/>
        </w:rPr>
        <w:t xml:space="preserve">d </w:t>
      </w:r>
      <w:r w:rsidRPr="00F015AB">
        <w:rPr>
          <w:rFonts w:cstheme="minorHAnsi"/>
          <w:lang w:val="en-GB"/>
        </w:rPr>
        <w:t xml:space="preserve">and </w:t>
      </w:r>
      <w:r w:rsidRPr="00F015AB">
        <w:rPr>
          <w:rFonts w:cstheme="minorHAnsi"/>
          <w:b/>
          <w:bCs/>
          <w:lang w:val="en-GB"/>
        </w:rPr>
        <w:t>e</w:t>
      </w:r>
      <w:r w:rsidRPr="00F015AB">
        <w:rPr>
          <w:rFonts w:cstheme="minorHAnsi"/>
          <w:lang w:val="en-GB"/>
        </w:rPr>
        <w:t>) and DNA methylation (</w:t>
      </w:r>
      <w:proofErr w:type="spellStart"/>
      <w:r w:rsidRPr="00F015AB">
        <w:rPr>
          <w:rFonts w:cstheme="minorHAnsi"/>
          <w:b/>
          <w:bCs/>
          <w:lang w:val="en-GB"/>
        </w:rPr>
        <w:t>i</w:t>
      </w:r>
      <w:proofErr w:type="spellEnd"/>
      <w:r w:rsidRPr="00F015AB">
        <w:rPr>
          <w:rFonts w:cstheme="minorHAnsi"/>
          <w:b/>
          <w:bCs/>
          <w:lang w:val="en-GB"/>
        </w:rPr>
        <w:t xml:space="preserve"> </w:t>
      </w:r>
      <w:r w:rsidRPr="00F015AB">
        <w:rPr>
          <w:rFonts w:cstheme="minorHAnsi"/>
          <w:lang w:val="en-GB"/>
        </w:rPr>
        <w:t xml:space="preserve">and </w:t>
      </w:r>
      <w:r w:rsidRPr="00F015AB">
        <w:rPr>
          <w:rFonts w:cstheme="minorHAnsi"/>
          <w:b/>
          <w:bCs/>
          <w:lang w:val="en-GB"/>
        </w:rPr>
        <w:t>j</w:t>
      </w:r>
      <w:r w:rsidRPr="00F015AB">
        <w:rPr>
          <w:rFonts w:cstheme="minorHAnsi"/>
          <w:lang w:val="en-GB"/>
        </w:rPr>
        <w:t xml:space="preserve">). </w:t>
      </w:r>
      <w:r w:rsidRPr="007133B2">
        <w:rPr>
          <w:rFonts w:cstheme="minorHAnsi"/>
          <w:lang w:val="en-GB"/>
        </w:rPr>
        <w:t>Monotherapy = antidepressants; Multitherapy = antidepressants, antipsychotics, mood stabilizers, benzodiazepines.</w:t>
      </w:r>
    </w:p>
    <w:p w14:paraId="0AA4A954" w14:textId="77777777" w:rsidR="00FE7A07" w:rsidRPr="007133B2" w:rsidRDefault="00FE7A07" w:rsidP="00FE7A07">
      <w:pPr>
        <w:spacing w:line="276" w:lineRule="auto"/>
        <w:jc w:val="both"/>
        <w:rPr>
          <w:rFonts w:cstheme="minorHAnsi"/>
          <w:lang w:val="en-GB"/>
        </w:rPr>
      </w:pPr>
    </w:p>
    <w:p w14:paraId="6A00A254" w14:textId="6EF9D078" w:rsidR="00FE7A07" w:rsidRPr="007133B2" w:rsidRDefault="00FE7A07" w:rsidP="00FE7A07">
      <w:pPr>
        <w:spacing w:line="276" w:lineRule="auto"/>
        <w:jc w:val="both"/>
        <w:rPr>
          <w:rFonts w:cstheme="minorHAnsi"/>
          <w:lang w:val="en-GB"/>
        </w:rPr>
      </w:pPr>
      <w:r>
        <w:rPr>
          <w:rFonts w:cstheme="minorHAnsi"/>
          <w:b/>
          <w:bCs/>
          <w:lang w:val="en-GB"/>
        </w:rPr>
        <w:t>Supplementary</w:t>
      </w:r>
      <w:r w:rsidRPr="00F015AB">
        <w:rPr>
          <w:rFonts w:cstheme="minorHAnsi"/>
          <w:b/>
          <w:bCs/>
          <w:lang w:val="en-GB"/>
        </w:rPr>
        <w:t xml:space="preserve"> Figure 2</w:t>
      </w:r>
      <w:r w:rsidRPr="00F015AB">
        <w:rPr>
          <w:rFonts w:cstheme="minorHAnsi"/>
          <w:lang w:val="en-GB"/>
        </w:rPr>
        <w:t xml:space="preserve"> - </w:t>
      </w:r>
      <w:r w:rsidRPr="00F015AB">
        <w:rPr>
          <w:rFonts w:cstheme="minorHAnsi"/>
          <w:i/>
          <w:iCs/>
          <w:lang w:val="en-GB"/>
        </w:rPr>
        <w:t>DAGL</w:t>
      </w:r>
      <w:r w:rsidRPr="00F015AB">
        <w:rPr>
          <w:rFonts w:cstheme="minorHAnsi"/>
          <w:i/>
          <w:iCs/>
          <w:lang w:val="el-GR"/>
        </w:rPr>
        <w:t>α</w:t>
      </w:r>
      <w:r w:rsidRPr="00F015AB">
        <w:rPr>
          <w:rFonts w:cstheme="minorHAnsi"/>
          <w:lang w:val="en-GB"/>
        </w:rPr>
        <w:t xml:space="preserve"> relative gene expression in human PBMCs from patients diagnosed with OCD and healthy individuals (CTRL) stratified based on sex (</w:t>
      </w:r>
      <w:r w:rsidRPr="00F015AB">
        <w:rPr>
          <w:rFonts w:cstheme="minorHAnsi"/>
          <w:b/>
          <w:bCs/>
          <w:lang w:val="en-GB"/>
        </w:rPr>
        <w:t>a</w:t>
      </w:r>
      <w:r w:rsidRPr="00F015AB">
        <w:rPr>
          <w:rFonts w:cstheme="minorHAnsi"/>
          <w:lang w:val="en-GB"/>
        </w:rPr>
        <w:t xml:space="preserve">: men, </w:t>
      </w:r>
      <w:r w:rsidRPr="00F015AB">
        <w:rPr>
          <w:rFonts w:cstheme="minorHAnsi"/>
          <w:b/>
          <w:bCs/>
          <w:lang w:val="en-GB"/>
        </w:rPr>
        <w:t>b</w:t>
      </w:r>
      <w:r w:rsidRPr="00F015AB">
        <w:rPr>
          <w:rFonts w:cstheme="minorHAnsi"/>
          <w:lang w:val="en-GB"/>
        </w:rPr>
        <w:t>: women) and drug therapy (</w:t>
      </w:r>
      <w:r w:rsidRPr="00F015AB">
        <w:rPr>
          <w:rFonts w:cstheme="minorHAnsi"/>
          <w:b/>
          <w:bCs/>
          <w:lang w:val="en-GB"/>
        </w:rPr>
        <w:t>c</w:t>
      </w:r>
      <w:r w:rsidRPr="00F015AB">
        <w:rPr>
          <w:rFonts w:cstheme="minorHAnsi"/>
          <w:lang w:val="en-GB"/>
        </w:rPr>
        <w:t xml:space="preserve">). </w:t>
      </w:r>
      <w:r w:rsidR="009D42AD" w:rsidRPr="00F015AB">
        <w:rPr>
          <w:rFonts w:cstheme="minorHAnsi"/>
          <w:lang w:val="en-GB"/>
        </w:rPr>
        <w:t>% of DNA methylation at gene promoter stratified based on sex (</w:t>
      </w:r>
      <w:r w:rsidR="009D42AD" w:rsidRPr="00F015AB">
        <w:rPr>
          <w:rFonts w:cstheme="minorHAnsi"/>
          <w:b/>
          <w:bCs/>
          <w:lang w:val="en-GB"/>
        </w:rPr>
        <w:t>f</w:t>
      </w:r>
      <w:r w:rsidR="009D42AD" w:rsidRPr="00F015AB">
        <w:rPr>
          <w:rFonts w:cstheme="minorHAnsi"/>
          <w:lang w:val="en-GB"/>
        </w:rPr>
        <w:t xml:space="preserve">: men, </w:t>
      </w:r>
      <w:r w:rsidR="009D42AD" w:rsidRPr="00F015AB">
        <w:rPr>
          <w:rFonts w:cstheme="minorHAnsi"/>
          <w:b/>
          <w:bCs/>
          <w:lang w:val="en-GB"/>
        </w:rPr>
        <w:t>g</w:t>
      </w:r>
      <w:r w:rsidR="009D42AD" w:rsidRPr="00F015AB">
        <w:rPr>
          <w:rFonts w:cstheme="minorHAnsi"/>
          <w:lang w:val="en-GB"/>
        </w:rPr>
        <w:t>: women) and drug therapy (</w:t>
      </w:r>
      <w:r w:rsidR="009D42AD" w:rsidRPr="00F015AB">
        <w:rPr>
          <w:rFonts w:cstheme="minorHAnsi"/>
          <w:b/>
          <w:bCs/>
          <w:lang w:val="en-GB"/>
        </w:rPr>
        <w:t>h</w:t>
      </w:r>
      <w:r w:rsidR="009D42AD" w:rsidRPr="00F015AB">
        <w:rPr>
          <w:rFonts w:cstheme="minorHAnsi"/>
          <w:lang w:val="en-GB"/>
        </w:rPr>
        <w:t>); dashed lines indicate CTRL’s DNA methylation levels for the individual CpG site. X/Y graphs represent correlation between years of disease and Y-BOCS score with gene expression (</w:t>
      </w:r>
      <w:r w:rsidR="009D42AD" w:rsidRPr="00F015AB">
        <w:rPr>
          <w:rFonts w:cstheme="minorHAnsi"/>
          <w:b/>
          <w:bCs/>
          <w:lang w:val="en-GB"/>
        </w:rPr>
        <w:t xml:space="preserve">d </w:t>
      </w:r>
      <w:r w:rsidR="009D42AD" w:rsidRPr="00F015AB">
        <w:rPr>
          <w:rFonts w:cstheme="minorHAnsi"/>
          <w:lang w:val="en-GB"/>
        </w:rPr>
        <w:t xml:space="preserve">and </w:t>
      </w:r>
      <w:r w:rsidR="009D42AD" w:rsidRPr="00F015AB">
        <w:rPr>
          <w:rFonts w:cstheme="minorHAnsi"/>
          <w:b/>
          <w:bCs/>
          <w:lang w:val="en-GB"/>
        </w:rPr>
        <w:t>e</w:t>
      </w:r>
      <w:r w:rsidR="009D42AD" w:rsidRPr="00F015AB">
        <w:rPr>
          <w:rFonts w:cstheme="minorHAnsi"/>
          <w:lang w:val="en-GB"/>
        </w:rPr>
        <w:t>) and DNA methylation (</w:t>
      </w:r>
      <w:proofErr w:type="spellStart"/>
      <w:r w:rsidR="009D42AD" w:rsidRPr="00F015AB">
        <w:rPr>
          <w:rFonts w:cstheme="minorHAnsi"/>
          <w:b/>
          <w:bCs/>
          <w:lang w:val="en-GB"/>
        </w:rPr>
        <w:t>i</w:t>
      </w:r>
      <w:proofErr w:type="spellEnd"/>
      <w:r w:rsidR="009D42AD" w:rsidRPr="00F015AB">
        <w:rPr>
          <w:rFonts w:cstheme="minorHAnsi"/>
          <w:b/>
          <w:bCs/>
          <w:lang w:val="en-GB"/>
        </w:rPr>
        <w:t xml:space="preserve"> </w:t>
      </w:r>
      <w:r w:rsidR="009D42AD" w:rsidRPr="00F015AB">
        <w:rPr>
          <w:rFonts w:cstheme="minorHAnsi"/>
          <w:lang w:val="en-GB"/>
        </w:rPr>
        <w:t xml:space="preserve">and </w:t>
      </w:r>
      <w:r w:rsidR="009D42AD" w:rsidRPr="00F015AB">
        <w:rPr>
          <w:rFonts w:cstheme="minorHAnsi"/>
          <w:b/>
          <w:bCs/>
          <w:lang w:val="en-GB"/>
        </w:rPr>
        <w:t>j</w:t>
      </w:r>
      <w:r w:rsidR="009D42AD" w:rsidRPr="00F015AB">
        <w:rPr>
          <w:rFonts w:cstheme="minorHAnsi"/>
          <w:lang w:val="en-GB"/>
        </w:rPr>
        <w:t xml:space="preserve">). </w:t>
      </w:r>
      <w:r w:rsidR="009D42AD" w:rsidRPr="007133B2">
        <w:rPr>
          <w:rFonts w:cstheme="minorHAnsi"/>
          <w:lang w:val="en-GB"/>
        </w:rPr>
        <w:t>Monotherapy = antidepressants; Multitherapy = antidepressants, antipsychotics, mood stabilizers, benzodiazepines.</w:t>
      </w:r>
    </w:p>
    <w:p w14:paraId="35604DCD" w14:textId="77777777" w:rsidR="00FE7A07" w:rsidRPr="007133B2" w:rsidRDefault="00FE7A07" w:rsidP="00FE7A07">
      <w:pPr>
        <w:spacing w:line="276" w:lineRule="auto"/>
        <w:jc w:val="both"/>
        <w:rPr>
          <w:rFonts w:cstheme="minorHAnsi"/>
          <w:lang w:val="en-GB"/>
        </w:rPr>
      </w:pPr>
    </w:p>
    <w:p w14:paraId="4A9590C8" w14:textId="4FB07F70" w:rsidR="00FE7A07" w:rsidRPr="007133B2" w:rsidRDefault="00FE7A07" w:rsidP="00FE7A07">
      <w:pPr>
        <w:spacing w:line="276" w:lineRule="auto"/>
        <w:jc w:val="both"/>
        <w:rPr>
          <w:rFonts w:cstheme="minorHAnsi"/>
          <w:lang w:val="en-GB"/>
        </w:rPr>
      </w:pPr>
      <w:r>
        <w:rPr>
          <w:rFonts w:cstheme="minorHAnsi"/>
          <w:b/>
          <w:bCs/>
          <w:lang w:val="en-GB"/>
        </w:rPr>
        <w:t>Supplementary</w:t>
      </w:r>
      <w:r w:rsidRPr="00F015AB">
        <w:rPr>
          <w:rFonts w:cstheme="minorHAnsi"/>
          <w:b/>
          <w:bCs/>
          <w:lang w:val="en-GB"/>
        </w:rPr>
        <w:t xml:space="preserve"> Figure 3</w:t>
      </w:r>
      <w:r w:rsidRPr="00F015AB">
        <w:rPr>
          <w:rFonts w:cstheme="minorHAnsi"/>
          <w:lang w:val="en-GB"/>
        </w:rPr>
        <w:t xml:space="preserve"> - </w:t>
      </w:r>
      <w:r w:rsidRPr="00F015AB">
        <w:rPr>
          <w:rFonts w:cstheme="minorHAnsi"/>
          <w:i/>
          <w:iCs/>
          <w:lang w:val="en-GB"/>
        </w:rPr>
        <w:t>CNR2</w:t>
      </w:r>
      <w:r w:rsidRPr="00F015AB">
        <w:rPr>
          <w:rFonts w:cstheme="minorHAnsi"/>
          <w:lang w:val="en-GB"/>
        </w:rPr>
        <w:t xml:space="preserve"> relative gene expression in human PBMCs from patients diagnosed with OCD and healthy individuals (CTRL) stratified based on sex (</w:t>
      </w:r>
      <w:r w:rsidRPr="00F015AB">
        <w:rPr>
          <w:rFonts w:cstheme="minorHAnsi"/>
          <w:b/>
          <w:bCs/>
          <w:lang w:val="en-GB"/>
        </w:rPr>
        <w:t>a</w:t>
      </w:r>
      <w:r w:rsidRPr="00F015AB">
        <w:rPr>
          <w:rFonts w:cstheme="minorHAnsi"/>
          <w:lang w:val="en-GB"/>
        </w:rPr>
        <w:t xml:space="preserve">: men, </w:t>
      </w:r>
      <w:r w:rsidRPr="00F015AB">
        <w:rPr>
          <w:rFonts w:cstheme="minorHAnsi"/>
          <w:b/>
          <w:bCs/>
          <w:lang w:val="en-GB"/>
        </w:rPr>
        <w:t>b</w:t>
      </w:r>
      <w:r w:rsidRPr="00F015AB">
        <w:rPr>
          <w:rFonts w:cstheme="minorHAnsi"/>
          <w:lang w:val="en-GB"/>
        </w:rPr>
        <w:t>: women) and drug therapy (</w:t>
      </w:r>
      <w:r w:rsidRPr="00F015AB">
        <w:rPr>
          <w:rFonts w:cstheme="minorHAnsi"/>
          <w:b/>
          <w:bCs/>
          <w:lang w:val="en-GB"/>
        </w:rPr>
        <w:t>c</w:t>
      </w:r>
      <w:r w:rsidRPr="00F015AB">
        <w:rPr>
          <w:rFonts w:cstheme="minorHAnsi"/>
          <w:lang w:val="en-GB"/>
        </w:rPr>
        <w:t xml:space="preserve">). </w:t>
      </w:r>
      <w:r w:rsidR="009D42AD" w:rsidRPr="00F015AB">
        <w:rPr>
          <w:rFonts w:cstheme="minorHAnsi"/>
          <w:lang w:val="en-GB"/>
        </w:rPr>
        <w:t>% of DNA methylation at gene promoter stratified based on sex (</w:t>
      </w:r>
      <w:r w:rsidR="009D42AD" w:rsidRPr="00F015AB">
        <w:rPr>
          <w:rFonts w:cstheme="minorHAnsi"/>
          <w:b/>
          <w:bCs/>
          <w:lang w:val="en-GB"/>
        </w:rPr>
        <w:t>f</w:t>
      </w:r>
      <w:r w:rsidR="009D42AD" w:rsidRPr="00F015AB">
        <w:rPr>
          <w:rFonts w:cstheme="minorHAnsi"/>
          <w:lang w:val="en-GB"/>
        </w:rPr>
        <w:t xml:space="preserve">: men, </w:t>
      </w:r>
      <w:r w:rsidR="009D42AD" w:rsidRPr="00F015AB">
        <w:rPr>
          <w:rFonts w:cstheme="minorHAnsi"/>
          <w:b/>
          <w:bCs/>
          <w:lang w:val="en-GB"/>
        </w:rPr>
        <w:t>g</w:t>
      </w:r>
      <w:r w:rsidR="009D42AD" w:rsidRPr="00F015AB">
        <w:rPr>
          <w:rFonts w:cstheme="minorHAnsi"/>
          <w:lang w:val="en-GB"/>
        </w:rPr>
        <w:t>: women) and drug therapy (</w:t>
      </w:r>
      <w:r w:rsidR="009D42AD" w:rsidRPr="00F015AB">
        <w:rPr>
          <w:rFonts w:cstheme="minorHAnsi"/>
          <w:b/>
          <w:bCs/>
          <w:lang w:val="en-GB"/>
        </w:rPr>
        <w:t>h</w:t>
      </w:r>
      <w:r w:rsidR="009D42AD" w:rsidRPr="00F015AB">
        <w:rPr>
          <w:rFonts w:cstheme="minorHAnsi"/>
          <w:lang w:val="en-GB"/>
        </w:rPr>
        <w:t>); dashed lines indicate CTRL’s DNA methylation levels for the individual CpG site. X/Y graphs represent correlation between years of disease and Y-BOCS score with gene expression (</w:t>
      </w:r>
      <w:r w:rsidR="009D42AD" w:rsidRPr="00F015AB">
        <w:rPr>
          <w:rFonts w:cstheme="minorHAnsi"/>
          <w:b/>
          <w:bCs/>
          <w:lang w:val="en-GB"/>
        </w:rPr>
        <w:t xml:space="preserve">d </w:t>
      </w:r>
      <w:r w:rsidR="009D42AD" w:rsidRPr="00F015AB">
        <w:rPr>
          <w:rFonts w:cstheme="minorHAnsi"/>
          <w:lang w:val="en-GB"/>
        </w:rPr>
        <w:t xml:space="preserve">and </w:t>
      </w:r>
      <w:r w:rsidR="009D42AD" w:rsidRPr="00F015AB">
        <w:rPr>
          <w:rFonts w:cstheme="minorHAnsi"/>
          <w:b/>
          <w:bCs/>
          <w:lang w:val="en-GB"/>
        </w:rPr>
        <w:t>e</w:t>
      </w:r>
      <w:r w:rsidR="009D42AD" w:rsidRPr="00F015AB">
        <w:rPr>
          <w:rFonts w:cstheme="minorHAnsi"/>
          <w:lang w:val="en-GB"/>
        </w:rPr>
        <w:t>) and DNA methylation (</w:t>
      </w:r>
      <w:proofErr w:type="spellStart"/>
      <w:r w:rsidR="009D42AD" w:rsidRPr="00F015AB">
        <w:rPr>
          <w:rFonts w:cstheme="minorHAnsi"/>
          <w:b/>
          <w:bCs/>
          <w:lang w:val="en-GB"/>
        </w:rPr>
        <w:t>i</w:t>
      </w:r>
      <w:proofErr w:type="spellEnd"/>
      <w:r w:rsidR="009D42AD" w:rsidRPr="00F015AB">
        <w:rPr>
          <w:rFonts w:cstheme="minorHAnsi"/>
          <w:b/>
          <w:bCs/>
          <w:lang w:val="en-GB"/>
        </w:rPr>
        <w:t xml:space="preserve"> </w:t>
      </w:r>
      <w:r w:rsidR="009D42AD" w:rsidRPr="00F015AB">
        <w:rPr>
          <w:rFonts w:cstheme="minorHAnsi"/>
          <w:lang w:val="en-GB"/>
        </w:rPr>
        <w:t xml:space="preserve">and </w:t>
      </w:r>
      <w:r w:rsidR="009D42AD" w:rsidRPr="00F015AB">
        <w:rPr>
          <w:rFonts w:cstheme="minorHAnsi"/>
          <w:b/>
          <w:bCs/>
          <w:lang w:val="en-GB"/>
        </w:rPr>
        <w:t>j</w:t>
      </w:r>
      <w:r w:rsidR="009D42AD" w:rsidRPr="00F015AB">
        <w:rPr>
          <w:rFonts w:cstheme="minorHAnsi"/>
          <w:lang w:val="en-GB"/>
        </w:rPr>
        <w:t xml:space="preserve">). </w:t>
      </w:r>
      <w:r w:rsidR="009D42AD" w:rsidRPr="007133B2">
        <w:rPr>
          <w:rFonts w:cstheme="minorHAnsi"/>
          <w:lang w:val="en-GB"/>
        </w:rPr>
        <w:t>Monotherapy = antidepressants; Multitherapy = antidepressants, antipsychotics, mood stabilizers, benzodiazepines.</w:t>
      </w:r>
    </w:p>
    <w:p w14:paraId="66E0244B" w14:textId="77777777" w:rsidR="00FE7A07" w:rsidRPr="007133B2" w:rsidRDefault="00FE7A07" w:rsidP="00FE7A07">
      <w:pPr>
        <w:spacing w:line="276" w:lineRule="auto"/>
        <w:jc w:val="both"/>
        <w:rPr>
          <w:rFonts w:cstheme="minorHAnsi"/>
          <w:lang w:val="en-GB"/>
        </w:rPr>
      </w:pPr>
    </w:p>
    <w:p w14:paraId="3FDD30B4" w14:textId="56BBE558" w:rsidR="00FE7A07" w:rsidRPr="007133B2" w:rsidRDefault="00FE7A07" w:rsidP="00FE7A07">
      <w:pPr>
        <w:spacing w:line="276" w:lineRule="auto"/>
        <w:jc w:val="both"/>
        <w:rPr>
          <w:rFonts w:cstheme="minorHAnsi"/>
          <w:lang w:val="en-GB"/>
        </w:rPr>
      </w:pPr>
      <w:r>
        <w:rPr>
          <w:rFonts w:cstheme="minorHAnsi"/>
          <w:b/>
          <w:bCs/>
          <w:lang w:val="en-GB"/>
        </w:rPr>
        <w:t>Supplementary</w:t>
      </w:r>
      <w:r w:rsidRPr="00F015AB">
        <w:rPr>
          <w:rFonts w:cstheme="minorHAnsi"/>
          <w:b/>
          <w:bCs/>
          <w:lang w:val="en-GB"/>
        </w:rPr>
        <w:t xml:space="preserve"> Figure 4</w:t>
      </w:r>
      <w:r w:rsidRPr="00F015AB">
        <w:rPr>
          <w:rFonts w:cstheme="minorHAnsi"/>
          <w:lang w:val="en-GB"/>
        </w:rPr>
        <w:t xml:space="preserve"> - Heat maps representing the correlation analysis between ECS genes in the overall population (</w:t>
      </w:r>
      <w:r w:rsidRPr="00F015AB">
        <w:rPr>
          <w:rFonts w:cstheme="minorHAnsi"/>
          <w:b/>
          <w:bCs/>
          <w:lang w:val="en-GB"/>
        </w:rPr>
        <w:t>a</w:t>
      </w:r>
      <w:r w:rsidRPr="00F015AB">
        <w:rPr>
          <w:rFonts w:cstheme="minorHAnsi"/>
          <w:lang w:val="en-GB"/>
        </w:rPr>
        <w:t>) and in OCD patients alone (</w:t>
      </w:r>
      <w:r w:rsidRPr="00F015AB">
        <w:rPr>
          <w:rFonts w:cstheme="minorHAnsi"/>
          <w:b/>
          <w:bCs/>
          <w:lang w:val="en-GB"/>
        </w:rPr>
        <w:t>b</w:t>
      </w:r>
      <w:r w:rsidRPr="00F015AB">
        <w:rPr>
          <w:rFonts w:cstheme="minorHAnsi"/>
          <w:lang w:val="en-GB"/>
        </w:rPr>
        <w:t>). Cells filled in green to red gradient of the heat maps (upper part) represent Spearman’s r; cells filled in yellow to red gradient (lower part) s represent p values (empty cells represent p values greater than 0.</w:t>
      </w:r>
      <w:r w:rsidR="00D804BF" w:rsidRPr="00F8709B">
        <w:rPr>
          <w:rFonts w:cstheme="minorHAnsi"/>
          <w:lang w:val="en-GB"/>
        </w:rPr>
        <w:t>0</w:t>
      </w:r>
      <w:r w:rsidRPr="00F015AB">
        <w:rPr>
          <w:rFonts w:cstheme="minorHAnsi"/>
          <w:lang w:val="en-GB"/>
        </w:rPr>
        <w:t xml:space="preserve">5). </w:t>
      </w:r>
      <w:r w:rsidRPr="007133B2">
        <w:rPr>
          <w:rFonts w:cstheme="minorHAnsi"/>
          <w:lang w:val="en-GB"/>
        </w:rPr>
        <w:t>X/Y graphs represent the individual correlation.</w:t>
      </w:r>
    </w:p>
    <w:p w14:paraId="23A252F7" w14:textId="77777777" w:rsidR="00FE7A07" w:rsidRPr="00F015AB" w:rsidRDefault="00FE7A07" w:rsidP="00FE7A07">
      <w:pPr>
        <w:spacing w:line="276" w:lineRule="auto"/>
        <w:jc w:val="both"/>
        <w:rPr>
          <w:rFonts w:cstheme="minorHAnsi"/>
          <w:lang w:val="en-GB"/>
        </w:rPr>
      </w:pPr>
    </w:p>
    <w:p w14:paraId="2555A4F3" w14:textId="0E91F846" w:rsidR="00FE7A07" w:rsidRPr="00F015AB" w:rsidRDefault="00FE7A07" w:rsidP="00FE7A07">
      <w:pPr>
        <w:spacing w:line="276" w:lineRule="auto"/>
        <w:jc w:val="both"/>
        <w:rPr>
          <w:rFonts w:cstheme="minorHAnsi"/>
          <w:lang w:val="en-GB"/>
        </w:rPr>
      </w:pPr>
      <w:r>
        <w:rPr>
          <w:rFonts w:cstheme="minorHAnsi"/>
          <w:b/>
          <w:bCs/>
          <w:lang w:val="en-GB"/>
        </w:rPr>
        <w:t>Supplementary</w:t>
      </w:r>
      <w:r w:rsidRPr="00F015AB">
        <w:rPr>
          <w:rFonts w:cstheme="minorHAnsi"/>
          <w:b/>
          <w:bCs/>
          <w:lang w:val="en-GB"/>
        </w:rPr>
        <w:t xml:space="preserve"> Figure 5</w:t>
      </w:r>
      <w:r w:rsidRPr="00F015AB">
        <w:rPr>
          <w:rFonts w:cstheme="minorHAnsi"/>
          <w:lang w:val="en-GB"/>
        </w:rPr>
        <w:t xml:space="preserve"> - % of DNA methylation at </w:t>
      </w:r>
      <w:proofErr w:type="spellStart"/>
      <w:r w:rsidRPr="00F015AB">
        <w:rPr>
          <w:rFonts w:cstheme="minorHAnsi"/>
          <w:i/>
          <w:iCs/>
          <w:lang w:val="en-GB"/>
        </w:rPr>
        <w:t>Dagl</w:t>
      </w:r>
      <w:proofErr w:type="spellEnd"/>
      <w:r w:rsidRPr="00F015AB">
        <w:rPr>
          <w:rFonts w:cstheme="minorHAnsi"/>
          <w:i/>
          <w:iCs/>
        </w:rPr>
        <w:t>α</w:t>
      </w:r>
      <w:r w:rsidRPr="00F015AB">
        <w:rPr>
          <w:rFonts w:cstheme="minorHAnsi"/>
          <w:i/>
          <w:iCs/>
          <w:lang w:val="en-GB"/>
        </w:rPr>
        <w:t xml:space="preserve"> </w:t>
      </w:r>
      <w:r w:rsidRPr="00F015AB">
        <w:rPr>
          <w:rFonts w:cstheme="minorHAnsi"/>
          <w:lang w:val="en-GB"/>
        </w:rPr>
        <w:t>(</w:t>
      </w:r>
      <w:r w:rsidRPr="007133B2">
        <w:rPr>
          <w:rFonts w:cstheme="minorHAnsi"/>
          <w:b/>
          <w:bCs/>
          <w:lang w:val="en-GB"/>
        </w:rPr>
        <w:t>a</w:t>
      </w:r>
      <w:r w:rsidRPr="00F015AB">
        <w:rPr>
          <w:rFonts w:cstheme="minorHAnsi"/>
          <w:lang w:val="en-GB"/>
        </w:rPr>
        <w:t xml:space="preserve">) gene promoter in the </w:t>
      </w:r>
      <w:r>
        <w:rPr>
          <w:rFonts w:cstheme="minorHAnsi"/>
          <w:lang w:val="en-GB"/>
        </w:rPr>
        <w:t>PFC</w:t>
      </w:r>
      <w:r w:rsidRPr="00F015AB">
        <w:rPr>
          <w:rFonts w:cstheme="minorHAnsi"/>
          <w:lang w:val="en-GB"/>
        </w:rPr>
        <w:t xml:space="preserve">, </w:t>
      </w:r>
      <w:r w:rsidRPr="00F015AB">
        <w:rPr>
          <w:rFonts w:cstheme="minorHAnsi"/>
          <w:i/>
          <w:iCs/>
          <w:lang w:val="en-GB"/>
        </w:rPr>
        <w:t xml:space="preserve">Cnr1 </w:t>
      </w:r>
      <w:r w:rsidRPr="00F015AB">
        <w:rPr>
          <w:rFonts w:cstheme="minorHAnsi"/>
          <w:lang w:val="en-GB"/>
        </w:rPr>
        <w:t>(</w:t>
      </w:r>
      <w:r w:rsidRPr="007133B2">
        <w:rPr>
          <w:rFonts w:cstheme="minorHAnsi"/>
          <w:b/>
          <w:bCs/>
          <w:lang w:val="en-GB"/>
        </w:rPr>
        <w:t>b</w:t>
      </w:r>
      <w:r w:rsidRPr="00F015AB">
        <w:rPr>
          <w:rFonts w:cstheme="minorHAnsi"/>
          <w:lang w:val="en-GB"/>
        </w:rPr>
        <w:t xml:space="preserve">) and </w:t>
      </w:r>
      <w:r w:rsidRPr="00F015AB">
        <w:rPr>
          <w:rFonts w:cstheme="minorHAnsi"/>
          <w:i/>
          <w:iCs/>
          <w:lang w:val="en-GB"/>
        </w:rPr>
        <w:t>Nape-</w:t>
      </w:r>
      <w:proofErr w:type="spellStart"/>
      <w:r w:rsidRPr="00F015AB">
        <w:rPr>
          <w:rFonts w:cstheme="minorHAnsi"/>
          <w:i/>
          <w:iCs/>
          <w:lang w:val="en-GB"/>
        </w:rPr>
        <w:t>pld</w:t>
      </w:r>
      <w:proofErr w:type="spellEnd"/>
      <w:r w:rsidRPr="00F015AB">
        <w:rPr>
          <w:rFonts w:cstheme="minorHAnsi"/>
          <w:lang w:val="en-GB"/>
        </w:rPr>
        <w:t xml:space="preserve"> (</w:t>
      </w:r>
      <w:r w:rsidRPr="007133B2">
        <w:rPr>
          <w:rFonts w:cstheme="minorHAnsi"/>
          <w:b/>
          <w:bCs/>
          <w:lang w:val="en-GB"/>
        </w:rPr>
        <w:t>c</w:t>
      </w:r>
      <w:r w:rsidRPr="00F015AB">
        <w:rPr>
          <w:rFonts w:cstheme="minorHAnsi"/>
          <w:lang w:val="en-GB"/>
        </w:rPr>
        <w:t xml:space="preserve">) gene promoters in the </w:t>
      </w:r>
      <w:r>
        <w:rPr>
          <w:rFonts w:cstheme="minorHAnsi"/>
          <w:lang w:val="en-GB"/>
        </w:rPr>
        <w:t>AMY</w:t>
      </w:r>
      <w:r w:rsidRPr="00F015AB">
        <w:rPr>
          <w:rFonts w:cstheme="minorHAnsi"/>
          <w:lang w:val="en-GB"/>
        </w:rPr>
        <w:t xml:space="preserve"> of MAT-HET and control (CTRL) rats. Scattered plots represent the rats’ % of DNA methylation for the individual CpG sites under study as well as for the average (Ave) of the CpG sites under study.</w:t>
      </w:r>
    </w:p>
    <w:p w14:paraId="61A5C23C" w14:textId="77777777" w:rsidR="00FE7A07" w:rsidRPr="00F015AB" w:rsidRDefault="00FE7A07" w:rsidP="00FE7A07">
      <w:pPr>
        <w:spacing w:line="276" w:lineRule="auto"/>
        <w:jc w:val="both"/>
        <w:rPr>
          <w:rFonts w:cstheme="minorHAnsi"/>
          <w:lang w:val="en-GB"/>
        </w:rPr>
      </w:pPr>
    </w:p>
    <w:p w14:paraId="2F196E56" w14:textId="015A4F32" w:rsidR="00FE7A07" w:rsidRPr="00F015AB" w:rsidRDefault="00FE7A07" w:rsidP="00FE7A07">
      <w:pPr>
        <w:spacing w:line="276" w:lineRule="auto"/>
        <w:jc w:val="both"/>
        <w:rPr>
          <w:rFonts w:cstheme="minorHAnsi"/>
          <w:lang w:val="en-GB"/>
        </w:rPr>
      </w:pPr>
      <w:r>
        <w:rPr>
          <w:rFonts w:cstheme="minorHAnsi"/>
          <w:b/>
          <w:bCs/>
          <w:lang w:val="en-GB"/>
        </w:rPr>
        <w:t>Supplementary</w:t>
      </w:r>
      <w:r w:rsidRPr="00F015AB">
        <w:rPr>
          <w:rFonts w:cstheme="minorHAnsi"/>
          <w:b/>
          <w:bCs/>
          <w:lang w:val="en-GB"/>
        </w:rPr>
        <w:t xml:space="preserve"> Figure 6</w:t>
      </w:r>
      <w:r w:rsidRPr="00F015AB">
        <w:rPr>
          <w:rFonts w:cstheme="minorHAnsi"/>
          <w:lang w:val="en-GB"/>
        </w:rPr>
        <w:t xml:space="preserve"> - Heat maps representing the correlation analysis between the individuals’ gene expression in the PFC (</w:t>
      </w:r>
      <w:r w:rsidRPr="00F015AB">
        <w:rPr>
          <w:rFonts w:cstheme="minorHAnsi"/>
          <w:b/>
          <w:bCs/>
          <w:lang w:val="en-GB"/>
        </w:rPr>
        <w:t>a</w:t>
      </w:r>
      <w:r w:rsidRPr="00F015AB">
        <w:rPr>
          <w:rFonts w:cstheme="minorHAnsi"/>
          <w:lang w:val="en-GB"/>
        </w:rPr>
        <w:t>) and AMY (</w:t>
      </w:r>
      <w:r w:rsidRPr="00F015AB">
        <w:rPr>
          <w:rFonts w:cstheme="minorHAnsi"/>
          <w:b/>
          <w:bCs/>
          <w:lang w:val="en-GB"/>
        </w:rPr>
        <w:t>b</w:t>
      </w:r>
      <w:r w:rsidRPr="00F015AB">
        <w:rPr>
          <w:rFonts w:cstheme="minorHAnsi"/>
          <w:lang w:val="en-GB"/>
        </w:rPr>
        <w:t>) of CTRL and MAT-HET rats, or MAT-HET rats alone (</w:t>
      </w:r>
      <w:r w:rsidRPr="00F015AB">
        <w:rPr>
          <w:rFonts w:cstheme="minorHAnsi"/>
          <w:b/>
          <w:bCs/>
          <w:lang w:val="en-GB"/>
        </w:rPr>
        <w:t>c</w:t>
      </w:r>
      <w:r w:rsidRPr="00F015AB">
        <w:rPr>
          <w:rFonts w:cstheme="minorHAnsi"/>
          <w:lang w:val="en-GB"/>
        </w:rPr>
        <w:t xml:space="preserve"> and </w:t>
      </w:r>
      <w:r w:rsidRPr="00F015AB">
        <w:rPr>
          <w:rFonts w:cstheme="minorHAnsi"/>
          <w:b/>
          <w:bCs/>
          <w:lang w:val="en-GB"/>
        </w:rPr>
        <w:t>d</w:t>
      </w:r>
      <w:r w:rsidRPr="00F015AB">
        <w:rPr>
          <w:rFonts w:cstheme="minorHAnsi"/>
          <w:lang w:val="en-GB"/>
        </w:rPr>
        <w:t>). Cells filled in green to red gradient of the heat maps (lower part) represent Spearman’s r; cells filled in yellow to red gradient (upper part) s represent p values (empty cells represent p values greater than 0.</w:t>
      </w:r>
      <w:r w:rsidR="00D804BF" w:rsidRPr="00F8709B">
        <w:rPr>
          <w:rFonts w:cstheme="minorHAnsi"/>
          <w:lang w:val="en-GB"/>
        </w:rPr>
        <w:t>0</w:t>
      </w:r>
      <w:r w:rsidRPr="00F015AB">
        <w:rPr>
          <w:rFonts w:cstheme="minorHAnsi"/>
          <w:lang w:val="en-GB"/>
        </w:rPr>
        <w:t>5).</w:t>
      </w:r>
    </w:p>
    <w:p w14:paraId="7DAA9A5A" w14:textId="77777777" w:rsidR="00FE7A07" w:rsidRPr="00F015AB" w:rsidRDefault="00FE7A07" w:rsidP="00FE7A07">
      <w:pPr>
        <w:spacing w:line="276" w:lineRule="auto"/>
        <w:jc w:val="both"/>
        <w:rPr>
          <w:rFonts w:cstheme="minorHAnsi"/>
          <w:lang w:val="en-GB"/>
        </w:rPr>
      </w:pPr>
    </w:p>
    <w:p w14:paraId="14F068FB" w14:textId="009CD416" w:rsidR="00FE7A07" w:rsidRPr="00F015AB" w:rsidRDefault="00FE7A07" w:rsidP="00FE7A07">
      <w:pPr>
        <w:spacing w:line="276" w:lineRule="auto"/>
        <w:jc w:val="both"/>
        <w:rPr>
          <w:rFonts w:cstheme="minorHAnsi"/>
          <w:lang w:val="en-GB"/>
        </w:rPr>
      </w:pPr>
      <w:r>
        <w:rPr>
          <w:rFonts w:cstheme="minorHAnsi"/>
          <w:b/>
          <w:bCs/>
          <w:lang w:val="en-GB"/>
        </w:rPr>
        <w:t>Supplementary</w:t>
      </w:r>
      <w:r w:rsidRPr="00F015AB">
        <w:rPr>
          <w:rFonts w:cstheme="minorHAnsi"/>
          <w:b/>
          <w:bCs/>
          <w:lang w:val="en-GB"/>
        </w:rPr>
        <w:t xml:space="preserve"> Figure 7</w:t>
      </w:r>
      <w:r w:rsidRPr="00F015AB">
        <w:rPr>
          <w:rFonts w:cstheme="minorHAnsi"/>
          <w:lang w:val="en-GB"/>
        </w:rPr>
        <w:t xml:space="preserve"> - Heat maps representing the correlation analysis between ECS components and previously studied </w:t>
      </w:r>
      <w:proofErr w:type="spellStart"/>
      <w:r w:rsidRPr="00F015AB">
        <w:rPr>
          <w:rFonts w:cstheme="minorHAnsi"/>
          <w:i/>
          <w:iCs/>
          <w:lang w:val="en-GB"/>
        </w:rPr>
        <w:t>Oxtr</w:t>
      </w:r>
      <w:proofErr w:type="spellEnd"/>
      <w:r w:rsidRPr="00F015AB">
        <w:rPr>
          <w:rFonts w:cstheme="minorHAnsi"/>
          <w:lang w:val="en-GB"/>
        </w:rPr>
        <w:t xml:space="preserve"> and </w:t>
      </w:r>
      <w:proofErr w:type="spellStart"/>
      <w:r w:rsidRPr="00F015AB">
        <w:rPr>
          <w:rFonts w:cstheme="minorHAnsi"/>
          <w:i/>
          <w:iCs/>
          <w:lang w:val="en-GB"/>
        </w:rPr>
        <w:t>Bdnf</w:t>
      </w:r>
      <w:proofErr w:type="spellEnd"/>
      <w:r w:rsidRPr="00F015AB">
        <w:rPr>
          <w:rFonts w:cstheme="minorHAnsi"/>
          <w:lang w:val="en-GB"/>
        </w:rPr>
        <w:t xml:space="preserve"> genes expression in the PFC (</w:t>
      </w:r>
      <w:r w:rsidRPr="007133B2">
        <w:rPr>
          <w:rFonts w:cstheme="minorHAnsi"/>
          <w:b/>
          <w:bCs/>
          <w:lang w:val="en-GB"/>
        </w:rPr>
        <w:t>a</w:t>
      </w:r>
      <w:r w:rsidRPr="00F015AB">
        <w:rPr>
          <w:rFonts w:cstheme="minorHAnsi"/>
          <w:lang w:val="en-GB"/>
        </w:rPr>
        <w:t>) and AMY (</w:t>
      </w:r>
      <w:r w:rsidRPr="007133B2">
        <w:rPr>
          <w:rFonts w:cstheme="minorHAnsi"/>
          <w:b/>
          <w:bCs/>
          <w:lang w:val="en-GB"/>
        </w:rPr>
        <w:t>b</w:t>
      </w:r>
      <w:r w:rsidRPr="00F015AB">
        <w:rPr>
          <w:rFonts w:cstheme="minorHAnsi"/>
          <w:lang w:val="en-GB"/>
        </w:rPr>
        <w:t xml:space="preserve">) of CTRL and MAT-HET rats. Cells </w:t>
      </w:r>
      <w:r w:rsidRPr="00F015AB">
        <w:rPr>
          <w:rFonts w:cstheme="minorHAnsi"/>
          <w:lang w:val="en-GB"/>
        </w:rPr>
        <w:lastRenderedPageBreak/>
        <w:t>filled in green to red gradient of the heat maps (upper part) represent Spearman’s r; cells filled in yellow to red gradient (lower part) represent p values (empty cells represent p values greater than 0.</w:t>
      </w:r>
      <w:r w:rsidR="00D804BF" w:rsidRPr="00F8709B">
        <w:rPr>
          <w:rFonts w:cstheme="minorHAnsi"/>
          <w:lang w:val="en-GB"/>
        </w:rPr>
        <w:t>0</w:t>
      </w:r>
      <w:r w:rsidRPr="00F015AB">
        <w:rPr>
          <w:rFonts w:cstheme="minorHAnsi"/>
          <w:lang w:val="en-GB"/>
        </w:rPr>
        <w:t>5).</w:t>
      </w:r>
    </w:p>
    <w:p w14:paraId="65F82971" w14:textId="77777777" w:rsidR="00FE7A07" w:rsidRPr="00F015AB" w:rsidRDefault="00FE7A07" w:rsidP="00FE7A07">
      <w:pPr>
        <w:spacing w:line="276" w:lineRule="auto"/>
        <w:jc w:val="both"/>
        <w:rPr>
          <w:rFonts w:cstheme="minorHAnsi"/>
          <w:lang w:val="en-GB"/>
        </w:rPr>
      </w:pPr>
    </w:p>
    <w:p w14:paraId="7C5AC018" w14:textId="77777777" w:rsidR="00FE7A07" w:rsidRPr="00F015AB" w:rsidRDefault="00FE7A07" w:rsidP="00FE7A07">
      <w:pPr>
        <w:spacing w:line="276" w:lineRule="auto"/>
        <w:jc w:val="both"/>
        <w:rPr>
          <w:rFonts w:cstheme="minorHAnsi"/>
          <w:lang w:val="en-GB"/>
        </w:rPr>
      </w:pPr>
    </w:p>
    <w:p w14:paraId="40885613" w14:textId="77777777" w:rsidR="00FE7A07" w:rsidRPr="00F015AB" w:rsidRDefault="00FE7A07" w:rsidP="00FE7A07">
      <w:pPr>
        <w:spacing w:line="276" w:lineRule="auto"/>
        <w:jc w:val="both"/>
        <w:rPr>
          <w:rFonts w:cstheme="minorHAnsi"/>
          <w:b/>
          <w:bCs/>
          <w:lang w:val="en-GB"/>
        </w:rPr>
      </w:pPr>
      <w:r w:rsidRPr="00F015AB">
        <w:rPr>
          <w:rFonts w:cstheme="minorHAnsi"/>
          <w:b/>
          <w:bCs/>
          <w:lang w:val="en-GB"/>
        </w:rPr>
        <w:t>Supplementary Tables:</w:t>
      </w:r>
    </w:p>
    <w:p w14:paraId="495AEC65" w14:textId="5A3A675F" w:rsidR="00FE7A07" w:rsidRPr="00F015AB" w:rsidRDefault="00FE7A07" w:rsidP="00FE7A07">
      <w:pPr>
        <w:spacing w:line="276" w:lineRule="auto"/>
        <w:jc w:val="both"/>
        <w:rPr>
          <w:rFonts w:cstheme="minorHAnsi"/>
          <w:lang w:val="en-GB"/>
        </w:rPr>
      </w:pPr>
      <w:r>
        <w:rPr>
          <w:rFonts w:cstheme="minorHAnsi"/>
          <w:b/>
          <w:bCs/>
          <w:lang w:val="en-GB"/>
        </w:rPr>
        <w:t>Supplementary</w:t>
      </w:r>
      <w:r w:rsidRPr="00F015AB">
        <w:rPr>
          <w:rFonts w:cstheme="minorHAnsi"/>
          <w:b/>
          <w:bCs/>
          <w:lang w:val="en-GB"/>
        </w:rPr>
        <w:t xml:space="preserve"> Table 1</w:t>
      </w:r>
      <w:r w:rsidRPr="00F015AB">
        <w:rPr>
          <w:rFonts w:cstheme="minorHAnsi"/>
          <w:lang w:val="en-GB"/>
        </w:rPr>
        <w:t xml:space="preserve"> - Socio-demographic and clinical features of the subjects under study.</w:t>
      </w:r>
    </w:p>
    <w:p w14:paraId="402BC232" w14:textId="77777777" w:rsidR="00FE7A07" w:rsidRPr="00F015AB" w:rsidRDefault="00FE7A07" w:rsidP="00FE7A07">
      <w:pPr>
        <w:spacing w:line="276" w:lineRule="auto"/>
        <w:jc w:val="both"/>
        <w:rPr>
          <w:rFonts w:cstheme="minorHAnsi"/>
          <w:lang w:val="en-GB"/>
        </w:rPr>
      </w:pPr>
    </w:p>
    <w:p w14:paraId="69C5DA65" w14:textId="4AECAAE8" w:rsidR="00FE7A07" w:rsidRPr="00F015AB" w:rsidRDefault="00FE7A07" w:rsidP="00FE7A07">
      <w:pPr>
        <w:spacing w:line="276" w:lineRule="auto"/>
        <w:jc w:val="both"/>
        <w:rPr>
          <w:rFonts w:cstheme="minorHAnsi"/>
          <w:lang w:val="en-GB"/>
        </w:rPr>
      </w:pPr>
      <w:r>
        <w:rPr>
          <w:rFonts w:cstheme="minorHAnsi"/>
          <w:b/>
          <w:bCs/>
          <w:lang w:val="en-GB"/>
        </w:rPr>
        <w:t>Supplementary</w:t>
      </w:r>
      <w:r w:rsidRPr="00F015AB">
        <w:rPr>
          <w:rFonts w:cstheme="minorHAnsi"/>
          <w:b/>
          <w:bCs/>
          <w:lang w:val="en-GB"/>
        </w:rPr>
        <w:t xml:space="preserve"> Table 2</w:t>
      </w:r>
      <w:r w:rsidRPr="00F015AB">
        <w:rPr>
          <w:rFonts w:cstheme="minorHAnsi"/>
          <w:lang w:val="en-GB"/>
        </w:rPr>
        <w:t xml:space="preserve"> - Primer sequences used for gene expression analysis with </w:t>
      </w:r>
      <w:proofErr w:type="spellStart"/>
      <w:r w:rsidRPr="00F015AB">
        <w:rPr>
          <w:rFonts w:cstheme="minorHAnsi"/>
          <w:lang w:val="en-GB"/>
        </w:rPr>
        <w:t>qRT</w:t>
      </w:r>
      <w:proofErr w:type="spellEnd"/>
      <w:r w:rsidRPr="00F015AB">
        <w:rPr>
          <w:rFonts w:cstheme="minorHAnsi"/>
          <w:lang w:val="en-GB"/>
        </w:rPr>
        <w:t>-PCR in PBMCs from OCD subjects and healthy individuals (top), and in brain regions from DAT-HET and control rats (bottom).</w:t>
      </w:r>
    </w:p>
    <w:p w14:paraId="6658338C" w14:textId="77777777" w:rsidR="00FE7A07" w:rsidRPr="00F015AB" w:rsidRDefault="00FE7A07" w:rsidP="00FE7A07">
      <w:pPr>
        <w:spacing w:line="276" w:lineRule="auto"/>
        <w:jc w:val="both"/>
        <w:rPr>
          <w:rFonts w:cstheme="minorHAnsi"/>
          <w:lang w:val="en-GB"/>
        </w:rPr>
      </w:pPr>
    </w:p>
    <w:p w14:paraId="60BE8069" w14:textId="704AB540" w:rsidR="00FE7A07" w:rsidRPr="00F015AB" w:rsidRDefault="00FE7A07" w:rsidP="00FE7A07">
      <w:pPr>
        <w:spacing w:line="276" w:lineRule="auto"/>
        <w:jc w:val="both"/>
        <w:rPr>
          <w:rFonts w:cstheme="minorHAnsi"/>
          <w:lang w:val="en-US"/>
        </w:rPr>
      </w:pPr>
      <w:r>
        <w:rPr>
          <w:rFonts w:cstheme="minorHAnsi"/>
          <w:b/>
          <w:bCs/>
          <w:lang w:val="en-GB"/>
        </w:rPr>
        <w:t>Supplementary</w:t>
      </w:r>
      <w:r w:rsidRPr="00F015AB">
        <w:rPr>
          <w:rFonts w:cstheme="minorHAnsi"/>
          <w:b/>
          <w:bCs/>
          <w:lang w:val="en-GB"/>
        </w:rPr>
        <w:t xml:space="preserve"> Table 3</w:t>
      </w:r>
      <w:r w:rsidRPr="00F015AB">
        <w:rPr>
          <w:rFonts w:cstheme="minorHAnsi"/>
          <w:lang w:val="en-GB"/>
        </w:rPr>
        <w:t xml:space="preserve"> - </w:t>
      </w:r>
      <w:r w:rsidRPr="00F015AB">
        <w:rPr>
          <w:rFonts w:cstheme="minorHAnsi"/>
          <w:lang w:val="en-US"/>
        </w:rPr>
        <w:t>Details of sequences and primers employed for DNA methylation analysis in human (top) and rat (bottom) samples. Highlighted in bold the individual CpG sites considered for the analysis.</w:t>
      </w:r>
    </w:p>
    <w:p w14:paraId="07513455" w14:textId="77777777" w:rsidR="00FE7A07" w:rsidRPr="00F015AB" w:rsidRDefault="00FE7A07" w:rsidP="00FE7A07">
      <w:pPr>
        <w:spacing w:line="276" w:lineRule="auto"/>
        <w:jc w:val="both"/>
        <w:rPr>
          <w:rFonts w:cstheme="minorHAnsi"/>
          <w:lang w:val="en-US"/>
        </w:rPr>
      </w:pPr>
    </w:p>
    <w:p w14:paraId="515161D7" w14:textId="27B046CA" w:rsidR="00FE7A07" w:rsidRPr="00F015AB" w:rsidRDefault="00FE7A07" w:rsidP="00FE7A07">
      <w:pPr>
        <w:spacing w:line="276" w:lineRule="auto"/>
        <w:jc w:val="both"/>
        <w:rPr>
          <w:rFonts w:cstheme="minorHAnsi"/>
          <w:lang w:val="en-GB"/>
        </w:rPr>
      </w:pPr>
      <w:r>
        <w:rPr>
          <w:rFonts w:cstheme="minorHAnsi"/>
          <w:b/>
          <w:bCs/>
          <w:lang w:val="en-US"/>
        </w:rPr>
        <w:t>Supplementary</w:t>
      </w:r>
      <w:r w:rsidRPr="00F015AB">
        <w:rPr>
          <w:rFonts w:cstheme="minorHAnsi"/>
          <w:b/>
          <w:bCs/>
          <w:lang w:val="en-US"/>
        </w:rPr>
        <w:t xml:space="preserve"> Table 4</w:t>
      </w:r>
      <w:r w:rsidRPr="00F015AB">
        <w:rPr>
          <w:rFonts w:cstheme="minorHAnsi"/>
          <w:lang w:val="en-US"/>
        </w:rPr>
        <w:t xml:space="preserve"> - </w:t>
      </w:r>
      <w:r w:rsidRPr="00F015AB">
        <w:rPr>
          <w:rFonts w:cstheme="minorHAnsi"/>
          <w:lang w:val="en-GB"/>
        </w:rPr>
        <w:t xml:space="preserve">Genomic coordinates of the CpG sites analysed in Human </w:t>
      </w:r>
      <w:r w:rsidRPr="00F015AB">
        <w:rPr>
          <w:rFonts w:cstheme="minorHAnsi"/>
          <w:i/>
          <w:iCs/>
          <w:lang w:val="en-GB"/>
        </w:rPr>
        <w:t>DAGL</w:t>
      </w:r>
      <w:r w:rsidRPr="00F015AB">
        <w:rPr>
          <w:rFonts w:cstheme="minorHAnsi"/>
          <w:i/>
          <w:iCs/>
        </w:rPr>
        <w:t>α</w:t>
      </w:r>
      <w:r w:rsidRPr="00F015AB">
        <w:rPr>
          <w:rFonts w:cstheme="minorHAnsi"/>
          <w:lang w:val="en-GB"/>
        </w:rPr>
        <w:t xml:space="preserve">, </w:t>
      </w:r>
      <w:r w:rsidRPr="00F015AB">
        <w:rPr>
          <w:rFonts w:cstheme="minorHAnsi"/>
          <w:i/>
          <w:iCs/>
          <w:lang w:val="en-GB"/>
        </w:rPr>
        <w:t>NAPE-PLD</w:t>
      </w:r>
      <w:r w:rsidRPr="00F015AB">
        <w:rPr>
          <w:rFonts w:cstheme="minorHAnsi"/>
          <w:lang w:val="en-GB"/>
        </w:rPr>
        <w:t xml:space="preserve"> and </w:t>
      </w:r>
      <w:r w:rsidRPr="00F015AB">
        <w:rPr>
          <w:rFonts w:cstheme="minorHAnsi"/>
          <w:i/>
          <w:iCs/>
          <w:lang w:val="en-GB"/>
        </w:rPr>
        <w:t xml:space="preserve">CNR2 </w:t>
      </w:r>
      <w:r w:rsidRPr="00F015AB">
        <w:rPr>
          <w:rFonts w:cstheme="minorHAnsi"/>
          <w:lang w:val="en-GB"/>
        </w:rPr>
        <w:t>gene promoter regions.</w:t>
      </w:r>
    </w:p>
    <w:p w14:paraId="3A236174" w14:textId="77777777" w:rsidR="00FE7A07" w:rsidRPr="00F015AB" w:rsidRDefault="00FE7A07" w:rsidP="00FE7A07">
      <w:pPr>
        <w:spacing w:line="276" w:lineRule="auto"/>
        <w:jc w:val="both"/>
        <w:rPr>
          <w:rFonts w:cstheme="minorHAnsi"/>
          <w:lang w:val="en-GB"/>
        </w:rPr>
      </w:pPr>
    </w:p>
    <w:p w14:paraId="7A5E6BA4" w14:textId="64A5B573" w:rsidR="00FE7A07" w:rsidRPr="00F015AB" w:rsidRDefault="00FE7A07" w:rsidP="00FE7A07">
      <w:pPr>
        <w:spacing w:line="276" w:lineRule="auto"/>
        <w:jc w:val="both"/>
        <w:rPr>
          <w:rFonts w:cstheme="minorHAnsi"/>
          <w:lang w:val="en-GB"/>
        </w:rPr>
      </w:pPr>
      <w:r>
        <w:rPr>
          <w:rFonts w:cstheme="minorHAnsi"/>
          <w:b/>
          <w:bCs/>
          <w:lang w:val="en-GB"/>
        </w:rPr>
        <w:t>Supplementary</w:t>
      </w:r>
      <w:r w:rsidRPr="00F015AB">
        <w:rPr>
          <w:rFonts w:cstheme="minorHAnsi"/>
          <w:b/>
          <w:bCs/>
          <w:lang w:val="en-GB"/>
        </w:rPr>
        <w:t xml:space="preserve"> Table 5</w:t>
      </w:r>
      <w:r w:rsidRPr="00F015AB">
        <w:rPr>
          <w:rFonts w:cstheme="minorHAnsi"/>
          <w:lang w:val="en-GB"/>
        </w:rPr>
        <w:t xml:space="preserve"> - Genomic coordinates of the CpG sites analy</w:t>
      </w:r>
      <w:r>
        <w:rPr>
          <w:rFonts w:cstheme="minorHAnsi"/>
          <w:lang w:val="en-GB"/>
        </w:rPr>
        <w:t>s</w:t>
      </w:r>
      <w:r w:rsidRPr="00F015AB">
        <w:rPr>
          <w:rFonts w:cstheme="minorHAnsi"/>
          <w:lang w:val="en-GB"/>
        </w:rPr>
        <w:t xml:space="preserve">ed in Rat </w:t>
      </w:r>
      <w:proofErr w:type="spellStart"/>
      <w:r w:rsidRPr="00F015AB">
        <w:rPr>
          <w:rFonts w:cstheme="minorHAnsi"/>
          <w:i/>
          <w:iCs/>
          <w:lang w:val="en-GB"/>
        </w:rPr>
        <w:t>Dagl</w:t>
      </w:r>
      <w:proofErr w:type="spellEnd"/>
      <w:r w:rsidRPr="00F015AB">
        <w:rPr>
          <w:rFonts w:cstheme="minorHAnsi"/>
          <w:i/>
          <w:iCs/>
        </w:rPr>
        <w:t>α</w:t>
      </w:r>
      <w:r w:rsidRPr="00F015AB">
        <w:rPr>
          <w:rFonts w:cstheme="minorHAnsi"/>
          <w:lang w:val="en-GB"/>
        </w:rPr>
        <w:t xml:space="preserve">, </w:t>
      </w:r>
      <w:r w:rsidRPr="00F015AB">
        <w:rPr>
          <w:rFonts w:cstheme="minorHAnsi"/>
          <w:i/>
          <w:iCs/>
          <w:lang w:val="en-GB"/>
        </w:rPr>
        <w:t>Nape-</w:t>
      </w:r>
      <w:proofErr w:type="spellStart"/>
      <w:r w:rsidRPr="00F015AB">
        <w:rPr>
          <w:rFonts w:cstheme="minorHAnsi"/>
          <w:i/>
          <w:iCs/>
          <w:lang w:val="en-GB"/>
        </w:rPr>
        <w:t>pld</w:t>
      </w:r>
      <w:proofErr w:type="spellEnd"/>
      <w:r w:rsidRPr="00F015AB">
        <w:rPr>
          <w:rFonts w:cstheme="minorHAnsi"/>
          <w:lang w:val="en-GB"/>
        </w:rPr>
        <w:t xml:space="preserve"> and </w:t>
      </w:r>
      <w:r w:rsidRPr="00F015AB">
        <w:rPr>
          <w:rFonts w:cstheme="minorHAnsi"/>
          <w:i/>
          <w:iCs/>
          <w:lang w:val="en-GB"/>
        </w:rPr>
        <w:t>Cnr1</w:t>
      </w:r>
      <w:r w:rsidRPr="00F015AB">
        <w:rPr>
          <w:rFonts w:cstheme="minorHAnsi"/>
          <w:lang w:val="en-GB"/>
        </w:rPr>
        <w:t xml:space="preserve"> gene promoter regions.</w:t>
      </w:r>
    </w:p>
    <w:p w14:paraId="13545DE1" w14:textId="77777777" w:rsidR="00FE7A07" w:rsidRPr="00F015AB" w:rsidRDefault="00FE7A07" w:rsidP="00FE7A07">
      <w:pPr>
        <w:spacing w:line="276" w:lineRule="auto"/>
        <w:jc w:val="both"/>
        <w:rPr>
          <w:rFonts w:cstheme="minorHAnsi"/>
          <w:lang w:val="en-GB"/>
        </w:rPr>
      </w:pPr>
    </w:p>
    <w:p w14:paraId="26A23869" w14:textId="5789D36D" w:rsidR="00FE7A07" w:rsidRPr="007133B2" w:rsidRDefault="00FE7A07" w:rsidP="00FE7A07">
      <w:pPr>
        <w:spacing w:line="276" w:lineRule="auto"/>
        <w:jc w:val="both"/>
        <w:rPr>
          <w:rFonts w:cstheme="minorHAnsi"/>
          <w:lang w:val="en-GB"/>
        </w:rPr>
      </w:pPr>
      <w:r>
        <w:rPr>
          <w:rFonts w:cstheme="minorHAnsi"/>
          <w:b/>
          <w:bCs/>
          <w:lang w:val="en-GB"/>
        </w:rPr>
        <w:t>Supplementary</w:t>
      </w:r>
      <w:r w:rsidRPr="00F015AB">
        <w:rPr>
          <w:rFonts w:cstheme="minorHAnsi"/>
          <w:b/>
          <w:bCs/>
          <w:lang w:val="en-GB"/>
        </w:rPr>
        <w:t xml:space="preserve"> Table 6</w:t>
      </w:r>
      <w:r w:rsidRPr="00F015AB">
        <w:rPr>
          <w:rFonts w:cstheme="minorHAnsi"/>
          <w:lang w:val="en-GB"/>
        </w:rPr>
        <w:t xml:space="preserve"> - ECS components gene expression in human PBMCs from patients diagnosed with OCD and healthy subjects (CTRL). </w:t>
      </w:r>
      <w:r w:rsidRPr="007133B2">
        <w:rPr>
          <w:rFonts w:cstheme="minorHAnsi"/>
          <w:lang w:val="en-GB"/>
        </w:rPr>
        <w:t>*p &lt; 0.05, **p &lt; 0.01 Mann-Whitney test.</w:t>
      </w:r>
    </w:p>
    <w:p w14:paraId="385AEC69" w14:textId="77777777" w:rsidR="00FE7A07" w:rsidRPr="007133B2" w:rsidRDefault="00FE7A07" w:rsidP="00FE7A07">
      <w:pPr>
        <w:spacing w:line="276" w:lineRule="auto"/>
        <w:jc w:val="both"/>
        <w:rPr>
          <w:rFonts w:cstheme="minorHAnsi"/>
          <w:lang w:val="en-GB"/>
        </w:rPr>
      </w:pPr>
    </w:p>
    <w:p w14:paraId="132C50F0" w14:textId="34F9BDFA" w:rsidR="00FE7A07" w:rsidRPr="00F015AB" w:rsidRDefault="00FE7A07" w:rsidP="00FE7A07">
      <w:pPr>
        <w:spacing w:line="276" w:lineRule="auto"/>
        <w:jc w:val="both"/>
        <w:rPr>
          <w:rFonts w:cstheme="minorHAnsi"/>
          <w:lang w:val="en-GB"/>
        </w:rPr>
      </w:pPr>
      <w:r>
        <w:rPr>
          <w:rFonts w:cstheme="minorHAnsi"/>
          <w:b/>
          <w:bCs/>
          <w:lang w:val="en-GB"/>
        </w:rPr>
        <w:t>Supplementary</w:t>
      </w:r>
      <w:r w:rsidRPr="00F015AB">
        <w:rPr>
          <w:rFonts w:cstheme="minorHAnsi"/>
          <w:b/>
          <w:bCs/>
          <w:lang w:val="en-GB"/>
        </w:rPr>
        <w:t xml:space="preserve"> Table 7</w:t>
      </w:r>
      <w:r w:rsidRPr="00F015AB">
        <w:rPr>
          <w:rFonts w:cstheme="minorHAnsi"/>
          <w:lang w:val="en-GB"/>
        </w:rPr>
        <w:t xml:space="preserve"> - Groups’ mean of DNA methylation in human PBMCs from patients diagnosed with OCD and healthy subjects (CTRL) for the individual CpG sites analy</w:t>
      </w:r>
      <w:r>
        <w:rPr>
          <w:rFonts w:cstheme="minorHAnsi"/>
          <w:lang w:val="en-GB"/>
        </w:rPr>
        <w:t>s</w:t>
      </w:r>
      <w:r w:rsidRPr="00F015AB">
        <w:rPr>
          <w:rFonts w:cstheme="minorHAnsi"/>
          <w:lang w:val="en-GB"/>
        </w:rPr>
        <w:t xml:space="preserve">ed in </w:t>
      </w:r>
      <w:r w:rsidRPr="00F015AB">
        <w:rPr>
          <w:rFonts w:cstheme="minorHAnsi"/>
          <w:i/>
          <w:iCs/>
          <w:lang w:val="en-GB"/>
        </w:rPr>
        <w:t>NAPE-PLD</w:t>
      </w:r>
      <w:r w:rsidRPr="00F015AB">
        <w:rPr>
          <w:rFonts w:cstheme="minorHAnsi"/>
          <w:lang w:val="en-GB"/>
        </w:rPr>
        <w:t xml:space="preserve"> gene promoter region.</w:t>
      </w:r>
    </w:p>
    <w:p w14:paraId="2629C408" w14:textId="77777777" w:rsidR="00FE7A07" w:rsidRPr="00F015AB" w:rsidRDefault="00FE7A07" w:rsidP="00FE7A07">
      <w:pPr>
        <w:spacing w:line="276" w:lineRule="auto"/>
        <w:jc w:val="both"/>
        <w:rPr>
          <w:rFonts w:cstheme="minorHAnsi"/>
          <w:lang w:val="en-GB"/>
        </w:rPr>
      </w:pPr>
    </w:p>
    <w:p w14:paraId="2B522D44" w14:textId="7058D526" w:rsidR="00FE7A07" w:rsidRPr="00F015AB" w:rsidRDefault="00FE7A07" w:rsidP="00FE7A07">
      <w:pPr>
        <w:spacing w:line="276" w:lineRule="auto"/>
        <w:jc w:val="both"/>
        <w:rPr>
          <w:rFonts w:cstheme="minorHAnsi"/>
          <w:lang w:val="en-GB"/>
        </w:rPr>
      </w:pPr>
      <w:r>
        <w:rPr>
          <w:rFonts w:cstheme="minorHAnsi"/>
          <w:b/>
          <w:bCs/>
          <w:lang w:val="en-GB"/>
        </w:rPr>
        <w:t>Supplementary</w:t>
      </w:r>
      <w:r w:rsidRPr="00F015AB">
        <w:rPr>
          <w:rFonts w:cstheme="minorHAnsi"/>
          <w:b/>
          <w:bCs/>
          <w:lang w:val="en-GB"/>
        </w:rPr>
        <w:t xml:space="preserve"> Table 8</w:t>
      </w:r>
      <w:r w:rsidRPr="00F015AB">
        <w:rPr>
          <w:rFonts w:cstheme="minorHAnsi"/>
          <w:lang w:val="en-GB"/>
        </w:rPr>
        <w:t xml:space="preserve"> - Groups’ mean of DNA methylation in human PBMCs from patients diagnosed with OCD and healthy subjects (CTRL) for the individual CpG sites analy</w:t>
      </w:r>
      <w:r>
        <w:rPr>
          <w:rFonts w:cstheme="minorHAnsi"/>
          <w:lang w:val="en-GB"/>
        </w:rPr>
        <w:t>s</w:t>
      </w:r>
      <w:r w:rsidRPr="00F015AB">
        <w:rPr>
          <w:rFonts w:cstheme="minorHAnsi"/>
          <w:lang w:val="en-GB"/>
        </w:rPr>
        <w:t xml:space="preserve">ed in </w:t>
      </w:r>
      <w:r w:rsidRPr="00F015AB">
        <w:rPr>
          <w:rFonts w:cstheme="minorHAnsi"/>
          <w:i/>
          <w:iCs/>
          <w:lang w:val="en-GB"/>
        </w:rPr>
        <w:t>DAGL</w:t>
      </w:r>
      <w:r w:rsidRPr="00F015AB">
        <w:rPr>
          <w:rFonts w:cstheme="minorHAnsi"/>
          <w:i/>
          <w:iCs/>
        </w:rPr>
        <w:t>α</w:t>
      </w:r>
      <w:r w:rsidRPr="00F015AB">
        <w:rPr>
          <w:rFonts w:cstheme="minorHAnsi"/>
          <w:i/>
          <w:iCs/>
          <w:lang w:val="en-GB"/>
        </w:rPr>
        <w:t xml:space="preserve"> </w:t>
      </w:r>
      <w:r w:rsidRPr="00F015AB">
        <w:rPr>
          <w:rFonts w:cstheme="minorHAnsi"/>
          <w:lang w:val="en-GB"/>
        </w:rPr>
        <w:t>gene promoter region.</w:t>
      </w:r>
    </w:p>
    <w:p w14:paraId="0A9F52B0" w14:textId="77777777" w:rsidR="00FE7A07" w:rsidRPr="00F015AB" w:rsidRDefault="00FE7A07" w:rsidP="00FE7A07">
      <w:pPr>
        <w:spacing w:line="276" w:lineRule="auto"/>
        <w:jc w:val="both"/>
        <w:rPr>
          <w:rFonts w:cstheme="minorHAnsi"/>
          <w:lang w:val="en-GB"/>
        </w:rPr>
      </w:pPr>
    </w:p>
    <w:p w14:paraId="1D33DA45" w14:textId="6CBA0BAE" w:rsidR="00FE7A07" w:rsidRPr="00F015AB" w:rsidRDefault="00FE7A07" w:rsidP="00FE7A07">
      <w:pPr>
        <w:spacing w:line="276" w:lineRule="auto"/>
        <w:jc w:val="both"/>
        <w:rPr>
          <w:rFonts w:cstheme="minorHAnsi"/>
          <w:lang w:val="en-GB"/>
        </w:rPr>
      </w:pPr>
      <w:r>
        <w:rPr>
          <w:rFonts w:cstheme="minorHAnsi"/>
          <w:b/>
          <w:bCs/>
          <w:lang w:val="en-GB"/>
        </w:rPr>
        <w:t>Supplementary</w:t>
      </w:r>
      <w:r w:rsidRPr="00F015AB">
        <w:rPr>
          <w:rFonts w:cstheme="minorHAnsi"/>
          <w:b/>
          <w:bCs/>
          <w:lang w:val="en-GB"/>
        </w:rPr>
        <w:t xml:space="preserve"> Table 9</w:t>
      </w:r>
      <w:r w:rsidRPr="00F015AB">
        <w:rPr>
          <w:rFonts w:cstheme="minorHAnsi"/>
          <w:lang w:val="en-GB"/>
        </w:rPr>
        <w:t xml:space="preserve"> - Groups’ mean of DNA methylation in human PBMCs from patients diagnosed with OCD and healthy subjects (CTRL) for the individual CpG sites analy</w:t>
      </w:r>
      <w:r>
        <w:rPr>
          <w:rFonts w:cstheme="minorHAnsi"/>
          <w:lang w:val="en-GB"/>
        </w:rPr>
        <w:t>s</w:t>
      </w:r>
      <w:r w:rsidRPr="00F015AB">
        <w:rPr>
          <w:rFonts w:cstheme="minorHAnsi"/>
          <w:lang w:val="en-GB"/>
        </w:rPr>
        <w:t xml:space="preserve">ed in </w:t>
      </w:r>
      <w:r w:rsidRPr="00F015AB">
        <w:rPr>
          <w:rFonts w:cstheme="minorHAnsi"/>
          <w:i/>
          <w:iCs/>
          <w:lang w:val="en-GB"/>
        </w:rPr>
        <w:t xml:space="preserve">CNR2 </w:t>
      </w:r>
      <w:r w:rsidRPr="00F015AB">
        <w:rPr>
          <w:rFonts w:cstheme="minorHAnsi"/>
          <w:lang w:val="en-GB"/>
        </w:rPr>
        <w:t>gene promoter region.</w:t>
      </w:r>
    </w:p>
    <w:p w14:paraId="6949429C" w14:textId="77777777" w:rsidR="00FE7A07" w:rsidRPr="00F015AB" w:rsidRDefault="00FE7A07" w:rsidP="00FE7A07">
      <w:pPr>
        <w:spacing w:line="276" w:lineRule="auto"/>
        <w:jc w:val="both"/>
        <w:rPr>
          <w:rFonts w:cstheme="minorHAnsi"/>
          <w:lang w:val="en-GB"/>
        </w:rPr>
      </w:pPr>
    </w:p>
    <w:p w14:paraId="3A8D47B1" w14:textId="2E728AF3" w:rsidR="00FE7A07" w:rsidRPr="007133B2" w:rsidRDefault="00FE7A07" w:rsidP="00FE7A07">
      <w:pPr>
        <w:spacing w:line="276" w:lineRule="auto"/>
        <w:jc w:val="both"/>
        <w:rPr>
          <w:rFonts w:cstheme="minorHAnsi"/>
          <w:lang w:val="en-GB"/>
        </w:rPr>
      </w:pPr>
      <w:r>
        <w:rPr>
          <w:rFonts w:cstheme="minorHAnsi"/>
          <w:b/>
          <w:bCs/>
          <w:lang w:val="en-GB"/>
        </w:rPr>
        <w:t>Supplementary</w:t>
      </w:r>
      <w:r w:rsidRPr="00F015AB">
        <w:rPr>
          <w:rFonts w:cstheme="minorHAnsi"/>
          <w:b/>
          <w:bCs/>
          <w:lang w:val="en-GB"/>
        </w:rPr>
        <w:t xml:space="preserve"> Table 10 </w:t>
      </w:r>
      <w:r w:rsidRPr="00F015AB">
        <w:rPr>
          <w:rFonts w:cstheme="minorHAnsi"/>
          <w:lang w:val="en-GB"/>
        </w:rPr>
        <w:t xml:space="preserve">- ECS components gene expression in the prefrontal cortex and amygdala of MAT-HET and control (CTRL) rats. </w:t>
      </w:r>
      <w:r w:rsidRPr="007133B2">
        <w:rPr>
          <w:rFonts w:cstheme="minorHAnsi"/>
          <w:lang w:val="en-GB"/>
        </w:rPr>
        <w:t>*p &lt; 0.05, **p &lt; 0.01 Mann-Whitney test.</w:t>
      </w:r>
    </w:p>
    <w:p w14:paraId="59043627" w14:textId="77777777" w:rsidR="00FE7A07" w:rsidRPr="007133B2" w:rsidRDefault="00FE7A07" w:rsidP="00FE7A07">
      <w:pPr>
        <w:spacing w:line="276" w:lineRule="auto"/>
        <w:jc w:val="both"/>
        <w:rPr>
          <w:rFonts w:cstheme="minorHAnsi"/>
          <w:lang w:val="en-GB"/>
        </w:rPr>
      </w:pPr>
    </w:p>
    <w:p w14:paraId="119E62BE" w14:textId="467E257F" w:rsidR="00FE7A07" w:rsidRPr="00F015AB" w:rsidRDefault="00FE7A07" w:rsidP="00FE7A07">
      <w:pPr>
        <w:spacing w:line="276" w:lineRule="auto"/>
        <w:jc w:val="both"/>
        <w:rPr>
          <w:rFonts w:cstheme="minorHAnsi"/>
          <w:lang w:val="en-GB"/>
        </w:rPr>
      </w:pPr>
      <w:r>
        <w:rPr>
          <w:rFonts w:cstheme="minorHAnsi"/>
          <w:b/>
          <w:bCs/>
          <w:lang w:val="en-GB"/>
        </w:rPr>
        <w:lastRenderedPageBreak/>
        <w:t>Supplementary</w:t>
      </w:r>
      <w:r w:rsidRPr="00F015AB">
        <w:rPr>
          <w:rFonts w:cstheme="minorHAnsi"/>
          <w:b/>
          <w:bCs/>
          <w:lang w:val="en-GB"/>
        </w:rPr>
        <w:t xml:space="preserve"> Table 11</w:t>
      </w:r>
      <w:r w:rsidRPr="00F015AB">
        <w:rPr>
          <w:rFonts w:cstheme="minorHAnsi"/>
          <w:lang w:val="en-GB"/>
        </w:rPr>
        <w:t xml:space="preserve"> - Spearman’s r and p value of correlation between gene expression and endocannabinoid levels of CTRL and MAT-HET rats.</w:t>
      </w:r>
    </w:p>
    <w:p w14:paraId="043ECE12" w14:textId="77777777" w:rsidR="00FE7A07" w:rsidRPr="00F015AB" w:rsidRDefault="00FE7A07" w:rsidP="00FE7A07">
      <w:pPr>
        <w:spacing w:line="276" w:lineRule="auto"/>
        <w:jc w:val="both"/>
        <w:rPr>
          <w:rFonts w:cstheme="minorHAnsi"/>
          <w:lang w:val="en-GB"/>
        </w:rPr>
      </w:pPr>
    </w:p>
    <w:p w14:paraId="7874411B" w14:textId="48663D06" w:rsidR="00FE7A07" w:rsidRPr="00F015AB" w:rsidRDefault="00FE7A07" w:rsidP="00FE7A07">
      <w:pPr>
        <w:spacing w:line="276" w:lineRule="auto"/>
        <w:jc w:val="both"/>
        <w:rPr>
          <w:rFonts w:cstheme="minorHAnsi"/>
          <w:lang w:val="en-GB"/>
        </w:rPr>
      </w:pPr>
      <w:r>
        <w:rPr>
          <w:rFonts w:cstheme="minorHAnsi"/>
          <w:b/>
          <w:bCs/>
          <w:lang w:val="en-GB"/>
        </w:rPr>
        <w:t>Supplementary</w:t>
      </w:r>
      <w:r w:rsidRPr="00F015AB">
        <w:rPr>
          <w:rFonts w:cstheme="minorHAnsi"/>
          <w:b/>
          <w:bCs/>
          <w:lang w:val="en-GB"/>
        </w:rPr>
        <w:t xml:space="preserve"> Table 12</w:t>
      </w:r>
      <w:r w:rsidRPr="00F015AB">
        <w:rPr>
          <w:rFonts w:cstheme="minorHAnsi"/>
          <w:lang w:val="en-GB"/>
        </w:rPr>
        <w:t xml:space="preserve"> - Relative gene expression of </w:t>
      </w:r>
      <w:proofErr w:type="spellStart"/>
      <w:r w:rsidRPr="00F015AB">
        <w:rPr>
          <w:rFonts w:cstheme="minorHAnsi"/>
          <w:i/>
          <w:iCs/>
          <w:lang w:val="en-GB"/>
        </w:rPr>
        <w:t>Oxtr</w:t>
      </w:r>
      <w:proofErr w:type="spellEnd"/>
      <w:r w:rsidRPr="00F015AB">
        <w:rPr>
          <w:rFonts w:cstheme="minorHAnsi"/>
          <w:i/>
          <w:iCs/>
          <w:lang w:val="en-GB"/>
        </w:rPr>
        <w:t xml:space="preserve"> </w:t>
      </w:r>
      <w:r w:rsidRPr="00F015AB">
        <w:rPr>
          <w:rFonts w:cstheme="minorHAnsi"/>
          <w:lang w:val="en-GB"/>
        </w:rPr>
        <w:t xml:space="preserve">and </w:t>
      </w:r>
      <w:proofErr w:type="spellStart"/>
      <w:r w:rsidRPr="00F015AB">
        <w:rPr>
          <w:rFonts w:cstheme="minorHAnsi"/>
          <w:i/>
          <w:iCs/>
          <w:lang w:val="en-GB"/>
        </w:rPr>
        <w:t>Bdnf</w:t>
      </w:r>
      <w:proofErr w:type="spellEnd"/>
      <w:r w:rsidRPr="00F015AB">
        <w:rPr>
          <w:rFonts w:cstheme="minorHAnsi"/>
          <w:lang w:val="en-GB"/>
        </w:rPr>
        <w:t xml:space="preserve"> in the prefrontal cortex and amygdala of CTRL and MAT-HET rats. Mann-Whitney test.</w:t>
      </w:r>
    </w:p>
    <w:p w14:paraId="29AC2FEE" w14:textId="77777777" w:rsidR="00B954A2" w:rsidRPr="00FE7A07" w:rsidRDefault="00B954A2">
      <w:pPr>
        <w:rPr>
          <w:lang w:val="en-GB"/>
        </w:rPr>
      </w:pPr>
    </w:p>
    <w:sectPr w:rsidR="00B954A2" w:rsidRPr="00FE7A0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A07"/>
    <w:rsid w:val="009D42AD"/>
    <w:rsid w:val="00B954A2"/>
    <w:rsid w:val="00D804BF"/>
    <w:rsid w:val="00F8709B"/>
    <w:rsid w:val="00FE7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51A365"/>
  <w15:chartTrackingRefBased/>
  <w15:docId w15:val="{296460BD-D4CD-450A-92F1-DDE25DF1D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7A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3</Pages>
  <Words>830</Words>
  <Characters>4732</Characters>
  <Application>Microsoft Office Word</Application>
  <DocSecurity>0</DocSecurity>
  <Lines>39</Lines>
  <Paragraphs>11</Paragraphs>
  <ScaleCrop>false</ScaleCrop>
  <Company/>
  <LinksUpToDate>false</LinksUpToDate>
  <CharactersWithSpaces>5551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Fabio Bellia</dc:creator>
  <cp:keywords/>
  <dc:description/>
  <cp:lastModifiedBy>antonio girella</cp:lastModifiedBy>
  <cp:revision>4</cp:revision>
  <dcterms:created xsi:type="dcterms:W3CDTF">2023-07-27T13:42:00Z</dcterms:created>
  <dcterms:modified xsi:type="dcterms:W3CDTF">2024-02-21T11:48:00Z</dcterms:modified>
</cp:coreProperties>
</file>