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0431" w:rsidRDefault="003313DA">
      <w:pPr>
        <w:spacing w:line="360" w:lineRule="auto"/>
        <w:jc w:val="both"/>
        <w:rPr>
          <w:rFonts w:ascii="Times New Roman" w:hAnsi="Times New Roman" w:cs="Times New Roman"/>
          <w:b/>
          <w:bCs/>
          <w:sz w:val="22"/>
          <w:szCs w:val="22"/>
          <w:lang w:val="en-US"/>
        </w:rPr>
      </w:pPr>
      <w:bookmarkStart w:id="0" w:name="_GoBack"/>
      <w:bookmarkEnd w:id="0"/>
      <w:r>
        <w:rPr>
          <w:rFonts w:ascii="Times New Roman" w:hAnsi="Times New Roman" w:cs="Times New Roman"/>
          <w:b/>
          <w:bCs/>
          <w:sz w:val="22"/>
          <w:szCs w:val="22"/>
          <w:lang w:val="en-US"/>
        </w:rPr>
        <w:t>T</w:t>
      </w:r>
      <w:r>
        <w:rPr>
          <w:rFonts w:ascii="Times New Roman" w:eastAsia="SimSun" w:hAnsi="Times New Roman" w:cs="Times New Roman"/>
          <w:b/>
          <w:bCs/>
          <w:sz w:val="22"/>
          <w:szCs w:val="22"/>
          <w:lang w:val="en-US" w:eastAsia="zh-CN"/>
        </w:rPr>
        <w:t>i</w:t>
      </w:r>
      <w:r>
        <w:rPr>
          <w:rFonts w:ascii="Times New Roman" w:hAnsi="Times New Roman" w:cs="Times New Roman"/>
          <w:b/>
          <w:bCs/>
          <w:sz w:val="22"/>
          <w:szCs w:val="22"/>
          <w:lang w:val="en-US"/>
        </w:rPr>
        <w:t>tle</w:t>
      </w:r>
    </w:p>
    <w:p w:rsidR="00AF0431" w:rsidRDefault="003313DA">
      <w:pPr>
        <w:spacing w:line="360" w:lineRule="auto"/>
        <w:jc w:val="both"/>
        <w:rPr>
          <w:rFonts w:ascii="Times New Roman" w:hAnsi="Times New Roman" w:cs="Times New Roman"/>
          <w:sz w:val="22"/>
          <w:szCs w:val="22"/>
          <w:lang w:val="en-US"/>
        </w:rPr>
      </w:pPr>
      <w:r>
        <w:rPr>
          <w:rFonts w:ascii="Times New Roman" w:hAnsi="Times New Roman" w:cs="Times New Roman"/>
          <w:sz w:val="22"/>
          <w:szCs w:val="22"/>
          <w:lang w:val="en-US"/>
        </w:rPr>
        <w:t>The Impact of External Drainage of the Main Pancreatic Duct and Common Bile Duct on Postoperative Pancreatic Fistula Following Pancreaticoduodenectomy: Protocol for A Multi-center Prospective Randomized Controlled Trial</w:t>
      </w:r>
    </w:p>
    <w:p w:rsidR="00AF0431" w:rsidRDefault="00AF0431">
      <w:pPr>
        <w:spacing w:line="360" w:lineRule="auto"/>
        <w:jc w:val="both"/>
        <w:rPr>
          <w:rFonts w:ascii="Times New Roman" w:hAnsi="Times New Roman" w:cs="Times New Roman"/>
          <w:sz w:val="22"/>
          <w:szCs w:val="22"/>
          <w:lang w:val="en-US"/>
        </w:rPr>
      </w:pPr>
    </w:p>
    <w:p w:rsidR="00AF0431" w:rsidRDefault="003313DA">
      <w:pPr>
        <w:spacing w:line="360" w:lineRule="auto"/>
        <w:jc w:val="both"/>
        <w:rPr>
          <w:rFonts w:ascii="Times New Roman" w:hAnsi="Times New Roman" w:cs="Times New Roman"/>
          <w:color w:val="000000" w:themeColor="text1"/>
          <w:sz w:val="22"/>
          <w:szCs w:val="22"/>
          <w:lang w:val="en-US"/>
        </w:rPr>
      </w:pPr>
      <w:r>
        <w:rPr>
          <w:rFonts w:ascii="Times New Roman" w:hAnsi="Times New Roman" w:cs="Times New Roman"/>
          <w:b/>
          <w:bCs/>
          <w:sz w:val="22"/>
          <w:szCs w:val="22"/>
          <w:lang w:val="en-US"/>
        </w:rPr>
        <w:t>Authors</w:t>
      </w:r>
    </w:p>
    <w:p w:rsidR="00AF0431" w:rsidRDefault="003313DA">
      <w:pPr>
        <w:spacing w:line="360" w:lineRule="auto"/>
        <w:jc w:val="both"/>
        <w:rPr>
          <w:rFonts w:ascii="Times New Roman" w:hAnsi="Times New Roman" w:cs="Times New Roman"/>
          <w:color w:val="000000"/>
          <w:sz w:val="22"/>
          <w:szCs w:val="22"/>
          <w:lang w:val="en-US"/>
        </w:rPr>
      </w:pPr>
      <w:r>
        <w:rPr>
          <w:rFonts w:ascii="Times New Roman" w:hAnsi="Times New Roman" w:cs="Times New Roman"/>
          <w:color w:val="000000"/>
          <w:sz w:val="22"/>
          <w:szCs w:val="22"/>
          <w:lang w:val="en-US"/>
        </w:rPr>
        <w:t>Wen-Quan Wang</w:t>
      </w:r>
      <w:r>
        <w:rPr>
          <w:rFonts w:ascii="Times New Roman" w:hAnsi="Times New Roman" w:cs="Times New Roman"/>
          <w:color w:val="000000"/>
          <w:sz w:val="22"/>
          <w:szCs w:val="22"/>
          <w:vertAlign w:val="superscript"/>
          <w:lang w:val="en-US"/>
        </w:rPr>
        <w:t xml:space="preserve">1, 2, </w:t>
      </w:r>
      <w:r>
        <w:rPr>
          <w:rFonts w:ascii="Times New Roman" w:hAnsi="Times New Roman" w:cs="Times New Roman"/>
          <w:color w:val="000000"/>
          <w:sz w:val="22"/>
          <w:szCs w:val="22"/>
          <w:vertAlign w:val="superscript"/>
          <w:lang w:val="en-US"/>
        </w:rPr>
        <w:t>3†</w:t>
      </w:r>
      <w:r>
        <w:rPr>
          <w:rFonts w:ascii="Times New Roman" w:hAnsi="Times New Roman" w:cs="Times New Roman"/>
          <w:color w:val="000000"/>
          <w:sz w:val="22"/>
          <w:szCs w:val="22"/>
          <w:lang w:val="en-US"/>
        </w:rPr>
        <w:t>, Yao-Lin Xu</w:t>
      </w:r>
      <w:r>
        <w:rPr>
          <w:rFonts w:ascii="Times New Roman" w:hAnsi="Times New Roman" w:cs="Times New Roman"/>
          <w:color w:val="000000"/>
          <w:sz w:val="22"/>
          <w:szCs w:val="22"/>
          <w:vertAlign w:val="superscript"/>
          <w:lang w:val="en-US"/>
        </w:rPr>
        <w:t>1, 2, 3†</w:t>
      </w:r>
      <w:r>
        <w:rPr>
          <w:rFonts w:ascii="Times New Roman" w:hAnsi="Times New Roman" w:cs="Times New Roman"/>
          <w:color w:val="000000"/>
          <w:sz w:val="22"/>
          <w:szCs w:val="22"/>
          <w:lang w:val="en-US"/>
        </w:rPr>
        <w:t>, Lin-Hui Tang</w:t>
      </w:r>
      <w:r>
        <w:rPr>
          <w:rFonts w:ascii="Times New Roman" w:hAnsi="Times New Roman" w:cs="Times New Roman"/>
          <w:color w:val="000000"/>
          <w:sz w:val="22"/>
          <w:szCs w:val="22"/>
          <w:vertAlign w:val="superscript"/>
          <w:lang w:val="en-US"/>
        </w:rPr>
        <w:t>1, 2, 3†</w:t>
      </w:r>
      <w:r>
        <w:rPr>
          <w:rFonts w:ascii="Times New Roman" w:hAnsi="Times New Roman" w:cs="Times New Roman"/>
          <w:color w:val="000000"/>
          <w:sz w:val="22"/>
          <w:szCs w:val="22"/>
          <w:lang w:val="en-US"/>
        </w:rPr>
        <w:t>, Jun-Yi He</w:t>
      </w:r>
      <w:r>
        <w:rPr>
          <w:rFonts w:ascii="Times New Roman" w:hAnsi="Times New Roman" w:cs="Times New Roman"/>
          <w:color w:val="000000"/>
          <w:sz w:val="22"/>
          <w:szCs w:val="22"/>
          <w:vertAlign w:val="superscript"/>
          <w:lang w:val="en-US"/>
        </w:rPr>
        <w:t>1, 2, 3</w:t>
      </w:r>
      <w:r>
        <w:rPr>
          <w:rFonts w:ascii="Times New Roman" w:hAnsi="Times New Roman" w:cs="Times New Roman"/>
          <w:color w:val="000000"/>
          <w:sz w:val="22"/>
          <w:szCs w:val="22"/>
          <w:lang w:val="en-US"/>
        </w:rPr>
        <w:t>, Yu Li</w:t>
      </w:r>
      <w:r>
        <w:rPr>
          <w:rFonts w:ascii="Times New Roman" w:hAnsi="Times New Roman" w:cs="Times New Roman"/>
          <w:color w:val="000000"/>
          <w:sz w:val="22"/>
          <w:szCs w:val="22"/>
          <w:vertAlign w:val="superscript"/>
          <w:lang w:val="en-US"/>
        </w:rPr>
        <w:t>1, 2, 3</w:t>
      </w:r>
      <w:r>
        <w:rPr>
          <w:rFonts w:ascii="Times New Roman" w:hAnsi="Times New Roman" w:cs="Times New Roman"/>
          <w:color w:val="000000"/>
          <w:sz w:val="22"/>
          <w:szCs w:val="22"/>
          <w:lang w:val="en-US"/>
        </w:rPr>
        <w:t>, Fei Liang</w:t>
      </w:r>
      <w:r>
        <w:rPr>
          <w:rFonts w:ascii="Times New Roman" w:hAnsi="Times New Roman" w:cs="Times New Roman"/>
          <w:color w:val="000000"/>
          <w:sz w:val="22"/>
          <w:szCs w:val="22"/>
          <w:vertAlign w:val="superscript"/>
          <w:lang w:val="en-US"/>
        </w:rPr>
        <w:t>4</w:t>
      </w:r>
      <w:r>
        <w:rPr>
          <w:rFonts w:ascii="Times New Roman" w:hAnsi="Times New Roman" w:cs="Times New Roman"/>
          <w:color w:val="000000"/>
          <w:sz w:val="22"/>
          <w:szCs w:val="22"/>
          <w:lang w:val="en-US"/>
        </w:rPr>
        <w:t>, Yue-Ming Zhang</w:t>
      </w:r>
      <w:r>
        <w:rPr>
          <w:rFonts w:ascii="Times New Roman" w:hAnsi="Times New Roman" w:cs="Times New Roman"/>
          <w:color w:val="000000"/>
          <w:sz w:val="22"/>
          <w:szCs w:val="22"/>
          <w:vertAlign w:val="superscript"/>
          <w:lang w:val="en-US"/>
        </w:rPr>
        <w:t>1, 2, 3</w:t>
      </w:r>
      <w:r>
        <w:rPr>
          <w:rFonts w:ascii="Times New Roman" w:hAnsi="Times New Roman" w:cs="Times New Roman"/>
          <w:color w:val="000000"/>
          <w:sz w:val="22"/>
          <w:szCs w:val="22"/>
          <w:lang w:val="en-US"/>
        </w:rPr>
        <w:t>, Wei Gan</w:t>
      </w:r>
      <w:r>
        <w:rPr>
          <w:rFonts w:ascii="Times New Roman" w:hAnsi="Times New Roman" w:cs="Times New Roman"/>
          <w:color w:val="000000"/>
          <w:sz w:val="22"/>
          <w:szCs w:val="22"/>
          <w:vertAlign w:val="superscript"/>
          <w:lang w:val="en-US"/>
        </w:rPr>
        <w:t>1, 2, 3</w:t>
      </w:r>
      <w:r>
        <w:rPr>
          <w:rFonts w:ascii="Times New Roman" w:hAnsi="Times New Roman" w:cs="Times New Roman"/>
          <w:color w:val="000000"/>
          <w:sz w:val="22"/>
          <w:szCs w:val="22"/>
          <w:lang w:val="en-US"/>
        </w:rPr>
        <w:t>, Hua-Xiang Xu</w:t>
      </w:r>
      <w:r>
        <w:rPr>
          <w:rFonts w:ascii="Times New Roman" w:hAnsi="Times New Roman" w:cs="Times New Roman"/>
          <w:color w:val="000000"/>
          <w:sz w:val="22"/>
          <w:szCs w:val="22"/>
          <w:vertAlign w:val="superscript"/>
          <w:lang w:val="en-US"/>
        </w:rPr>
        <w:t>1, 2, 3</w:t>
      </w:r>
      <w:r>
        <w:rPr>
          <w:rFonts w:ascii="Times New Roman" w:hAnsi="Times New Roman" w:cs="Times New Roman"/>
          <w:color w:val="000000"/>
          <w:sz w:val="22"/>
          <w:szCs w:val="22"/>
          <w:lang w:val="en-US"/>
        </w:rPr>
        <w:t>, Lei Zhang</w:t>
      </w:r>
      <w:r>
        <w:rPr>
          <w:rFonts w:ascii="Times New Roman" w:hAnsi="Times New Roman" w:cs="Times New Roman"/>
          <w:color w:val="000000"/>
          <w:sz w:val="22"/>
          <w:szCs w:val="22"/>
          <w:vertAlign w:val="superscript"/>
          <w:lang w:val="en-US"/>
        </w:rPr>
        <w:t>1, 2, 3</w:t>
      </w:r>
      <w:r>
        <w:rPr>
          <w:rFonts w:ascii="Times New Roman" w:hAnsi="Times New Roman" w:cs="Times New Roman"/>
          <w:color w:val="000000"/>
          <w:sz w:val="22"/>
          <w:szCs w:val="22"/>
          <w:lang w:val="en-US"/>
        </w:rPr>
        <w:t>, Wen-Chuan Wu</w:t>
      </w:r>
      <w:r>
        <w:rPr>
          <w:rFonts w:ascii="Times New Roman" w:hAnsi="Times New Roman" w:cs="Times New Roman"/>
          <w:color w:val="000000"/>
          <w:sz w:val="22"/>
          <w:szCs w:val="22"/>
          <w:vertAlign w:val="superscript"/>
          <w:lang w:val="en-US"/>
        </w:rPr>
        <w:t>1, 2, 3</w:t>
      </w:r>
      <w:r>
        <w:rPr>
          <w:rFonts w:ascii="Times New Roman" w:hAnsi="Times New Roman" w:cs="Times New Roman"/>
          <w:color w:val="000000"/>
          <w:sz w:val="22"/>
          <w:szCs w:val="22"/>
          <w:lang w:val="en-US"/>
        </w:rPr>
        <w:t>, Chen-Ye Shi</w:t>
      </w:r>
      <w:r>
        <w:rPr>
          <w:rFonts w:ascii="Times New Roman" w:hAnsi="Times New Roman" w:cs="Times New Roman"/>
          <w:color w:val="000000"/>
          <w:sz w:val="22"/>
          <w:szCs w:val="22"/>
          <w:vertAlign w:val="superscript"/>
          <w:lang w:val="en-US"/>
        </w:rPr>
        <w:t>1, 2, 3</w:t>
      </w:r>
      <w:r>
        <w:rPr>
          <w:rFonts w:ascii="Times New Roman" w:hAnsi="Times New Roman" w:cs="Times New Roman"/>
          <w:color w:val="000000"/>
          <w:sz w:val="22"/>
          <w:szCs w:val="22"/>
          <w:lang w:val="en-US"/>
        </w:rPr>
        <w:t>, Yun Jin</w:t>
      </w:r>
      <w:r>
        <w:rPr>
          <w:rFonts w:ascii="Times New Roman" w:hAnsi="Times New Roman" w:cs="Times New Roman"/>
          <w:color w:val="000000"/>
          <w:sz w:val="22"/>
          <w:szCs w:val="22"/>
          <w:vertAlign w:val="superscript"/>
          <w:lang w:val="en-US"/>
        </w:rPr>
        <w:t>5</w:t>
      </w:r>
      <w:r>
        <w:rPr>
          <w:rFonts w:ascii="Times New Roman" w:hAnsi="Times New Roman" w:cs="Times New Roman"/>
          <w:color w:val="000000"/>
          <w:sz w:val="22"/>
          <w:szCs w:val="22"/>
          <w:lang w:val="en-US"/>
        </w:rPr>
        <w:t>, Chong-Yi Jiang</w:t>
      </w:r>
      <w:r>
        <w:rPr>
          <w:rFonts w:ascii="Times New Roman" w:hAnsi="Times New Roman" w:cs="Times New Roman"/>
          <w:color w:val="000000"/>
          <w:sz w:val="22"/>
          <w:szCs w:val="22"/>
          <w:vertAlign w:val="superscript"/>
          <w:lang w:val="en-US"/>
        </w:rPr>
        <w:t>6</w:t>
      </w:r>
      <w:r>
        <w:rPr>
          <w:rFonts w:ascii="Times New Roman" w:hAnsi="Times New Roman" w:cs="Times New Roman"/>
          <w:color w:val="000000"/>
          <w:sz w:val="22"/>
          <w:szCs w:val="22"/>
          <w:lang w:val="en-US"/>
        </w:rPr>
        <w:t>, Zheng Wang</w:t>
      </w:r>
      <w:r>
        <w:rPr>
          <w:rFonts w:ascii="Times New Roman" w:hAnsi="Times New Roman" w:cs="Times New Roman"/>
          <w:color w:val="000000"/>
          <w:sz w:val="22"/>
          <w:szCs w:val="22"/>
          <w:vertAlign w:val="superscript"/>
          <w:lang w:val="en-US"/>
        </w:rPr>
        <w:t>7</w:t>
      </w:r>
      <w:r>
        <w:rPr>
          <w:rFonts w:ascii="Times New Roman" w:hAnsi="Times New Roman" w:cs="Times New Roman"/>
          <w:color w:val="000000"/>
          <w:sz w:val="22"/>
          <w:szCs w:val="22"/>
          <w:lang w:val="en-US"/>
        </w:rPr>
        <w:t>, Min He</w:t>
      </w:r>
      <w:r>
        <w:rPr>
          <w:rFonts w:ascii="Times New Roman" w:hAnsi="Times New Roman" w:cs="Times New Roman"/>
          <w:color w:val="000000"/>
          <w:sz w:val="22"/>
          <w:szCs w:val="22"/>
          <w:vertAlign w:val="superscript"/>
          <w:lang w:val="en-US"/>
        </w:rPr>
        <w:t>8</w:t>
      </w:r>
      <w:r>
        <w:rPr>
          <w:rFonts w:ascii="Times New Roman" w:hAnsi="Times New Roman" w:cs="Times New Roman"/>
          <w:color w:val="000000"/>
          <w:sz w:val="22"/>
          <w:szCs w:val="22"/>
          <w:lang w:val="en-US"/>
        </w:rPr>
        <w:t>, Xu-An Wang</w:t>
      </w:r>
      <w:r>
        <w:rPr>
          <w:rFonts w:ascii="Times New Roman" w:hAnsi="Times New Roman" w:cs="Times New Roman"/>
          <w:color w:val="000000"/>
          <w:sz w:val="22"/>
          <w:szCs w:val="22"/>
          <w:vertAlign w:val="superscript"/>
          <w:lang w:val="en-US"/>
        </w:rPr>
        <w:t>1, 2, 3</w:t>
      </w:r>
      <w:r>
        <w:rPr>
          <w:rFonts w:ascii="Times New Roman" w:hAnsi="Times New Roman" w:cs="Times New Roman"/>
          <w:color w:val="000000"/>
          <w:sz w:val="22"/>
          <w:szCs w:val="22"/>
          <w:lang w:val="en-US"/>
        </w:rPr>
        <w:t>, Yu-Dong Qiu</w:t>
      </w:r>
      <w:r>
        <w:rPr>
          <w:rFonts w:ascii="Times New Roman" w:hAnsi="Times New Roman" w:cs="Times New Roman"/>
          <w:color w:val="000000"/>
          <w:sz w:val="22"/>
          <w:szCs w:val="22"/>
          <w:vertAlign w:val="superscript"/>
          <w:lang w:val="en-US"/>
        </w:rPr>
        <w:t>9</w:t>
      </w:r>
      <w:r>
        <w:rPr>
          <w:rFonts w:ascii="Times New Roman" w:hAnsi="Times New Roman" w:cs="Times New Roman"/>
          <w:color w:val="000000"/>
          <w:sz w:val="22"/>
          <w:szCs w:val="22"/>
          <w:lang w:val="en-US"/>
        </w:rPr>
        <w:t>, Liang Liu</w:t>
      </w:r>
      <w:r>
        <w:rPr>
          <w:rFonts w:ascii="Times New Roman" w:hAnsi="Times New Roman" w:cs="Times New Roman"/>
          <w:color w:val="000000"/>
          <w:sz w:val="22"/>
          <w:szCs w:val="22"/>
          <w:vertAlign w:val="superscript"/>
          <w:lang w:val="en-US"/>
        </w:rPr>
        <w:t>1, 2, 3*</w:t>
      </w:r>
    </w:p>
    <w:p w:rsidR="00AF0431" w:rsidRDefault="00AF0431">
      <w:pPr>
        <w:spacing w:line="276" w:lineRule="auto"/>
        <w:rPr>
          <w:rFonts w:ascii="Times New Roman" w:hAnsi="Times New Roman" w:cs="Times New Roman"/>
          <w:color w:val="000000" w:themeColor="text1"/>
          <w:sz w:val="20"/>
          <w:szCs w:val="20"/>
        </w:rPr>
      </w:pPr>
    </w:p>
    <w:p w:rsidR="00AF0431" w:rsidRDefault="003313DA">
      <w:pPr>
        <w:spacing w:line="276"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vertAlign w:val="superscript"/>
        </w:rPr>
        <w:t>1</w:t>
      </w:r>
      <w:r>
        <w:rPr>
          <w:rFonts w:ascii="Times New Roman" w:hAnsi="Times New Roman" w:cs="Times New Roman"/>
          <w:color w:val="000000" w:themeColor="text1"/>
          <w:sz w:val="20"/>
          <w:szCs w:val="20"/>
        </w:rPr>
        <w:t>Department of Pancreatic Surgery, Zhongshan Hospital, Fudan University, Shanghai, China.</w:t>
      </w:r>
    </w:p>
    <w:p w:rsidR="00AF0431" w:rsidRDefault="003313DA">
      <w:pPr>
        <w:spacing w:line="276"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vertAlign w:val="superscript"/>
        </w:rPr>
        <w:t>2</w:t>
      </w:r>
      <w:r>
        <w:rPr>
          <w:rFonts w:ascii="Times New Roman" w:hAnsi="Times New Roman" w:cs="Times New Roman"/>
          <w:color w:val="000000" w:themeColor="text1"/>
          <w:sz w:val="20"/>
          <w:szCs w:val="20"/>
        </w:rPr>
        <w:t>Cancer Center, Zhongshan Hospital, Fudan University, Shanghai, China.</w:t>
      </w:r>
    </w:p>
    <w:p w:rsidR="00AF0431" w:rsidRDefault="003313DA">
      <w:pPr>
        <w:spacing w:line="276"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vertAlign w:val="superscript"/>
        </w:rPr>
        <w:t>3</w:t>
      </w:r>
      <w:r>
        <w:rPr>
          <w:rFonts w:ascii="Times New Roman" w:hAnsi="Times New Roman" w:cs="Times New Roman"/>
          <w:color w:val="000000" w:themeColor="text1"/>
          <w:sz w:val="20"/>
          <w:szCs w:val="20"/>
        </w:rPr>
        <w:t>Department of General Surgery, Zhongshan</w:t>
      </w:r>
      <w:r>
        <w:rPr>
          <w:rFonts w:ascii="Times New Roman" w:hAnsi="Times New Roman" w:cs="Times New Roman"/>
          <w:color w:val="000000" w:themeColor="text1"/>
          <w:sz w:val="20"/>
          <w:szCs w:val="20"/>
        </w:rPr>
        <w:t xml:space="preserve"> Hospital, Fudan University, Shanghai, China.</w:t>
      </w:r>
    </w:p>
    <w:p w:rsidR="00AF0431" w:rsidRDefault="003313DA">
      <w:pPr>
        <w:spacing w:line="276"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vertAlign w:val="superscript"/>
        </w:rPr>
        <w:t>4</w:t>
      </w:r>
      <w:r>
        <w:rPr>
          <w:rFonts w:ascii="Times New Roman" w:hAnsi="Times New Roman" w:cs="Times New Roman"/>
          <w:color w:val="000000" w:themeColor="text1"/>
          <w:sz w:val="20"/>
          <w:szCs w:val="20"/>
        </w:rPr>
        <w:t>Department of Biostatistics, Zhongshan Hospital, Fudan University, Shanghai, China.</w:t>
      </w:r>
    </w:p>
    <w:p w:rsidR="00AF0431" w:rsidRDefault="003313DA">
      <w:pPr>
        <w:spacing w:line="276"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vertAlign w:val="superscript"/>
        </w:rPr>
        <w:t>5</w:t>
      </w:r>
      <w:r>
        <w:rPr>
          <w:rFonts w:ascii="Times New Roman" w:hAnsi="Times New Roman" w:cs="Times New Roman"/>
          <w:color w:val="000000" w:themeColor="text1"/>
          <w:sz w:val="20"/>
          <w:szCs w:val="20"/>
        </w:rPr>
        <w:t>Department of Hepatobiliary Surgery, The First People's Hospital of Yunnan Province, Kunming City, Yunnan Province, China.</w:t>
      </w:r>
    </w:p>
    <w:p w:rsidR="00AF0431" w:rsidRDefault="003313DA">
      <w:pPr>
        <w:spacing w:line="276"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vertAlign w:val="superscript"/>
        </w:rPr>
        <w:t>6</w:t>
      </w:r>
      <w:r>
        <w:rPr>
          <w:rFonts w:ascii="Times New Roman" w:hAnsi="Times New Roman" w:cs="Times New Roman"/>
          <w:color w:val="000000" w:themeColor="text1"/>
          <w:sz w:val="20"/>
          <w:szCs w:val="20"/>
        </w:rPr>
        <w:t>Department of Hepato-Biliary-Pancreatic Surgery, Huadong Hospital Affliated to Fudan University, Shanghai, China.</w:t>
      </w:r>
    </w:p>
    <w:p w:rsidR="00AF0431" w:rsidRDefault="003313DA">
      <w:pPr>
        <w:spacing w:line="276"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vertAlign w:val="superscript"/>
        </w:rPr>
        <w:t>7</w:t>
      </w:r>
      <w:r>
        <w:rPr>
          <w:rFonts w:ascii="Times New Roman" w:hAnsi="Times New Roman" w:cs="Times New Roman"/>
          <w:color w:val="000000" w:themeColor="text1"/>
          <w:sz w:val="20"/>
          <w:szCs w:val="20"/>
        </w:rPr>
        <w:t>Department of Hepatobiliary Surgery, The First Affiliated Hospital of Xi’an Jiaotong University, Xi’an City, Shaanxi Province, China.</w:t>
      </w:r>
    </w:p>
    <w:p w:rsidR="00AF0431" w:rsidRDefault="003313DA">
      <w:pPr>
        <w:spacing w:line="276"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vertAlign w:val="superscript"/>
        </w:rPr>
        <w:t>8</w:t>
      </w:r>
      <w:r>
        <w:rPr>
          <w:rFonts w:ascii="Times New Roman" w:hAnsi="Times New Roman" w:cs="Times New Roman"/>
          <w:color w:val="000000" w:themeColor="text1"/>
          <w:sz w:val="20"/>
          <w:szCs w:val="20"/>
        </w:rPr>
        <w:t>Depart</w:t>
      </w:r>
      <w:r>
        <w:rPr>
          <w:rFonts w:ascii="Times New Roman" w:hAnsi="Times New Roman" w:cs="Times New Roman"/>
          <w:color w:val="000000" w:themeColor="text1"/>
          <w:sz w:val="20"/>
          <w:szCs w:val="20"/>
        </w:rPr>
        <w:t>ment of Biliary-Pancreatic Surgery, Shanghai Jiao Tong University School of Medicine Affiliated Renji Hospital, Shanghai, China.</w:t>
      </w:r>
    </w:p>
    <w:p w:rsidR="00AF0431" w:rsidRDefault="003313DA">
      <w:pPr>
        <w:spacing w:line="276"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vertAlign w:val="superscript"/>
        </w:rPr>
        <w:t>9</w:t>
      </w:r>
      <w:r>
        <w:rPr>
          <w:rFonts w:ascii="Times New Roman" w:hAnsi="Times New Roman" w:cs="Times New Roman"/>
          <w:color w:val="000000" w:themeColor="text1"/>
          <w:sz w:val="20"/>
          <w:szCs w:val="20"/>
        </w:rPr>
        <w:t>Department of General Surgery, Nanjing University Medical School Affiliated Nanjing Drum Tower Hospital, Nanjing City, Jiangsu</w:t>
      </w:r>
      <w:r>
        <w:rPr>
          <w:rFonts w:ascii="Times New Roman" w:hAnsi="Times New Roman" w:cs="Times New Roman"/>
          <w:color w:val="000000" w:themeColor="text1"/>
          <w:sz w:val="20"/>
          <w:szCs w:val="20"/>
        </w:rPr>
        <w:t xml:space="preserve"> Province, China.</w:t>
      </w:r>
    </w:p>
    <w:p w:rsidR="00AF0431" w:rsidRDefault="003313DA">
      <w:pPr>
        <w:spacing w:line="276" w:lineRule="auto"/>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vertAlign w:val="superscript"/>
        </w:rPr>
        <w:t>†</w:t>
      </w:r>
      <w:r>
        <w:rPr>
          <w:rFonts w:ascii="Times New Roman" w:hAnsi="Times New Roman" w:cs="Times New Roman"/>
          <w:color w:val="000000" w:themeColor="text1"/>
          <w:sz w:val="20"/>
          <w:szCs w:val="20"/>
        </w:rPr>
        <w:t xml:space="preserve">These authors contributed equally to this work. </w:t>
      </w:r>
    </w:p>
    <w:p w:rsidR="00AF0431" w:rsidRDefault="00AF0431">
      <w:pPr>
        <w:spacing w:line="360" w:lineRule="auto"/>
        <w:rPr>
          <w:rFonts w:ascii="Times New Roman" w:hAnsi="Times New Roman" w:cs="Times New Roman"/>
          <w:color w:val="000000" w:themeColor="text1"/>
          <w:sz w:val="20"/>
          <w:szCs w:val="20"/>
          <w:lang w:val="en-US"/>
        </w:rPr>
      </w:pPr>
    </w:p>
    <w:p w:rsidR="00AF0431" w:rsidRDefault="003313DA">
      <w:pPr>
        <w:spacing w:line="276" w:lineRule="auto"/>
        <w:jc w:val="both"/>
        <w:rPr>
          <w:rFonts w:ascii="Times New Roman" w:hAnsi="Times New Roman" w:cs="Times New Roman"/>
          <w:color w:val="212121"/>
          <w:sz w:val="21"/>
          <w:szCs w:val="21"/>
          <w:lang w:val="en-US"/>
        </w:rPr>
      </w:pPr>
      <w:r>
        <w:rPr>
          <w:rFonts w:ascii="Times New Roman" w:hAnsi="Times New Roman" w:cs="Times New Roman"/>
          <w:b/>
          <w:color w:val="212121"/>
          <w:sz w:val="21"/>
          <w:szCs w:val="21"/>
          <w:lang w:val="en-US"/>
        </w:rPr>
        <w:t>Corresponding author.</w:t>
      </w:r>
      <w:r>
        <w:rPr>
          <w:rFonts w:ascii="Times New Roman" w:hAnsi="Times New Roman" w:cs="Times New Roman"/>
          <w:color w:val="212121"/>
          <w:sz w:val="21"/>
          <w:szCs w:val="21"/>
          <w:lang w:val="en-US"/>
        </w:rPr>
        <w:t xml:space="preserve"> </w:t>
      </w:r>
    </w:p>
    <w:p w:rsidR="00AF0431" w:rsidRDefault="003313DA">
      <w:pPr>
        <w:spacing w:line="276" w:lineRule="auto"/>
        <w:jc w:val="both"/>
        <w:rPr>
          <w:rFonts w:ascii="Times New Roman" w:hAnsi="Times New Roman" w:cs="Times New Roman"/>
          <w:color w:val="212121"/>
          <w:sz w:val="21"/>
          <w:szCs w:val="21"/>
          <w:lang w:val="en-US"/>
        </w:rPr>
      </w:pPr>
      <w:r>
        <w:rPr>
          <w:rFonts w:ascii="Times New Roman" w:hAnsi="Times New Roman" w:cs="Times New Roman"/>
          <w:color w:val="212121"/>
          <w:sz w:val="21"/>
          <w:szCs w:val="21"/>
          <w:lang w:val="en-US"/>
        </w:rPr>
        <w:t>Liang Liu, MD, PhD, Professor</w:t>
      </w:r>
    </w:p>
    <w:p w:rsidR="00AF0431" w:rsidRDefault="003313DA">
      <w:pPr>
        <w:spacing w:line="276" w:lineRule="auto"/>
        <w:jc w:val="both"/>
        <w:rPr>
          <w:rFonts w:ascii="Times New Roman" w:hAnsi="Times New Roman" w:cs="Times New Roman"/>
          <w:color w:val="212121"/>
          <w:sz w:val="21"/>
          <w:szCs w:val="21"/>
          <w:lang w:val="en-US"/>
        </w:rPr>
      </w:pPr>
      <w:r>
        <w:rPr>
          <w:rFonts w:ascii="Times New Roman" w:hAnsi="Times New Roman" w:cs="Times New Roman"/>
          <w:color w:val="212121"/>
          <w:sz w:val="21"/>
          <w:szCs w:val="21"/>
          <w:lang w:val="en-US"/>
        </w:rPr>
        <w:t>Department of Pancreatic Surgery, Zhongshan Hospital, Fudan University, 180 Feng Lin Road, Shanghai, China</w:t>
      </w:r>
    </w:p>
    <w:p w:rsidR="00AF0431" w:rsidRDefault="003313DA">
      <w:pPr>
        <w:spacing w:line="276" w:lineRule="auto"/>
        <w:jc w:val="both"/>
        <w:rPr>
          <w:rFonts w:ascii="Times New Roman" w:hAnsi="Times New Roman" w:cs="Times New Roman"/>
          <w:color w:val="212121"/>
          <w:sz w:val="21"/>
          <w:szCs w:val="21"/>
          <w:lang w:val="en-US"/>
        </w:rPr>
      </w:pPr>
      <w:r>
        <w:rPr>
          <w:rFonts w:ascii="Times New Roman" w:hAnsi="Times New Roman" w:cs="Times New Roman"/>
          <w:color w:val="212121"/>
          <w:sz w:val="21"/>
          <w:szCs w:val="21"/>
          <w:lang w:val="en-US"/>
        </w:rPr>
        <w:t>Email: liu.liang@zs-hospita</w:t>
      </w:r>
      <w:r>
        <w:rPr>
          <w:rFonts w:ascii="Times New Roman" w:hAnsi="Times New Roman" w:cs="Times New Roman"/>
          <w:color w:val="212121"/>
          <w:sz w:val="21"/>
          <w:szCs w:val="21"/>
          <w:lang w:val="en-US"/>
        </w:rPr>
        <w:t xml:space="preserve">l.sh.cn </w:t>
      </w:r>
    </w:p>
    <w:p w:rsidR="00AF0431" w:rsidRDefault="00AF0431">
      <w:pPr>
        <w:spacing w:line="360" w:lineRule="auto"/>
        <w:jc w:val="both"/>
        <w:rPr>
          <w:rFonts w:ascii="Times New Roman" w:hAnsi="Times New Roman" w:cs="Times New Roman"/>
          <w:b/>
          <w:bCs/>
          <w:sz w:val="22"/>
          <w:szCs w:val="22"/>
          <w:lang w:val="en-US"/>
        </w:rPr>
      </w:pPr>
    </w:p>
    <w:p w:rsidR="00AF0431" w:rsidRDefault="003313DA">
      <w:pPr>
        <w:spacing w:line="276" w:lineRule="auto"/>
        <w:jc w:val="both"/>
        <w:rPr>
          <w:rFonts w:ascii="Times New Roman" w:hAnsi="Times New Roman" w:cs="Times New Roman"/>
          <w:b/>
          <w:bCs/>
          <w:sz w:val="22"/>
          <w:szCs w:val="22"/>
          <w:lang w:val="en-US"/>
        </w:rPr>
      </w:pPr>
      <w:r>
        <w:rPr>
          <w:rFonts w:ascii="Times New Roman" w:hAnsi="Times New Roman" w:cs="Times New Roman"/>
          <w:b/>
          <w:bCs/>
          <w:sz w:val="22"/>
          <w:szCs w:val="22"/>
          <w:lang w:val="en-US"/>
        </w:rPr>
        <w:t>Supplementary Materials - Index</w:t>
      </w:r>
    </w:p>
    <w:p w:rsidR="00AF0431" w:rsidRDefault="00AF0431">
      <w:pPr>
        <w:spacing w:line="276" w:lineRule="auto"/>
        <w:jc w:val="both"/>
        <w:rPr>
          <w:rFonts w:ascii="Times New Roman" w:hAnsi="Times New Roman" w:cs="Times New Roman"/>
          <w:sz w:val="22"/>
          <w:szCs w:val="22"/>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1"/>
        <w:gridCol w:w="4721"/>
      </w:tblGrid>
      <w:tr w:rsidR="00AF0431">
        <w:tc>
          <w:tcPr>
            <w:tcW w:w="4721" w:type="dxa"/>
          </w:tcPr>
          <w:p w:rsidR="00AF0431" w:rsidRDefault="003313DA">
            <w:pPr>
              <w:rPr>
                <w:rFonts w:ascii="Times New Roman" w:hAnsi="Times New Roman" w:cs="Times New Roman"/>
                <w:b/>
                <w:bCs/>
                <w:sz w:val="22"/>
                <w:szCs w:val="22"/>
                <w:lang w:val="en-US"/>
              </w:rPr>
            </w:pPr>
            <w:r>
              <w:rPr>
                <w:rFonts w:ascii="Times New Roman" w:hAnsi="Times New Roman" w:cs="Times New Roman"/>
                <w:b/>
                <w:bCs/>
                <w:sz w:val="22"/>
                <w:szCs w:val="22"/>
                <w:lang w:val="en-US"/>
              </w:rPr>
              <w:t>Supplementary Methods</w:t>
            </w:r>
          </w:p>
        </w:tc>
        <w:tc>
          <w:tcPr>
            <w:tcW w:w="4721" w:type="dxa"/>
          </w:tcPr>
          <w:p w:rsidR="00AF0431" w:rsidRDefault="00AF0431">
            <w:pPr>
              <w:spacing w:line="360" w:lineRule="auto"/>
              <w:jc w:val="right"/>
              <w:rPr>
                <w:rFonts w:ascii="Times New Roman" w:hAnsi="Times New Roman" w:cs="Times New Roman"/>
                <w:i/>
                <w:iCs/>
                <w:sz w:val="22"/>
                <w:szCs w:val="22"/>
                <w:lang w:val="en-US"/>
              </w:rPr>
            </w:pPr>
          </w:p>
        </w:tc>
      </w:tr>
      <w:tr w:rsidR="00AF0431">
        <w:tc>
          <w:tcPr>
            <w:tcW w:w="4721" w:type="dxa"/>
          </w:tcPr>
          <w:p w:rsidR="00AF0431" w:rsidRDefault="003313DA">
            <w:pPr>
              <w:ind w:firstLineChars="100" w:firstLine="221"/>
              <w:rPr>
                <w:rFonts w:ascii="Times New Roman" w:hAnsi="Times New Roman" w:cs="Times New Roman"/>
                <w:b/>
                <w:bCs/>
                <w:sz w:val="22"/>
                <w:szCs w:val="22"/>
                <w:lang w:val="en-US"/>
              </w:rPr>
            </w:pPr>
            <w:r>
              <w:rPr>
                <w:rFonts w:ascii="Times New Roman" w:hAnsi="Times New Roman" w:cs="Times New Roman"/>
                <w:b/>
                <w:bCs/>
                <w:sz w:val="22"/>
                <w:szCs w:val="22"/>
                <w:lang w:val="en-US"/>
              </w:rPr>
              <w:t>Surgical intervention</w:t>
            </w:r>
          </w:p>
        </w:tc>
        <w:tc>
          <w:tcPr>
            <w:tcW w:w="4721" w:type="dxa"/>
          </w:tcPr>
          <w:p w:rsidR="00AF0431" w:rsidRDefault="003313DA">
            <w:pPr>
              <w:wordWrap w:val="0"/>
              <w:spacing w:line="360" w:lineRule="auto"/>
              <w:jc w:val="right"/>
              <w:rPr>
                <w:rFonts w:ascii="Times New Roman" w:eastAsia="SimSun" w:hAnsi="Times New Roman" w:cs="Times New Roman"/>
                <w:i/>
                <w:iCs/>
                <w:sz w:val="22"/>
                <w:szCs w:val="22"/>
                <w:lang w:val="en-US" w:eastAsia="zh-CN"/>
              </w:rPr>
            </w:pPr>
            <w:r>
              <w:rPr>
                <w:rFonts w:ascii="Times New Roman" w:eastAsia="SimSun" w:hAnsi="Times New Roman" w:cs="Times New Roman" w:hint="eastAsia"/>
                <w:i/>
                <w:iCs/>
                <w:sz w:val="22"/>
                <w:szCs w:val="22"/>
                <w:lang w:val="en-US" w:eastAsia="zh-CN"/>
              </w:rPr>
              <w:t>Page 3-4</w:t>
            </w:r>
          </w:p>
        </w:tc>
      </w:tr>
      <w:tr w:rsidR="00AF0431">
        <w:tc>
          <w:tcPr>
            <w:tcW w:w="4721" w:type="dxa"/>
          </w:tcPr>
          <w:p w:rsidR="00AF0431" w:rsidRDefault="003313DA">
            <w:pPr>
              <w:ind w:firstLineChars="100" w:firstLine="221"/>
              <w:rPr>
                <w:rFonts w:ascii="Times New Roman" w:hAnsi="Times New Roman" w:cs="Times New Roman"/>
                <w:b/>
                <w:bCs/>
                <w:sz w:val="22"/>
                <w:szCs w:val="22"/>
                <w:lang w:val="en-US"/>
              </w:rPr>
            </w:pPr>
            <w:r>
              <w:rPr>
                <w:rFonts w:ascii="Times New Roman" w:hAnsi="Times New Roman" w:cs="Times New Roman"/>
                <w:b/>
                <w:bCs/>
                <w:sz w:val="22"/>
                <w:szCs w:val="22"/>
                <w:lang w:val="en-US"/>
              </w:rPr>
              <w:t>Data collection and management</w:t>
            </w:r>
          </w:p>
        </w:tc>
        <w:tc>
          <w:tcPr>
            <w:tcW w:w="4721" w:type="dxa"/>
          </w:tcPr>
          <w:p w:rsidR="00AF0431" w:rsidRDefault="003313DA">
            <w:pPr>
              <w:wordWrap w:val="0"/>
              <w:spacing w:line="360" w:lineRule="auto"/>
              <w:jc w:val="right"/>
              <w:rPr>
                <w:rFonts w:ascii="Times New Roman" w:eastAsia="SimSun" w:hAnsi="Times New Roman" w:cs="Times New Roman"/>
                <w:i/>
                <w:iCs/>
                <w:sz w:val="22"/>
                <w:szCs w:val="22"/>
                <w:lang w:val="en-US" w:eastAsia="zh-CN"/>
              </w:rPr>
            </w:pPr>
            <w:r>
              <w:rPr>
                <w:rFonts w:ascii="Times New Roman" w:eastAsia="SimSun" w:hAnsi="Times New Roman" w:cs="Times New Roman" w:hint="eastAsia"/>
                <w:i/>
                <w:iCs/>
                <w:sz w:val="22"/>
                <w:szCs w:val="22"/>
                <w:lang w:val="en-US" w:eastAsia="zh-CN"/>
              </w:rPr>
              <w:t>Page 4</w:t>
            </w:r>
          </w:p>
        </w:tc>
      </w:tr>
      <w:tr w:rsidR="00AF0431">
        <w:tc>
          <w:tcPr>
            <w:tcW w:w="4721" w:type="dxa"/>
          </w:tcPr>
          <w:p w:rsidR="00AF0431" w:rsidRDefault="003313DA">
            <w:pPr>
              <w:ind w:firstLineChars="100" w:firstLine="221"/>
              <w:rPr>
                <w:rFonts w:ascii="Times New Roman" w:hAnsi="Times New Roman" w:cs="Times New Roman"/>
                <w:b/>
                <w:bCs/>
                <w:sz w:val="22"/>
                <w:szCs w:val="22"/>
                <w:lang w:val="en-US"/>
              </w:rPr>
            </w:pPr>
            <w:r>
              <w:rPr>
                <w:rFonts w:ascii="Times New Roman" w:hAnsi="Times New Roman" w:cs="Times New Roman"/>
                <w:b/>
                <w:bCs/>
                <w:sz w:val="22"/>
                <w:szCs w:val="22"/>
                <w:lang w:val="en-US"/>
              </w:rPr>
              <w:t>Dissemination policy and confidentiality</w:t>
            </w:r>
          </w:p>
        </w:tc>
        <w:tc>
          <w:tcPr>
            <w:tcW w:w="4721" w:type="dxa"/>
          </w:tcPr>
          <w:p w:rsidR="00AF0431" w:rsidRDefault="003313DA">
            <w:pPr>
              <w:spacing w:line="360" w:lineRule="auto"/>
              <w:jc w:val="right"/>
              <w:rPr>
                <w:rFonts w:ascii="Times New Roman" w:hAnsi="Times New Roman" w:cs="Times New Roman"/>
                <w:i/>
                <w:iCs/>
                <w:sz w:val="22"/>
                <w:szCs w:val="22"/>
                <w:lang w:val="en-US"/>
              </w:rPr>
            </w:pPr>
            <w:r>
              <w:rPr>
                <w:rFonts w:ascii="Times New Roman" w:eastAsia="SimSun" w:hAnsi="Times New Roman" w:cs="Times New Roman" w:hint="eastAsia"/>
                <w:i/>
                <w:iCs/>
                <w:sz w:val="22"/>
                <w:szCs w:val="22"/>
                <w:lang w:val="en-US" w:eastAsia="zh-CN"/>
              </w:rPr>
              <w:t>Page 4</w:t>
            </w:r>
          </w:p>
        </w:tc>
      </w:tr>
      <w:tr w:rsidR="00AF0431">
        <w:tc>
          <w:tcPr>
            <w:tcW w:w="4721" w:type="dxa"/>
          </w:tcPr>
          <w:p w:rsidR="00AF0431" w:rsidRDefault="003313DA">
            <w:pPr>
              <w:rPr>
                <w:rFonts w:ascii="Times New Roman" w:hAnsi="Times New Roman" w:cs="Times New Roman"/>
                <w:b/>
                <w:sz w:val="22"/>
                <w:szCs w:val="22"/>
                <w:lang w:val="en-US"/>
              </w:rPr>
            </w:pPr>
            <w:r>
              <w:rPr>
                <w:rFonts w:ascii="Times New Roman" w:hAnsi="Times New Roman" w:cs="Times New Roman"/>
                <w:b/>
                <w:bCs/>
                <w:sz w:val="22"/>
                <w:szCs w:val="22"/>
                <w:lang w:val="en-US"/>
              </w:rPr>
              <w:t>Supplementary Figures and Tables</w:t>
            </w:r>
          </w:p>
        </w:tc>
        <w:tc>
          <w:tcPr>
            <w:tcW w:w="4721" w:type="dxa"/>
          </w:tcPr>
          <w:p w:rsidR="00AF0431" w:rsidRDefault="00AF0431">
            <w:pPr>
              <w:spacing w:line="360" w:lineRule="auto"/>
              <w:jc w:val="right"/>
              <w:rPr>
                <w:rFonts w:ascii="Times New Roman" w:hAnsi="Times New Roman" w:cs="Times New Roman"/>
                <w:i/>
                <w:iCs/>
                <w:sz w:val="22"/>
                <w:szCs w:val="22"/>
                <w:lang w:val="en-US"/>
              </w:rPr>
            </w:pPr>
          </w:p>
        </w:tc>
      </w:tr>
      <w:tr w:rsidR="00AF0431">
        <w:tc>
          <w:tcPr>
            <w:tcW w:w="4721" w:type="dxa"/>
          </w:tcPr>
          <w:p w:rsidR="00AF0431" w:rsidRDefault="003313DA">
            <w:pPr>
              <w:spacing w:line="360" w:lineRule="auto"/>
              <w:ind w:left="182"/>
              <w:jc w:val="both"/>
              <w:rPr>
                <w:rFonts w:ascii="Times New Roman" w:hAnsi="Times New Roman" w:cs="Times New Roman"/>
                <w:sz w:val="22"/>
                <w:szCs w:val="22"/>
                <w:lang w:val="en-US"/>
              </w:rPr>
            </w:pPr>
            <w:r>
              <w:rPr>
                <w:rFonts w:ascii="Times New Roman" w:hAnsi="Times New Roman" w:cs="Times New Roman"/>
                <w:b/>
                <w:bCs/>
                <w:sz w:val="22"/>
                <w:szCs w:val="22"/>
                <w:lang w:val="en-US"/>
              </w:rPr>
              <w:t>Supplementary Figure 1.</w:t>
            </w:r>
            <w:r>
              <w:rPr>
                <w:rFonts w:ascii="Times New Roman" w:hAnsi="Times New Roman" w:cs="Times New Roman"/>
                <w:sz w:val="22"/>
                <w:szCs w:val="22"/>
                <w:lang w:val="en-US"/>
              </w:rPr>
              <w:t xml:space="preserve"> Placement of external drainage tubes.</w:t>
            </w:r>
          </w:p>
        </w:tc>
        <w:tc>
          <w:tcPr>
            <w:tcW w:w="4721" w:type="dxa"/>
          </w:tcPr>
          <w:p w:rsidR="00AF0431" w:rsidRDefault="003313DA">
            <w:pPr>
              <w:spacing w:line="360" w:lineRule="auto"/>
              <w:jc w:val="right"/>
              <w:rPr>
                <w:rFonts w:ascii="Times New Roman" w:eastAsia="SimSun" w:hAnsi="Times New Roman" w:cs="Times New Roman"/>
                <w:i/>
                <w:iCs/>
                <w:sz w:val="22"/>
                <w:szCs w:val="22"/>
                <w:lang w:val="en-US" w:eastAsia="zh-CN"/>
              </w:rPr>
            </w:pPr>
            <w:r>
              <w:rPr>
                <w:rFonts w:ascii="Times New Roman" w:eastAsia="SimSun" w:hAnsi="Times New Roman" w:cs="Times New Roman" w:hint="eastAsia"/>
                <w:i/>
                <w:iCs/>
                <w:sz w:val="22"/>
                <w:szCs w:val="22"/>
                <w:lang w:val="en-US" w:eastAsia="zh-CN"/>
              </w:rPr>
              <w:t>P</w:t>
            </w:r>
            <w:r>
              <w:rPr>
                <w:rFonts w:ascii="Times New Roman" w:hAnsi="Times New Roman" w:cs="Times New Roman"/>
                <w:i/>
                <w:iCs/>
                <w:sz w:val="22"/>
                <w:szCs w:val="22"/>
                <w:lang w:val="en-US"/>
              </w:rPr>
              <w:t>ag</w:t>
            </w:r>
            <w:r>
              <w:rPr>
                <w:rFonts w:ascii="Times New Roman" w:eastAsia="SimSun" w:hAnsi="Times New Roman" w:cs="Times New Roman" w:hint="eastAsia"/>
                <w:i/>
                <w:iCs/>
                <w:sz w:val="22"/>
                <w:szCs w:val="22"/>
                <w:lang w:val="en-US" w:eastAsia="zh-CN"/>
              </w:rPr>
              <w:t>e</w:t>
            </w:r>
            <w:r>
              <w:rPr>
                <w:rFonts w:ascii="Times New Roman" w:hAnsi="Times New Roman" w:cs="Times New Roman"/>
                <w:i/>
                <w:iCs/>
                <w:sz w:val="22"/>
                <w:szCs w:val="22"/>
                <w:lang w:val="en-US"/>
              </w:rPr>
              <w:t xml:space="preserve"> </w:t>
            </w:r>
            <w:r>
              <w:rPr>
                <w:rFonts w:ascii="Times New Roman" w:eastAsia="SimSun" w:hAnsi="Times New Roman" w:cs="Times New Roman" w:hint="eastAsia"/>
                <w:i/>
                <w:iCs/>
                <w:sz w:val="22"/>
                <w:szCs w:val="22"/>
                <w:lang w:val="en-US" w:eastAsia="zh-CN"/>
              </w:rPr>
              <w:t>5</w:t>
            </w:r>
          </w:p>
        </w:tc>
      </w:tr>
      <w:tr w:rsidR="00AF0431">
        <w:tc>
          <w:tcPr>
            <w:tcW w:w="4721" w:type="dxa"/>
          </w:tcPr>
          <w:p w:rsidR="00AF0431" w:rsidRDefault="003313DA">
            <w:pPr>
              <w:spacing w:line="360" w:lineRule="auto"/>
              <w:ind w:left="182"/>
              <w:jc w:val="both"/>
              <w:rPr>
                <w:rFonts w:ascii="Times New Roman" w:hAnsi="Times New Roman" w:cs="Times New Roman"/>
                <w:sz w:val="22"/>
                <w:szCs w:val="22"/>
                <w:lang w:val="en-US"/>
              </w:rPr>
            </w:pPr>
            <w:r>
              <w:rPr>
                <w:rFonts w:ascii="Times New Roman" w:hAnsi="Times New Roman" w:cs="Times New Roman"/>
                <w:b/>
                <w:bCs/>
                <w:sz w:val="22"/>
                <w:szCs w:val="22"/>
                <w:lang w:val="en-US"/>
              </w:rPr>
              <w:t>Supplementary Table</w:t>
            </w:r>
            <w:r>
              <w:rPr>
                <w:rFonts w:ascii="Times New Roman" w:eastAsia="SimSun" w:hAnsi="Times New Roman" w:cs="Times New Roman"/>
                <w:b/>
                <w:bCs/>
                <w:sz w:val="22"/>
                <w:szCs w:val="22"/>
                <w:lang w:val="en-US" w:eastAsia="zh-CN"/>
              </w:rPr>
              <w:t xml:space="preserve"> </w:t>
            </w:r>
            <w:r>
              <w:rPr>
                <w:rFonts w:ascii="Times New Roman" w:hAnsi="Times New Roman" w:cs="Times New Roman"/>
                <w:b/>
                <w:bCs/>
                <w:sz w:val="22"/>
                <w:szCs w:val="22"/>
                <w:lang w:val="en-US"/>
              </w:rPr>
              <w:t>1</w:t>
            </w:r>
            <w:r>
              <w:rPr>
                <w:rFonts w:ascii="Times New Roman" w:eastAsia="SimSun" w:hAnsi="Times New Roman" w:cs="Times New Roman"/>
                <w:b/>
                <w:bCs/>
                <w:sz w:val="22"/>
                <w:szCs w:val="22"/>
                <w:lang w:val="en-US" w:eastAsia="zh-CN"/>
              </w:rPr>
              <w:t>.</w:t>
            </w:r>
            <w:r>
              <w:rPr>
                <w:rFonts w:ascii="Times New Roman" w:hAnsi="Times New Roman" w:cs="Times New Roman"/>
                <w:sz w:val="22"/>
                <w:szCs w:val="22"/>
                <w:lang w:val="en-US"/>
              </w:rPr>
              <w:t xml:space="preserve"> SPIRIT-Checklist</w:t>
            </w:r>
          </w:p>
        </w:tc>
        <w:tc>
          <w:tcPr>
            <w:tcW w:w="4721" w:type="dxa"/>
          </w:tcPr>
          <w:p w:rsidR="00AF0431" w:rsidRDefault="003313DA">
            <w:pPr>
              <w:spacing w:line="360" w:lineRule="auto"/>
              <w:jc w:val="right"/>
              <w:rPr>
                <w:rFonts w:ascii="Times New Roman" w:eastAsia="SimSun" w:hAnsi="Times New Roman" w:cs="Times New Roman"/>
                <w:i/>
                <w:iCs/>
                <w:sz w:val="22"/>
                <w:szCs w:val="22"/>
                <w:lang w:val="en-US" w:eastAsia="zh-CN"/>
              </w:rPr>
            </w:pPr>
            <w:r>
              <w:rPr>
                <w:rFonts w:ascii="Times New Roman" w:hAnsi="Times New Roman" w:cs="Times New Roman"/>
                <w:i/>
                <w:iCs/>
                <w:sz w:val="22"/>
                <w:szCs w:val="22"/>
                <w:lang w:val="en-US"/>
              </w:rPr>
              <w:t>Pag</w:t>
            </w:r>
            <w:r>
              <w:rPr>
                <w:rFonts w:ascii="Times New Roman" w:eastAsia="SimSun" w:hAnsi="Times New Roman" w:cs="Times New Roman" w:hint="eastAsia"/>
                <w:i/>
                <w:iCs/>
                <w:sz w:val="22"/>
                <w:szCs w:val="22"/>
                <w:lang w:val="en-US" w:eastAsia="zh-CN"/>
              </w:rPr>
              <w:t>e</w:t>
            </w:r>
            <w:r>
              <w:rPr>
                <w:rFonts w:ascii="Times New Roman" w:hAnsi="Times New Roman" w:cs="Times New Roman"/>
                <w:i/>
                <w:iCs/>
                <w:sz w:val="22"/>
                <w:szCs w:val="22"/>
                <w:lang w:val="en-US"/>
              </w:rPr>
              <w:t xml:space="preserve"> </w:t>
            </w:r>
            <w:r>
              <w:rPr>
                <w:rFonts w:ascii="Times New Roman" w:eastAsia="SimSun" w:hAnsi="Times New Roman" w:cs="Times New Roman" w:hint="eastAsia"/>
                <w:i/>
                <w:iCs/>
                <w:sz w:val="22"/>
                <w:szCs w:val="22"/>
                <w:lang w:val="en-US" w:eastAsia="zh-CN"/>
              </w:rPr>
              <w:t>6</w:t>
            </w:r>
            <w:r>
              <w:rPr>
                <w:rFonts w:ascii="Times New Roman" w:eastAsia="SimSun" w:hAnsi="Times New Roman" w:cs="Times New Roman"/>
                <w:i/>
                <w:iCs/>
                <w:sz w:val="22"/>
                <w:szCs w:val="22"/>
                <w:lang w:val="en-US" w:eastAsia="zh-CN"/>
              </w:rPr>
              <w:t>-</w:t>
            </w:r>
            <w:r>
              <w:rPr>
                <w:rFonts w:ascii="Times New Roman" w:eastAsia="SimSun" w:hAnsi="Times New Roman" w:cs="Times New Roman" w:hint="eastAsia"/>
                <w:i/>
                <w:iCs/>
                <w:sz w:val="22"/>
                <w:szCs w:val="22"/>
                <w:lang w:val="en-US" w:eastAsia="zh-CN"/>
              </w:rPr>
              <w:t>10</w:t>
            </w:r>
          </w:p>
        </w:tc>
      </w:tr>
      <w:tr w:rsidR="00AF0431">
        <w:tc>
          <w:tcPr>
            <w:tcW w:w="4721" w:type="dxa"/>
          </w:tcPr>
          <w:p w:rsidR="00AF0431" w:rsidRDefault="003313DA">
            <w:pPr>
              <w:spacing w:line="360" w:lineRule="auto"/>
              <w:ind w:left="182"/>
              <w:jc w:val="both"/>
              <w:rPr>
                <w:rFonts w:ascii="Times New Roman" w:hAnsi="Times New Roman" w:cs="Times New Roman"/>
                <w:sz w:val="22"/>
                <w:szCs w:val="22"/>
                <w:lang w:val="en-US"/>
              </w:rPr>
            </w:pPr>
            <w:r>
              <w:rPr>
                <w:rFonts w:ascii="Times New Roman" w:hAnsi="Times New Roman" w:cs="Times New Roman"/>
                <w:b/>
                <w:bCs/>
                <w:sz w:val="22"/>
                <w:szCs w:val="22"/>
                <w:lang w:val="en-US"/>
              </w:rPr>
              <w:t>Supplementary Table</w:t>
            </w:r>
            <w:r>
              <w:rPr>
                <w:rFonts w:ascii="Times New Roman" w:eastAsia="SimSun" w:hAnsi="Times New Roman" w:cs="Times New Roman"/>
                <w:b/>
                <w:bCs/>
                <w:sz w:val="22"/>
                <w:szCs w:val="22"/>
                <w:lang w:val="en-US" w:eastAsia="zh-CN"/>
              </w:rPr>
              <w:t xml:space="preserve"> 2. </w:t>
            </w:r>
            <w:r>
              <w:rPr>
                <w:rFonts w:ascii="Times New Roman" w:eastAsia="SimSun" w:hAnsi="Times New Roman" w:cs="Times New Roman"/>
                <w:sz w:val="22"/>
                <w:szCs w:val="22"/>
                <w:lang w:val="en-US" w:eastAsia="zh-CN"/>
              </w:rPr>
              <w:t>Definition and grading system of postpancreatectomy complications.</w:t>
            </w:r>
          </w:p>
        </w:tc>
        <w:tc>
          <w:tcPr>
            <w:tcW w:w="4721" w:type="dxa"/>
          </w:tcPr>
          <w:p w:rsidR="00AF0431" w:rsidRDefault="003313DA">
            <w:pPr>
              <w:spacing w:line="360" w:lineRule="auto"/>
              <w:jc w:val="right"/>
              <w:rPr>
                <w:rFonts w:ascii="Times New Roman" w:eastAsia="SimSun" w:hAnsi="Times New Roman" w:cs="Times New Roman"/>
                <w:i/>
                <w:iCs/>
                <w:sz w:val="22"/>
                <w:szCs w:val="22"/>
                <w:lang w:val="en-US" w:eastAsia="zh-CN"/>
              </w:rPr>
            </w:pPr>
            <w:r>
              <w:rPr>
                <w:rFonts w:ascii="Times New Roman" w:eastAsia="SimSun" w:hAnsi="Times New Roman" w:cs="Times New Roman" w:hint="eastAsia"/>
                <w:i/>
                <w:iCs/>
                <w:sz w:val="22"/>
                <w:szCs w:val="22"/>
                <w:lang w:val="en-US" w:eastAsia="zh-CN"/>
              </w:rPr>
              <w:t>P</w:t>
            </w:r>
            <w:r>
              <w:rPr>
                <w:rFonts w:ascii="Times New Roman" w:hAnsi="Times New Roman" w:cs="Times New Roman"/>
                <w:i/>
                <w:iCs/>
                <w:sz w:val="22"/>
                <w:szCs w:val="22"/>
                <w:lang w:val="en-US"/>
              </w:rPr>
              <w:t>ag</w:t>
            </w:r>
            <w:r>
              <w:rPr>
                <w:rFonts w:ascii="Times New Roman" w:eastAsia="SimSun" w:hAnsi="Times New Roman" w:cs="Times New Roman" w:hint="eastAsia"/>
                <w:i/>
                <w:iCs/>
                <w:sz w:val="22"/>
                <w:szCs w:val="22"/>
                <w:lang w:val="en-US" w:eastAsia="zh-CN"/>
              </w:rPr>
              <w:t>e</w:t>
            </w:r>
            <w:r>
              <w:rPr>
                <w:rFonts w:ascii="Times New Roman" w:hAnsi="Times New Roman" w:cs="Times New Roman"/>
                <w:i/>
                <w:iCs/>
                <w:sz w:val="22"/>
                <w:szCs w:val="22"/>
                <w:lang w:val="en-US"/>
              </w:rPr>
              <w:t xml:space="preserve"> </w:t>
            </w:r>
            <w:r>
              <w:rPr>
                <w:rFonts w:ascii="Times New Roman" w:eastAsia="SimSun" w:hAnsi="Times New Roman" w:cs="Times New Roman" w:hint="eastAsia"/>
                <w:i/>
                <w:iCs/>
                <w:sz w:val="22"/>
                <w:szCs w:val="22"/>
                <w:lang w:val="en-US" w:eastAsia="zh-CN"/>
              </w:rPr>
              <w:t>11</w:t>
            </w:r>
            <w:r>
              <w:rPr>
                <w:rFonts w:ascii="Times New Roman" w:eastAsia="SimSun" w:hAnsi="Times New Roman" w:cs="Times New Roman"/>
                <w:i/>
                <w:iCs/>
                <w:sz w:val="22"/>
                <w:szCs w:val="22"/>
                <w:lang w:val="en-US" w:eastAsia="zh-CN"/>
              </w:rPr>
              <w:t>-</w:t>
            </w:r>
            <w:r>
              <w:rPr>
                <w:rFonts w:ascii="Times New Roman" w:eastAsia="SimSun" w:hAnsi="Times New Roman" w:cs="Times New Roman" w:hint="eastAsia"/>
                <w:i/>
                <w:iCs/>
                <w:sz w:val="22"/>
                <w:szCs w:val="22"/>
                <w:lang w:val="en-US" w:eastAsia="zh-CN"/>
              </w:rPr>
              <w:t>12</w:t>
            </w:r>
          </w:p>
        </w:tc>
      </w:tr>
    </w:tbl>
    <w:p w:rsidR="00AF0431" w:rsidRDefault="00AF0431">
      <w:pPr>
        <w:jc w:val="both"/>
        <w:rPr>
          <w:rFonts w:ascii="Times New Roman" w:hAnsi="Times New Roman" w:cs="Times New Roman"/>
          <w:b/>
          <w:bCs/>
          <w:sz w:val="22"/>
          <w:szCs w:val="22"/>
          <w:lang w:val="en-US"/>
        </w:rPr>
        <w:sectPr w:rsidR="00AF0431">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014" w:header="708" w:footer="708" w:gutter="0"/>
          <w:lnNumType w:countBy="1" w:restart="continuous"/>
          <w:cols w:space="708"/>
          <w:docGrid w:linePitch="360"/>
        </w:sectPr>
      </w:pPr>
    </w:p>
    <w:p w:rsidR="00AF0431" w:rsidRDefault="003313DA">
      <w:pPr>
        <w:spacing w:line="480" w:lineRule="auto"/>
        <w:rPr>
          <w:rFonts w:ascii="Times New Roman" w:hAnsi="Times New Roman" w:cs="Times New Roman"/>
          <w:b/>
          <w:bCs/>
          <w:sz w:val="22"/>
          <w:szCs w:val="22"/>
          <w:lang w:val="en-US"/>
        </w:rPr>
      </w:pPr>
      <w:r>
        <w:rPr>
          <w:rFonts w:ascii="Times New Roman" w:hAnsi="Times New Roman" w:cs="Times New Roman"/>
          <w:b/>
          <w:bCs/>
          <w:sz w:val="22"/>
          <w:szCs w:val="22"/>
          <w:lang w:val="en-US"/>
        </w:rPr>
        <w:lastRenderedPageBreak/>
        <w:t>Supplementary Methods</w:t>
      </w:r>
    </w:p>
    <w:p w:rsidR="00AF0431" w:rsidRDefault="003313DA">
      <w:pPr>
        <w:spacing w:line="480" w:lineRule="auto"/>
        <w:rPr>
          <w:rFonts w:ascii="Times New Roman" w:hAnsi="Times New Roman" w:cs="Times New Roman"/>
          <w:sz w:val="22"/>
          <w:szCs w:val="22"/>
          <w:lang w:val="en-US"/>
        </w:rPr>
      </w:pPr>
      <w:r>
        <w:rPr>
          <w:rFonts w:ascii="Times New Roman" w:hAnsi="Times New Roman" w:cs="Times New Roman"/>
          <w:b/>
          <w:bCs/>
          <w:sz w:val="22"/>
          <w:szCs w:val="22"/>
          <w:lang w:val="en-US"/>
        </w:rPr>
        <w:t>Surgical intervention</w:t>
      </w:r>
    </w:p>
    <w:p w:rsidR="00AF0431" w:rsidRDefault="003313DA">
      <w:pPr>
        <w:spacing w:line="480" w:lineRule="auto"/>
        <w:rPr>
          <w:rFonts w:ascii="Times New Roman" w:hAnsi="Times New Roman" w:cs="Times New Roman"/>
          <w:sz w:val="22"/>
          <w:szCs w:val="22"/>
          <w:lang w:val="en-US"/>
        </w:rPr>
      </w:pPr>
      <w:r>
        <w:rPr>
          <w:rFonts w:ascii="Times New Roman" w:hAnsi="Times New Roman" w:cs="Times New Roman"/>
          <w:sz w:val="22"/>
          <w:szCs w:val="22"/>
          <w:lang w:val="en-US"/>
        </w:rPr>
        <w:t xml:space="preserve">Distinct drainage approaches are employed between cohorts: the study group receives </w:t>
      </w:r>
      <w:r>
        <w:rPr>
          <w:rFonts w:ascii="Times New Roman" w:hAnsi="Times New Roman" w:cs="Times New Roman"/>
          <w:sz w:val="22"/>
          <w:szCs w:val="22"/>
          <w:lang w:val="en-US"/>
        </w:rPr>
        <w:t>external drainage of both MPD and CBD, while the control group experiences internal drainage. In both groups, reconstruction is performed using the Child technique, sequentially comprising pancreaticojejunostomy, hepaticojejunostomy, and Billroth II gastro</w:t>
      </w:r>
      <w:r>
        <w:rPr>
          <w:rFonts w:ascii="Times New Roman" w:hAnsi="Times New Roman" w:cs="Times New Roman"/>
          <w:sz w:val="22"/>
          <w:szCs w:val="22"/>
          <w:lang w:val="en-US"/>
        </w:rPr>
        <w:t xml:space="preserve">jejunostomy. In the external drainage group, the pancreaticojejunostomy is performed following standardised procedures: after assessing pancreatic texture (soft/hard) and MPD diameter, approximately 2 cm of pancreatic stump is preserved. Hemostasis of the </w:t>
      </w:r>
      <w:r>
        <w:rPr>
          <w:rFonts w:ascii="Times New Roman" w:hAnsi="Times New Roman" w:cs="Times New Roman"/>
          <w:sz w:val="22"/>
          <w:szCs w:val="22"/>
          <w:lang w:val="en-US"/>
        </w:rPr>
        <w:t>transected surface is achieved before anchoring the pancreatic remnant to the jejunal seromuscular layer using interrupted 3-0 polypropylene U-shaped sutures. An enterotomy is created in the jejunum, on the antimesenteric aspect proximal to the MPD site. A</w:t>
      </w:r>
      <w:r>
        <w:rPr>
          <w:rFonts w:ascii="Times New Roman" w:hAnsi="Times New Roman" w:cs="Times New Roman"/>
          <w:sz w:val="22"/>
          <w:szCs w:val="22"/>
          <w:lang w:val="en-US"/>
        </w:rPr>
        <w:t xml:space="preserve"> dissecting clamp is advanced approximately 5 cm in distance through this enterotomy. Using the clamp tip against the contralateral jejunal wall as a guide, a second enterotomy is created with electrocautery. An appropriately sized external drainage tube i</w:t>
      </w:r>
      <w:r>
        <w:rPr>
          <w:rFonts w:ascii="Times New Roman" w:hAnsi="Times New Roman" w:cs="Times New Roman"/>
          <w:sz w:val="22"/>
          <w:szCs w:val="22"/>
          <w:lang w:val="en-US"/>
        </w:rPr>
        <w:t>s passed retrograde through the second enterotomy, advanced along the jejunal lumen, and exteriorised at the pancreatic transection surface. A 4-0 Prolene suture is used to perform interrupted sutures between the posterior wall of the pancreatic duct and t</w:t>
      </w:r>
      <w:r>
        <w:rPr>
          <w:rFonts w:ascii="Times New Roman" w:hAnsi="Times New Roman" w:cs="Times New Roman"/>
          <w:sz w:val="22"/>
          <w:szCs w:val="22"/>
          <w:lang w:val="en-US"/>
        </w:rPr>
        <w:t>he jejunal mucosa, followed by interrupted sutures between the anterior wall of the pancreatic duct and the jejunal mucosa. A 3-0 Prolene suture is again used to perform interrupted sutures through the anterior pancreatic wall and the anterior jejunal wall</w:t>
      </w:r>
      <w:r>
        <w:rPr>
          <w:rFonts w:ascii="Times New Roman" w:hAnsi="Times New Roman" w:cs="Times New Roman"/>
          <w:sz w:val="22"/>
          <w:szCs w:val="22"/>
          <w:lang w:val="en-US"/>
        </w:rPr>
        <w:t>, reinforcing the anastomosis. A purse-string suture is used to secure the outward end of the external drainage tube at the second enterotomy. Referring to the drainage device instructions, the drainage tube is brought out through the abdominal wall and co</w:t>
      </w:r>
      <w:r>
        <w:rPr>
          <w:rFonts w:ascii="Times New Roman" w:hAnsi="Times New Roman" w:cs="Times New Roman"/>
          <w:sz w:val="22"/>
          <w:szCs w:val="22"/>
          <w:lang w:val="en-US"/>
        </w:rPr>
        <w:t>nnected to a drainage bag. For the hepaticojejunostomy, the CBD is measured, and an enterotomy is created 10 cm distal to the pancreatic anastomosis. Interrupted 4-0 absorbable sutures are used for duct-to-jejunal mucosa approximation. The external drainag</w:t>
      </w:r>
      <w:r>
        <w:rPr>
          <w:rFonts w:ascii="Times New Roman" w:hAnsi="Times New Roman" w:cs="Times New Roman"/>
          <w:sz w:val="22"/>
          <w:szCs w:val="22"/>
          <w:lang w:val="en-US"/>
        </w:rPr>
        <w:t>e tube for CBD is placed, secured, and exteriorised in a similar way to external drainage of MPD (Figure S1). In the internal drainage group, the pancreaticojejunostomy is also initiated by assessing pancreatic texture and MPD diameter. Both the end-to-end</w:t>
      </w:r>
      <w:r>
        <w:rPr>
          <w:rFonts w:ascii="Times New Roman" w:hAnsi="Times New Roman" w:cs="Times New Roman"/>
          <w:sz w:val="22"/>
          <w:szCs w:val="22"/>
          <w:lang w:val="en-US"/>
        </w:rPr>
        <w:t xml:space="preserve"> invagination and the duct-to-mucosa anastomotic approach are permitted when performing pancreaticojejunostomy. A trans-anastomotic stent is placed to span the MPD and jejunal lumen without external diversion. A jejunal enterotomy is created approximately </w:t>
      </w:r>
      <w:r>
        <w:rPr>
          <w:rFonts w:ascii="Times New Roman" w:hAnsi="Times New Roman" w:cs="Times New Roman"/>
          <w:sz w:val="22"/>
          <w:szCs w:val="22"/>
          <w:lang w:val="en-US"/>
        </w:rPr>
        <w:t xml:space="preserve">10 cm distal to the pancreatic </w:t>
      </w:r>
      <w:r>
        <w:rPr>
          <w:rFonts w:ascii="Times New Roman" w:hAnsi="Times New Roman" w:cs="Times New Roman"/>
          <w:sz w:val="22"/>
          <w:szCs w:val="22"/>
          <w:lang w:val="en-US"/>
        </w:rPr>
        <w:lastRenderedPageBreak/>
        <w:t>anastomosis. Hepaticojejunostomy omits drainage tube placement, utilising direct mucosa-to-mucosa approximation with 4-0 absorbable sutures. (Figure 2) Specifically, for patients in the external drainage group and with past h</w:t>
      </w:r>
      <w:r>
        <w:rPr>
          <w:rFonts w:ascii="Times New Roman" w:hAnsi="Times New Roman" w:cs="Times New Roman"/>
          <w:sz w:val="22"/>
          <w:szCs w:val="22"/>
          <w:lang w:val="en-US"/>
        </w:rPr>
        <w:t>istory of PTCD, the hepaticojejunostomy were performed same as those in the internal drainage group. This double external pancreatic-biliary drainage device has been authorised by the State Intellectual Property Office of China (patent number: ZL2022221628</w:t>
      </w:r>
      <w:r>
        <w:rPr>
          <w:rFonts w:ascii="Times New Roman" w:hAnsi="Times New Roman" w:cs="Times New Roman"/>
          <w:sz w:val="22"/>
          <w:szCs w:val="22"/>
          <w:lang w:val="en-US"/>
        </w:rPr>
        <w:t>08.2).</w:t>
      </w:r>
    </w:p>
    <w:p w:rsidR="00AF0431" w:rsidRDefault="00AF0431">
      <w:pPr>
        <w:spacing w:line="480" w:lineRule="auto"/>
        <w:rPr>
          <w:rFonts w:ascii="Times New Roman" w:hAnsi="Times New Roman" w:cs="Times New Roman"/>
          <w:sz w:val="22"/>
          <w:szCs w:val="22"/>
          <w:lang w:val="en-US"/>
        </w:rPr>
      </w:pPr>
    </w:p>
    <w:p w:rsidR="00AF0431" w:rsidRDefault="003313DA">
      <w:pPr>
        <w:spacing w:line="480" w:lineRule="auto"/>
        <w:rPr>
          <w:rFonts w:ascii="Times New Roman" w:hAnsi="Times New Roman" w:cs="Times New Roman"/>
          <w:sz w:val="22"/>
          <w:szCs w:val="22"/>
          <w:lang w:val="en-US"/>
        </w:rPr>
      </w:pPr>
      <w:r>
        <w:rPr>
          <w:rFonts w:ascii="Times New Roman" w:hAnsi="Times New Roman" w:cs="Times New Roman"/>
          <w:b/>
          <w:bCs/>
          <w:sz w:val="22"/>
          <w:szCs w:val="22"/>
          <w:lang w:val="en-US"/>
        </w:rPr>
        <w:t>Data collection and management</w:t>
      </w:r>
    </w:p>
    <w:p w:rsidR="00AF0431" w:rsidRDefault="003313DA">
      <w:pPr>
        <w:spacing w:line="480" w:lineRule="auto"/>
        <w:rPr>
          <w:rFonts w:ascii="Times New Roman" w:eastAsia="SimSun" w:hAnsi="Times New Roman" w:cs="Times New Roman"/>
          <w:sz w:val="22"/>
          <w:szCs w:val="22"/>
          <w:lang w:val="en-US" w:eastAsia="zh-CN"/>
        </w:rPr>
      </w:pPr>
      <w:r>
        <w:rPr>
          <w:rFonts w:ascii="Times New Roman" w:hAnsi="Times New Roman" w:cs="Times New Roman"/>
          <w:sz w:val="22"/>
          <w:szCs w:val="22"/>
          <w:lang w:val="en-US"/>
        </w:rPr>
        <w:t xml:space="preserve">The data collection encompasses baseline characteristics, surgical details, pathological diagnosis, postoperative complications, hospitalisation duration and associated costs, adjuvant therapy, assessment of tumour </w:t>
      </w:r>
      <w:r>
        <w:rPr>
          <w:rFonts w:ascii="Times New Roman" w:hAnsi="Times New Roman" w:cs="Times New Roman"/>
          <w:sz w:val="22"/>
          <w:szCs w:val="22"/>
          <w:lang w:val="en-US"/>
        </w:rPr>
        <w:t>recurrence or metastasis, and long-term survival. The data management process at 6 centers follows the same procedure</w:t>
      </w:r>
      <w:r>
        <w:rPr>
          <w:rFonts w:ascii="Times New Roman" w:eastAsia="SimSun" w:hAnsi="Times New Roman" w:cs="Times New Roman" w:hint="eastAsia"/>
          <w:sz w:val="22"/>
          <w:szCs w:val="22"/>
          <w:lang w:val="en-US" w:eastAsia="zh-CN"/>
        </w:rPr>
        <w:t>. The specific date of visits, patient conditions, their past and present medications, and treatment details are essential for each visit r</w:t>
      </w:r>
      <w:r>
        <w:rPr>
          <w:rFonts w:ascii="Times New Roman" w:eastAsia="SimSun" w:hAnsi="Times New Roman" w:cs="Times New Roman" w:hint="eastAsia"/>
          <w:sz w:val="22"/>
          <w:szCs w:val="22"/>
          <w:lang w:val="en-US" w:eastAsia="zh-CN"/>
        </w:rPr>
        <w:t>ecord. Additionally, medical information obtained from phone calls and other sources also needs to be documented in the original medical records. To ensure professional documentation, the information contained in the original medical record should be promp</w:t>
      </w:r>
      <w:r>
        <w:rPr>
          <w:rFonts w:ascii="Times New Roman" w:eastAsia="SimSun" w:hAnsi="Times New Roman" w:cs="Times New Roman" w:hint="eastAsia"/>
          <w:sz w:val="22"/>
          <w:szCs w:val="22"/>
          <w:lang w:val="en-US" w:eastAsia="zh-CN"/>
        </w:rPr>
        <w:t>tly transcribed into the appropriate section of the CRF. If any modification to the original medical records, CRF, and other documents is made, it must be dated and signed by researchers or their designated personnel. And if necessary, a concise descriptio</w:t>
      </w:r>
      <w:r>
        <w:rPr>
          <w:rFonts w:ascii="Times New Roman" w:eastAsia="SimSun" w:hAnsi="Times New Roman" w:cs="Times New Roman" w:hint="eastAsia"/>
          <w:sz w:val="22"/>
          <w:szCs w:val="22"/>
          <w:lang w:val="en-US" w:eastAsia="zh-CN"/>
        </w:rPr>
        <w:t>n of the modification should be provided near the modification.</w:t>
      </w:r>
    </w:p>
    <w:p w:rsidR="00AF0431" w:rsidRDefault="00AF0431">
      <w:pPr>
        <w:spacing w:line="480" w:lineRule="auto"/>
        <w:rPr>
          <w:rFonts w:ascii="Times New Roman" w:eastAsia="SimSun" w:hAnsi="Times New Roman" w:cs="Times New Roman"/>
          <w:sz w:val="22"/>
          <w:szCs w:val="22"/>
          <w:lang w:val="en-US" w:eastAsia="zh-CN"/>
        </w:rPr>
      </w:pPr>
    </w:p>
    <w:p w:rsidR="00AF0431" w:rsidRDefault="003313DA">
      <w:pPr>
        <w:spacing w:line="480" w:lineRule="auto"/>
        <w:rPr>
          <w:rFonts w:ascii="Times New Roman" w:eastAsia="SimSun" w:hAnsi="Times New Roman" w:cs="Times New Roman"/>
          <w:sz w:val="22"/>
          <w:szCs w:val="22"/>
          <w:lang w:val="en-US" w:eastAsia="zh-CN"/>
        </w:rPr>
      </w:pPr>
      <w:r>
        <w:rPr>
          <w:rFonts w:ascii="Times New Roman" w:eastAsia="SimSun" w:hAnsi="Times New Roman" w:cs="Times New Roman" w:hint="eastAsia"/>
          <w:b/>
          <w:bCs/>
          <w:sz w:val="22"/>
          <w:szCs w:val="22"/>
          <w:lang w:val="en-US" w:eastAsia="zh-CN"/>
        </w:rPr>
        <w:t>Dissemination policy and confidentiality</w:t>
      </w:r>
    </w:p>
    <w:p w:rsidR="00AF0431" w:rsidRDefault="003313DA">
      <w:pPr>
        <w:spacing w:line="480" w:lineRule="auto"/>
        <w:rPr>
          <w:rFonts w:ascii="Times New Roman" w:eastAsia="SimSun" w:hAnsi="Times New Roman" w:cs="Times New Roman"/>
          <w:sz w:val="22"/>
          <w:szCs w:val="22"/>
          <w:lang w:val="en-US" w:eastAsia="zh-CN"/>
        </w:rPr>
      </w:pPr>
      <w:r>
        <w:rPr>
          <w:rFonts w:ascii="Times New Roman" w:eastAsia="SimSun" w:hAnsi="Times New Roman" w:cs="Times New Roman" w:hint="eastAsia"/>
          <w:sz w:val="22"/>
          <w:szCs w:val="22"/>
          <w:lang w:val="en-US" w:eastAsia="zh-CN"/>
        </w:rPr>
        <w:t>The research findings obtained from this study may be presented at international conferences and published in peer-reviewed medical journals, ensuring</w:t>
      </w:r>
      <w:r>
        <w:rPr>
          <w:rFonts w:ascii="Times New Roman" w:eastAsia="SimSun" w:hAnsi="Times New Roman" w:cs="Times New Roman" w:hint="eastAsia"/>
          <w:sz w:val="22"/>
          <w:szCs w:val="22"/>
          <w:lang w:val="en-US" w:eastAsia="zh-CN"/>
        </w:rPr>
        <w:t xml:space="preserve"> strict adherence to patient confidentiality as required by law. The personal information of patients will not be disclosed unless mandated by relevant legislation. When deemed necessary, the government management department and the hospital ethics committ</w:t>
      </w:r>
      <w:r>
        <w:rPr>
          <w:rFonts w:ascii="Times New Roman" w:eastAsia="SimSun" w:hAnsi="Times New Roman" w:cs="Times New Roman" w:hint="eastAsia"/>
          <w:sz w:val="22"/>
          <w:szCs w:val="22"/>
          <w:lang w:val="en-US" w:eastAsia="zh-CN"/>
        </w:rPr>
        <w:t xml:space="preserve">ee, along with their authorised personnel in charge, may access patient data in accordance with corresponding regulations. </w:t>
      </w:r>
    </w:p>
    <w:p w:rsidR="00AF0431" w:rsidRDefault="00AF0431">
      <w:pPr>
        <w:spacing w:line="480" w:lineRule="auto"/>
        <w:rPr>
          <w:rFonts w:ascii="Times New Roman" w:hAnsi="Times New Roman" w:cs="Times New Roman"/>
          <w:sz w:val="22"/>
          <w:szCs w:val="22"/>
          <w:lang w:val="en-US"/>
        </w:rPr>
        <w:sectPr w:rsidR="00AF0431">
          <w:pgSz w:w="11906" w:h="16838"/>
          <w:pgMar w:top="1440" w:right="1440" w:bottom="1440" w:left="1014" w:header="708" w:footer="708" w:gutter="0"/>
          <w:lnNumType w:countBy="1" w:restart="continuous"/>
          <w:cols w:space="708"/>
          <w:docGrid w:linePitch="360"/>
        </w:sectPr>
      </w:pPr>
    </w:p>
    <w:p w:rsidR="00AF0431" w:rsidRDefault="003313DA">
      <w:pPr>
        <w:rPr>
          <w:rFonts w:ascii="Times New Roman" w:hAnsi="Times New Roman" w:cs="Times New Roman"/>
          <w:b/>
          <w:bCs/>
          <w:sz w:val="22"/>
          <w:szCs w:val="22"/>
          <w:lang w:val="en-US"/>
        </w:rPr>
      </w:pPr>
      <w:r>
        <w:rPr>
          <w:rFonts w:ascii="Times New Roman" w:hAnsi="Times New Roman" w:cs="Times New Roman"/>
          <w:b/>
          <w:bCs/>
          <w:sz w:val="22"/>
          <w:szCs w:val="22"/>
          <w:lang w:val="en-US"/>
        </w:rPr>
        <w:lastRenderedPageBreak/>
        <w:t>Supplementary Figures and Tables</w:t>
      </w:r>
    </w:p>
    <w:p w:rsidR="00AF0431" w:rsidRDefault="00AF0431">
      <w:pPr>
        <w:rPr>
          <w:rFonts w:ascii="Times New Roman" w:hAnsi="Times New Roman" w:cs="Times New Roman"/>
          <w:b/>
          <w:bCs/>
          <w:sz w:val="22"/>
          <w:szCs w:val="22"/>
          <w:lang w:val="en-US"/>
        </w:rPr>
      </w:pPr>
    </w:p>
    <w:p w:rsidR="00AF0431" w:rsidRDefault="003313DA">
      <w:pPr>
        <w:rPr>
          <w:rFonts w:ascii="Times New Roman" w:hAnsi="Times New Roman" w:cs="Times New Roman"/>
          <w:sz w:val="22"/>
          <w:szCs w:val="22"/>
          <w:lang w:val="en-US"/>
        </w:rPr>
      </w:pPr>
      <w:r>
        <w:rPr>
          <w:rFonts w:ascii="Times New Roman" w:hAnsi="Times New Roman" w:cs="Times New Roman"/>
          <w:b/>
          <w:bCs/>
          <w:sz w:val="22"/>
          <w:szCs w:val="22"/>
          <w:lang w:val="en-US"/>
        </w:rPr>
        <w:t>Supplementary Figure 1.</w:t>
      </w:r>
      <w:r>
        <w:rPr>
          <w:rFonts w:ascii="Times New Roman" w:hAnsi="Times New Roman" w:cs="Times New Roman"/>
          <w:sz w:val="22"/>
          <w:szCs w:val="22"/>
          <w:lang w:val="en-US"/>
        </w:rPr>
        <w:t xml:space="preserve"> Placement of external drainage tubes.</w:t>
      </w:r>
    </w:p>
    <w:p w:rsidR="00AF0431" w:rsidRDefault="00AF0431">
      <w:pPr>
        <w:rPr>
          <w:rFonts w:ascii="Times New Roman" w:hAnsi="Times New Roman" w:cs="Times New Roman"/>
          <w:sz w:val="22"/>
          <w:szCs w:val="22"/>
          <w:lang w:val="en-US"/>
        </w:rPr>
      </w:pPr>
    </w:p>
    <w:p w:rsidR="00AF0431" w:rsidRDefault="00AF0431">
      <w:pPr>
        <w:rPr>
          <w:rFonts w:ascii="Times New Roman" w:hAnsi="Times New Roman" w:cs="Times New Roman"/>
          <w:sz w:val="22"/>
          <w:szCs w:val="22"/>
          <w:lang w:val="en-US"/>
        </w:rPr>
      </w:pPr>
    </w:p>
    <w:p w:rsidR="00AF0431" w:rsidRDefault="003313DA">
      <w:pPr>
        <w:rPr>
          <w:rFonts w:ascii="Times New Roman" w:eastAsia="SimSun" w:hAnsi="Times New Roman" w:cs="Times New Roman"/>
          <w:sz w:val="22"/>
          <w:szCs w:val="22"/>
          <w:lang w:val="en-US" w:eastAsia="zh-CN"/>
        </w:rPr>
      </w:pPr>
      <w:r>
        <w:rPr>
          <w:rFonts w:ascii="Times New Roman" w:eastAsia="SimSun" w:hAnsi="Times New Roman" w:cs="Times New Roman"/>
          <w:noProof/>
          <w:sz w:val="22"/>
          <w:szCs w:val="22"/>
          <w:lang w:val="en-GB" w:eastAsia="en-GB"/>
        </w:rPr>
        <w:drawing>
          <wp:inline distT="0" distB="0" distL="114300" distR="114300">
            <wp:extent cx="5142865" cy="6858000"/>
            <wp:effectExtent l="0" t="0" r="635" b="0"/>
            <wp:docPr id="2" name="图片 2" descr="Supplementary Figure_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Supplementary Figure_S1"/>
                    <pic:cNvPicPr>
                      <a:picLocks noChangeAspect="1"/>
                    </pic:cNvPicPr>
                  </pic:nvPicPr>
                  <pic:blipFill>
                    <a:blip r:embed="rId12"/>
                    <a:stretch>
                      <a:fillRect/>
                    </a:stretch>
                  </pic:blipFill>
                  <pic:spPr>
                    <a:xfrm>
                      <a:off x="0" y="0"/>
                      <a:ext cx="5142865" cy="6858000"/>
                    </a:xfrm>
                    <a:prstGeom prst="rect">
                      <a:avLst/>
                    </a:prstGeom>
                  </pic:spPr>
                </pic:pic>
              </a:graphicData>
            </a:graphic>
          </wp:inline>
        </w:drawing>
      </w:r>
    </w:p>
    <w:p w:rsidR="00AF0431" w:rsidRDefault="00AF0431">
      <w:pPr>
        <w:rPr>
          <w:rFonts w:ascii="Times New Roman" w:hAnsi="Times New Roman" w:cs="Times New Roman"/>
          <w:sz w:val="22"/>
          <w:szCs w:val="22"/>
          <w:lang w:val="en-US"/>
        </w:rPr>
        <w:sectPr w:rsidR="00AF0431">
          <w:pgSz w:w="11906" w:h="16838"/>
          <w:pgMar w:top="1440" w:right="1440" w:bottom="1440" w:left="1014" w:header="708" w:footer="708" w:gutter="0"/>
          <w:lnNumType w:countBy="1" w:restart="continuous"/>
          <w:cols w:space="708"/>
          <w:docGrid w:linePitch="360"/>
        </w:sectPr>
      </w:pPr>
    </w:p>
    <w:p w:rsidR="00AF0431" w:rsidRDefault="003313DA">
      <w:pPr>
        <w:rPr>
          <w:rFonts w:ascii="Times New Roman" w:hAnsi="Times New Roman" w:cs="Times New Roman"/>
          <w:sz w:val="22"/>
          <w:szCs w:val="22"/>
          <w:lang w:val="en-US"/>
        </w:rPr>
      </w:pPr>
      <w:r>
        <w:rPr>
          <w:rFonts w:ascii="Times New Roman" w:hAnsi="Times New Roman" w:cs="Times New Roman"/>
          <w:b/>
          <w:bCs/>
          <w:sz w:val="22"/>
          <w:szCs w:val="22"/>
          <w:lang w:val="en-US"/>
        </w:rPr>
        <w:lastRenderedPageBreak/>
        <w:t>Supplementary Table</w:t>
      </w:r>
      <w:r>
        <w:rPr>
          <w:rFonts w:ascii="Times New Roman" w:eastAsia="SimSun" w:hAnsi="Times New Roman" w:cs="Times New Roman"/>
          <w:b/>
          <w:bCs/>
          <w:sz w:val="22"/>
          <w:szCs w:val="22"/>
          <w:lang w:val="en-US" w:eastAsia="zh-CN"/>
        </w:rPr>
        <w:t xml:space="preserve"> </w:t>
      </w:r>
      <w:r>
        <w:rPr>
          <w:rFonts w:ascii="Times New Roman" w:hAnsi="Times New Roman" w:cs="Times New Roman"/>
          <w:b/>
          <w:bCs/>
          <w:sz w:val="22"/>
          <w:szCs w:val="22"/>
          <w:lang w:val="en-US"/>
        </w:rPr>
        <w:t>1</w:t>
      </w:r>
      <w:r>
        <w:rPr>
          <w:rFonts w:ascii="Times New Roman" w:eastAsia="SimSun" w:hAnsi="Times New Roman" w:cs="Times New Roman"/>
          <w:b/>
          <w:bCs/>
          <w:sz w:val="22"/>
          <w:szCs w:val="22"/>
          <w:lang w:val="en-US" w:eastAsia="zh-CN"/>
        </w:rPr>
        <w:t>.</w:t>
      </w:r>
      <w:r>
        <w:rPr>
          <w:rFonts w:ascii="Times New Roman" w:hAnsi="Times New Roman" w:cs="Times New Roman"/>
          <w:sz w:val="22"/>
          <w:szCs w:val="22"/>
          <w:lang w:val="en-US"/>
        </w:rPr>
        <w:t xml:space="preserve"> SPIRIT-Checklist</w:t>
      </w:r>
    </w:p>
    <w:p w:rsidR="00AF0431" w:rsidRDefault="003313DA">
      <w:pPr>
        <w:rPr>
          <w:rFonts w:ascii="Times New Roman" w:hAnsi="Times New Roman" w:cs="Times New Roman"/>
          <w:sz w:val="22"/>
          <w:szCs w:val="22"/>
          <w:lang w:val="en-US"/>
        </w:rPr>
      </w:pPr>
      <w:r>
        <w:rPr>
          <w:rFonts w:ascii="Times New Roman" w:hAnsi="Times New Roman" w:cs="Times New Roman"/>
          <w:noProof/>
          <w:sz w:val="22"/>
          <w:szCs w:val="22"/>
          <w:lang w:val="en-GB" w:eastAsia="en-GB"/>
        </w:rPr>
        <w:drawing>
          <wp:anchor distT="0" distB="0" distL="114300" distR="114300" simplePos="0" relativeHeight="251659264" behindDoc="0" locked="0" layoutInCell="1" allowOverlap="1">
            <wp:simplePos x="0" y="0"/>
            <wp:positionH relativeFrom="margin">
              <wp:posOffset>1183005</wp:posOffset>
            </wp:positionH>
            <wp:positionV relativeFrom="margin">
              <wp:posOffset>177800</wp:posOffset>
            </wp:positionV>
            <wp:extent cx="3453130" cy="710565"/>
            <wp:effectExtent l="0" t="0" r="1270" b="635"/>
            <wp:wrapSquare wrapText="bothSides"/>
            <wp:docPr id="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pic:cNvPicPr>
                      <a:picLocks noChangeAspect="1"/>
                    </pic:cNvPicPr>
                  </pic:nvPicPr>
                  <pic:blipFill>
                    <a:blip r:embed="rId13"/>
                    <a:stretch>
                      <a:fillRect/>
                    </a:stretch>
                  </pic:blipFill>
                  <pic:spPr>
                    <a:xfrm>
                      <a:off x="0" y="0"/>
                      <a:ext cx="3453130" cy="710565"/>
                    </a:xfrm>
                    <a:prstGeom prst="rect">
                      <a:avLst/>
                    </a:prstGeom>
                    <a:noFill/>
                    <a:ln>
                      <a:noFill/>
                    </a:ln>
                  </pic:spPr>
                </pic:pic>
              </a:graphicData>
            </a:graphic>
          </wp:anchor>
        </w:drawing>
      </w:r>
    </w:p>
    <w:p w:rsidR="00AF0431" w:rsidRDefault="00AF0431">
      <w:pPr>
        <w:rPr>
          <w:rFonts w:ascii="Times New Roman" w:hAnsi="Times New Roman" w:cs="Times New Roman"/>
          <w:sz w:val="22"/>
          <w:szCs w:val="22"/>
          <w:lang w:val="en-US"/>
        </w:rPr>
      </w:pPr>
    </w:p>
    <w:p w:rsidR="00AF0431" w:rsidRDefault="00AF0431">
      <w:pPr>
        <w:rPr>
          <w:rFonts w:ascii="Times New Roman" w:hAnsi="Times New Roman" w:cs="Times New Roman"/>
          <w:sz w:val="22"/>
          <w:szCs w:val="22"/>
          <w:lang w:val="en-US"/>
        </w:rPr>
      </w:pPr>
    </w:p>
    <w:p w:rsidR="00AF0431" w:rsidRDefault="00AF0431">
      <w:pPr>
        <w:rPr>
          <w:rFonts w:ascii="Times New Roman" w:hAnsi="Times New Roman" w:cs="Times New Roman"/>
          <w:sz w:val="22"/>
          <w:szCs w:val="22"/>
          <w:lang w:val="en-US"/>
        </w:rPr>
      </w:pPr>
    </w:p>
    <w:p w:rsidR="00AF0431" w:rsidRDefault="00AF0431">
      <w:pPr>
        <w:rPr>
          <w:rFonts w:ascii="Times New Roman" w:hAnsi="Times New Roman" w:cs="Times New Roman"/>
          <w:sz w:val="22"/>
          <w:szCs w:val="22"/>
          <w:lang w:val="en-US"/>
        </w:rPr>
      </w:pPr>
    </w:p>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SPIRIT 2013 Checklist: Recommended items to address in a clinical trial protocol and related documents*</w:t>
      </w:r>
    </w:p>
    <w:tbl>
      <w:tblPr>
        <w:tblW w:w="4998" w:type="pct"/>
        <w:tblCellMar>
          <w:left w:w="56" w:type="dxa"/>
          <w:right w:w="56" w:type="dxa"/>
        </w:tblCellMar>
        <w:tblLook w:val="04A0" w:firstRow="1" w:lastRow="0" w:firstColumn="1" w:lastColumn="0" w:noHBand="0" w:noVBand="1"/>
      </w:tblPr>
      <w:tblGrid>
        <w:gridCol w:w="1505"/>
        <w:gridCol w:w="785"/>
        <w:gridCol w:w="5273"/>
        <w:gridCol w:w="1885"/>
      </w:tblGrid>
      <w:tr w:rsidR="00AF0431">
        <w:trPr>
          <w:cantSplit/>
          <w:trHeight w:val="259"/>
        </w:trPr>
        <w:tc>
          <w:tcPr>
            <w:tcW w:w="650" w:type="pct"/>
            <w:tcBorders>
              <w:top w:val="single" w:sz="4" w:space="0" w:color="auto"/>
              <w:bottom w:val="single" w:sz="4" w:space="0" w:color="auto"/>
            </w:tcBorders>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Section/item</w:t>
            </w:r>
          </w:p>
        </w:tc>
        <w:tc>
          <w:tcPr>
            <w:tcW w:w="295" w:type="pct"/>
            <w:tcBorders>
              <w:top w:val="single" w:sz="4" w:space="0" w:color="auto"/>
              <w:bottom w:val="single" w:sz="4" w:space="0" w:color="auto"/>
            </w:tcBorders>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ItemNo</w:t>
            </w:r>
          </w:p>
        </w:tc>
        <w:tc>
          <w:tcPr>
            <w:tcW w:w="2923" w:type="pct"/>
            <w:tcBorders>
              <w:top w:val="single" w:sz="4" w:space="0" w:color="auto"/>
              <w:bottom w:val="single" w:sz="4" w:space="0" w:color="auto"/>
            </w:tcBorders>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Description</w:t>
            </w:r>
          </w:p>
        </w:tc>
        <w:tc>
          <w:tcPr>
            <w:tcW w:w="1131" w:type="pct"/>
            <w:tcBorders>
              <w:top w:val="single" w:sz="4" w:space="0" w:color="auto"/>
              <w:bottom w:val="single" w:sz="4" w:space="0" w:color="auto"/>
            </w:tcBorders>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Addressed on page number</w:t>
            </w:r>
          </w:p>
        </w:tc>
      </w:tr>
      <w:tr w:rsidR="00AF0431">
        <w:trPr>
          <w:cantSplit/>
          <w:trHeight w:val="259"/>
        </w:trPr>
        <w:tc>
          <w:tcPr>
            <w:tcW w:w="3868" w:type="pct"/>
            <w:gridSpan w:val="3"/>
            <w:tcBorders>
              <w:top w:val="single" w:sz="4" w:space="0" w:color="auto"/>
            </w:tcBorders>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Administrative information</w:t>
            </w:r>
          </w:p>
        </w:tc>
        <w:tc>
          <w:tcPr>
            <w:tcW w:w="1131" w:type="pct"/>
            <w:tcBorders>
              <w:top w:val="single" w:sz="4" w:space="0" w:color="auto"/>
            </w:tcBorders>
            <w:tcMar>
              <w:top w:w="85" w:type="dxa"/>
              <w:bottom w:w="85" w:type="dxa"/>
            </w:tcMar>
          </w:tcPr>
          <w:p w:rsidR="00AF0431" w:rsidRDefault="00AF0431">
            <w:pPr>
              <w:rPr>
                <w:rFonts w:ascii="Times New Roman" w:hAnsi="Times New Roman" w:cs="Times New Roman"/>
                <w:sz w:val="22"/>
                <w:szCs w:val="22"/>
                <w:lang w:val="en-US"/>
              </w:rPr>
            </w:pPr>
          </w:p>
        </w:tc>
      </w:tr>
      <w:tr w:rsidR="00AF0431">
        <w:trPr>
          <w:cantSplit/>
          <w:trHeight w:val="259"/>
        </w:trPr>
        <w:tc>
          <w:tcPr>
            <w:tcW w:w="650" w:type="pct"/>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Title</w:t>
            </w:r>
          </w:p>
        </w:tc>
        <w:tc>
          <w:tcPr>
            <w:tcW w:w="295" w:type="pct"/>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1</w:t>
            </w:r>
          </w:p>
        </w:tc>
        <w:tc>
          <w:tcPr>
            <w:tcW w:w="2923" w:type="pct"/>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Descriptive title identifying the study design, population, interventions, and, if applicable, trial acronym</w:t>
            </w:r>
          </w:p>
        </w:tc>
        <w:tc>
          <w:tcPr>
            <w:tcW w:w="1131" w:type="pct"/>
          </w:tcPr>
          <w:p w:rsidR="00AF0431" w:rsidRDefault="003313DA">
            <w:pPr>
              <w:rPr>
                <w:rFonts w:ascii="Times New Roman" w:hAnsi="Times New Roman" w:cs="Times New Roman"/>
                <w:sz w:val="22"/>
                <w:szCs w:val="22"/>
                <w:lang w:val="en-US" w:eastAsia="zh-CN"/>
              </w:rPr>
            </w:pPr>
            <w:r>
              <w:rPr>
                <w:rFonts w:ascii="Times New Roman" w:hAnsi="Times New Roman" w:cs="Times New Roman"/>
                <w:sz w:val="22"/>
                <w:szCs w:val="22"/>
                <w:lang w:val="en-US" w:eastAsia="zh-CN"/>
              </w:rPr>
              <w:t>1</w:t>
            </w:r>
          </w:p>
        </w:tc>
      </w:tr>
      <w:tr w:rsidR="00AF0431">
        <w:trPr>
          <w:cantSplit/>
          <w:trHeight w:val="259"/>
        </w:trPr>
        <w:tc>
          <w:tcPr>
            <w:tcW w:w="650" w:type="pct"/>
            <w:vMerge w:val="restart"/>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Trial registration</w:t>
            </w:r>
          </w:p>
        </w:tc>
        <w:tc>
          <w:tcPr>
            <w:tcW w:w="295" w:type="pct"/>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2a</w:t>
            </w:r>
          </w:p>
        </w:tc>
        <w:tc>
          <w:tcPr>
            <w:tcW w:w="2923" w:type="pct"/>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Trial identifier and registry name. If not yet registered, name of intended registry</w:t>
            </w:r>
          </w:p>
        </w:tc>
        <w:tc>
          <w:tcPr>
            <w:tcW w:w="1131" w:type="pct"/>
          </w:tcPr>
          <w:p w:rsidR="00AF0431" w:rsidRDefault="003313DA">
            <w:pPr>
              <w:rPr>
                <w:rFonts w:ascii="Times New Roman" w:hAnsi="Times New Roman" w:cs="Times New Roman"/>
                <w:sz w:val="22"/>
                <w:szCs w:val="22"/>
                <w:lang w:val="en-US" w:eastAsia="zh-CN"/>
              </w:rPr>
            </w:pPr>
            <w:r>
              <w:rPr>
                <w:rFonts w:ascii="Times New Roman" w:hAnsi="Times New Roman" w:cs="Times New Roman"/>
                <w:sz w:val="22"/>
                <w:szCs w:val="22"/>
                <w:lang w:val="en-US" w:eastAsia="zh-CN"/>
              </w:rPr>
              <w:t>5</w:t>
            </w:r>
          </w:p>
        </w:tc>
      </w:tr>
      <w:tr w:rsidR="00AF0431">
        <w:trPr>
          <w:cantSplit/>
          <w:trHeight w:val="259"/>
        </w:trPr>
        <w:tc>
          <w:tcPr>
            <w:tcW w:w="650" w:type="pct"/>
            <w:vMerge/>
            <w:tcMar>
              <w:top w:w="85" w:type="dxa"/>
              <w:bottom w:w="85" w:type="dxa"/>
            </w:tcMar>
          </w:tcPr>
          <w:p w:rsidR="00AF0431" w:rsidRDefault="00AF0431">
            <w:pPr>
              <w:rPr>
                <w:rFonts w:ascii="Times New Roman" w:hAnsi="Times New Roman" w:cs="Times New Roman"/>
                <w:sz w:val="22"/>
                <w:szCs w:val="22"/>
                <w:lang w:val="en-US"/>
              </w:rPr>
            </w:pPr>
          </w:p>
        </w:tc>
        <w:tc>
          <w:tcPr>
            <w:tcW w:w="295" w:type="pct"/>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2b</w:t>
            </w:r>
          </w:p>
        </w:tc>
        <w:tc>
          <w:tcPr>
            <w:tcW w:w="2923" w:type="pct"/>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 xml:space="preserve">All items from the </w:t>
            </w:r>
            <w:r>
              <w:rPr>
                <w:rFonts w:ascii="Times New Roman" w:hAnsi="Times New Roman" w:cs="Times New Roman"/>
                <w:sz w:val="22"/>
                <w:szCs w:val="22"/>
                <w:lang w:val="en-US"/>
              </w:rPr>
              <w:t>World Health Organization Trial Registration Data Set</w:t>
            </w:r>
          </w:p>
        </w:tc>
        <w:tc>
          <w:tcPr>
            <w:tcW w:w="1131" w:type="pct"/>
          </w:tcPr>
          <w:p w:rsidR="00AF0431" w:rsidRDefault="003313DA">
            <w:pPr>
              <w:rPr>
                <w:rFonts w:ascii="Times New Roman" w:hAnsi="Times New Roman" w:cs="Times New Roman"/>
                <w:sz w:val="22"/>
                <w:szCs w:val="22"/>
                <w:lang w:val="en-US" w:eastAsia="zh-CN"/>
              </w:rPr>
            </w:pPr>
            <w:r>
              <w:rPr>
                <w:rFonts w:ascii="Times New Roman" w:hAnsi="Times New Roman" w:cs="Times New Roman"/>
                <w:sz w:val="22"/>
                <w:szCs w:val="22"/>
                <w:lang w:val="en-US" w:eastAsia="zh-CN"/>
              </w:rPr>
              <w:t>Registered in ClinicalTrials.gov</w:t>
            </w:r>
          </w:p>
        </w:tc>
      </w:tr>
      <w:tr w:rsidR="00AF0431">
        <w:trPr>
          <w:cantSplit/>
          <w:trHeight w:val="259"/>
        </w:trPr>
        <w:tc>
          <w:tcPr>
            <w:tcW w:w="650" w:type="pct"/>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Protocol version</w:t>
            </w:r>
          </w:p>
        </w:tc>
        <w:tc>
          <w:tcPr>
            <w:tcW w:w="295" w:type="pct"/>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3</w:t>
            </w:r>
          </w:p>
        </w:tc>
        <w:tc>
          <w:tcPr>
            <w:tcW w:w="2923" w:type="pct"/>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Date and version identifier</w:t>
            </w:r>
          </w:p>
        </w:tc>
        <w:tc>
          <w:tcPr>
            <w:tcW w:w="1131" w:type="pct"/>
            <w:tcMar>
              <w:top w:w="85" w:type="dxa"/>
              <w:bottom w:w="85" w:type="dxa"/>
            </w:tcMar>
          </w:tcPr>
          <w:p w:rsidR="00AF0431" w:rsidRDefault="003313DA">
            <w:pPr>
              <w:rPr>
                <w:rFonts w:ascii="Times New Roman" w:hAnsi="Times New Roman" w:cs="Times New Roman"/>
                <w:sz w:val="22"/>
                <w:szCs w:val="22"/>
                <w:lang w:val="en-US" w:eastAsia="zh-CN"/>
              </w:rPr>
            </w:pPr>
            <w:r>
              <w:rPr>
                <w:rFonts w:ascii="Times New Roman" w:hAnsi="Times New Roman" w:cs="Times New Roman"/>
                <w:sz w:val="22"/>
                <w:szCs w:val="22"/>
                <w:lang w:val="en-US" w:eastAsia="zh-CN"/>
              </w:rPr>
              <w:t>8</w:t>
            </w:r>
          </w:p>
        </w:tc>
      </w:tr>
      <w:tr w:rsidR="00AF0431">
        <w:trPr>
          <w:cantSplit/>
          <w:trHeight w:val="259"/>
        </w:trPr>
        <w:tc>
          <w:tcPr>
            <w:tcW w:w="650" w:type="pct"/>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Funding</w:t>
            </w:r>
          </w:p>
        </w:tc>
        <w:tc>
          <w:tcPr>
            <w:tcW w:w="295" w:type="pct"/>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4</w:t>
            </w:r>
          </w:p>
        </w:tc>
        <w:tc>
          <w:tcPr>
            <w:tcW w:w="2923" w:type="pct"/>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Sources and types of financial, material, and other support</w:t>
            </w:r>
          </w:p>
        </w:tc>
        <w:tc>
          <w:tcPr>
            <w:tcW w:w="1131" w:type="pct"/>
            <w:tcMar>
              <w:top w:w="85" w:type="dxa"/>
              <w:bottom w:w="85" w:type="dxa"/>
            </w:tcMar>
          </w:tcPr>
          <w:p w:rsidR="00AF0431" w:rsidRDefault="003313DA">
            <w:pPr>
              <w:rPr>
                <w:rFonts w:ascii="Times New Roman" w:hAnsi="Times New Roman" w:cs="Times New Roman"/>
                <w:sz w:val="22"/>
                <w:szCs w:val="22"/>
                <w:lang w:val="en-US" w:eastAsia="zh-CN"/>
              </w:rPr>
            </w:pPr>
            <w:r>
              <w:rPr>
                <w:rFonts w:ascii="Times New Roman" w:hAnsi="Times New Roman" w:cs="Times New Roman"/>
                <w:sz w:val="22"/>
                <w:szCs w:val="22"/>
                <w:lang w:val="en-US" w:eastAsia="zh-CN"/>
              </w:rPr>
              <w:t>2</w:t>
            </w:r>
          </w:p>
        </w:tc>
      </w:tr>
      <w:tr w:rsidR="00AF0431">
        <w:trPr>
          <w:cantSplit/>
          <w:trHeight w:val="259"/>
        </w:trPr>
        <w:tc>
          <w:tcPr>
            <w:tcW w:w="650" w:type="pct"/>
            <w:vMerge w:val="restart"/>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Roles and responsibilities</w:t>
            </w:r>
          </w:p>
        </w:tc>
        <w:tc>
          <w:tcPr>
            <w:tcW w:w="295" w:type="pct"/>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5a</w:t>
            </w:r>
          </w:p>
        </w:tc>
        <w:tc>
          <w:tcPr>
            <w:tcW w:w="2923" w:type="pct"/>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 xml:space="preserve">Names, </w:t>
            </w:r>
            <w:r>
              <w:rPr>
                <w:rFonts w:ascii="Times New Roman" w:hAnsi="Times New Roman" w:cs="Times New Roman"/>
                <w:sz w:val="22"/>
                <w:szCs w:val="22"/>
                <w:lang w:val="en-US"/>
              </w:rPr>
              <w:t>affiliations, and roles of protocol contributors</w:t>
            </w:r>
          </w:p>
        </w:tc>
        <w:tc>
          <w:tcPr>
            <w:tcW w:w="1131" w:type="pct"/>
          </w:tcPr>
          <w:p w:rsidR="00AF0431" w:rsidRDefault="003313DA">
            <w:pPr>
              <w:rPr>
                <w:rFonts w:ascii="Times New Roman" w:hAnsi="Times New Roman" w:cs="Times New Roman"/>
                <w:sz w:val="22"/>
                <w:szCs w:val="22"/>
                <w:lang w:val="en-US" w:eastAsia="zh-CN"/>
              </w:rPr>
            </w:pPr>
            <w:r>
              <w:rPr>
                <w:rFonts w:ascii="Times New Roman" w:hAnsi="Times New Roman" w:cs="Times New Roman"/>
                <w:sz w:val="22"/>
                <w:szCs w:val="22"/>
                <w:lang w:val="en-US" w:eastAsia="zh-CN"/>
              </w:rPr>
              <w:t>1-2</w:t>
            </w:r>
          </w:p>
        </w:tc>
      </w:tr>
      <w:tr w:rsidR="00AF0431">
        <w:trPr>
          <w:cantSplit/>
          <w:trHeight w:val="293"/>
        </w:trPr>
        <w:tc>
          <w:tcPr>
            <w:tcW w:w="650" w:type="pct"/>
            <w:vMerge/>
            <w:tcMar>
              <w:top w:w="85" w:type="dxa"/>
              <w:bottom w:w="85" w:type="dxa"/>
            </w:tcMar>
          </w:tcPr>
          <w:p w:rsidR="00AF0431" w:rsidRDefault="00AF0431">
            <w:pPr>
              <w:rPr>
                <w:rFonts w:ascii="Times New Roman" w:hAnsi="Times New Roman" w:cs="Times New Roman"/>
                <w:sz w:val="22"/>
                <w:szCs w:val="22"/>
                <w:lang w:val="en-US"/>
              </w:rPr>
            </w:pPr>
          </w:p>
        </w:tc>
        <w:tc>
          <w:tcPr>
            <w:tcW w:w="295" w:type="pct"/>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5b</w:t>
            </w:r>
          </w:p>
        </w:tc>
        <w:tc>
          <w:tcPr>
            <w:tcW w:w="2923" w:type="pct"/>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Name and contact information for the trial sponsor</w:t>
            </w:r>
          </w:p>
        </w:tc>
        <w:tc>
          <w:tcPr>
            <w:tcW w:w="1131" w:type="pct"/>
          </w:tcPr>
          <w:p w:rsidR="00AF0431" w:rsidRDefault="003313DA">
            <w:pPr>
              <w:rPr>
                <w:rFonts w:ascii="Times New Roman" w:hAnsi="Times New Roman" w:cs="Times New Roman"/>
                <w:sz w:val="22"/>
                <w:szCs w:val="22"/>
                <w:lang w:val="en-US" w:eastAsia="zh-CN"/>
              </w:rPr>
            </w:pPr>
            <w:r>
              <w:rPr>
                <w:rFonts w:ascii="Times New Roman" w:hAnsi="Times New Roman" w:cs="Times New Roman"/>
                <w:sz w:val="22"/>
                <w:szCs w:val="22"/>
                <w:lang w:val="en-US" w:eastAsia="zh-CN"/>
              </w:rPr>
              <w:t>2</w:t>
            </w:r>
          </w:p>
        </w:tc>
      </w:tr>
      <w:tr w:rsidR="00AF0431">
        <w:trPr>
          <w:cantSplit/>
          <w:trHeight w:val="259"/>
        </w:trPr>
        <w:tc>
          <w:tcPr>
            <w:tcW w:w="650" w:type="pct"/>
            <w:tcMar>
              <w:top w:w="85" w:type="dxa"/>
              <w:bottom w:w="85" w:type="dxa"/>
            </w:tcMar>
          </w:tcPr>
          <w:p w:rsidR="00AF0431" w:rsidRDefault="00AF0431">
            <w:pPr>
              <w:rPr>
                <w:rFonts w:ascii="Times New Roman" w:hAnsi="Times New Roman" w:cs="Times New Roman"/>
                <w:sz w:val="22"/>
                <w:szCs w:val="22"/>
                <w:lang w:val="en-US"/>
              </w:rPr>
            </w:pPr>
          </w:p>
        </w:tc>
        <w:tc>
          <w:tcPr>
            <w:tcW w:w="295" w:type="pct"/>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5c</w:t>
            </w:r>
          </w:p>
        </w:tc>
        <w:tc>
          <w:tcPr>
            <w:tcW w:w="2923" w:type="pct"/>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 xml:space="preserve">Role of study sponsor and funders, if any, in study design; collection, management, analysis, and interpretation of data; writing of the </w:t>
            </w:r>
            <w:r>
              <w:rPr>
                <w:rFonts w:ascii="Times New Roman" w:hAnsi="Times New Roman" w:cs="Times New Roman"/>
                <w:sz w:val="22"/>
                <w:szCs w:val="22"/>
                <w:lang w:val="en-US"/>
              </w:rPr>
              <w:t>report; and the decision to submit the report for publication, including whether they will have ultimate authority over any of these activities</w:t>
            </w:r>
          </w:p>
        </w:tc>
        <w:tc>
          <w:tcPr>
            <w:tcW w:w="1131" w:type="pct"/>
          </w:tcPr>
          <w:p w:rsidR="00AF0431" w:rsidRDefault="003313DA">
            <w:pPr>
              <w:rPr>
                <w:rFonts w:ascii="Times New Roman" w:hAnsi="Times New Roman" w:cs="Times New Roman"/>
                <w:sz w:val="22"/>
                <w:szCs w:val="22"/>
                <w:lang w:val="en-US" w:eastAsia="zh-CN"/>
              </w:rPr>
            </w:pPr>
            <w:r>
              <w:rPr>
                <w:rFonts w:ascii="Times New Roman" w:hAnsi="Times New Roman" w:cs="Times New Roman"/>
                <w:sz w:val="22"/>
                <w:szCs w:val="22"/>
                <w:lang w:val="en-US" w:eastAsia="zh-CN"/>
              </w:rPr>
              <w:t>3</w:t>
            </w:r>
          </w:p>
        </w:tc>
      </w:tr>
      <w:tr w:rsidR="00AF0431">
        <w:trPr>
          <w:cantSplit/>
          <w:trHeight w:val="259"/>
        </w:trPr>
        <w:tc>
          <w:tcPr>
            <w:tcW w:w="650" w:type="pct"/>
            <w:tcMar>
              <w:top w:w="85" w:type="dxa"/>
              <w:bottom w:w="85" w:type="dxa"/>
            </w:tcMar>
          </w:tcPr>
          <w:p w:rsidR="00AF0431" w:rsidRDefault="00AF0431">
            <w:pPr>
              <w:rPr>
                <w:rFonts w:ascii="Times New Roman" w:hAnsi="Times New Roman" w:cs="Times New Roman"/>
                <w:sz w:val="22"/>
                <w:szCs w:val="22"/>
                <w:lang w:val="en-US"/>
              </w:rPr>
            </w:pPr>
          </w:p>
        </w:tc>
        <w:tc>
          <w:tcPr>
            <w:tcW w:w="295" w:type="pct"/>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5d</w:t>
            </w:r>
          </w:p>
        </w:tc>
        <w:tc>
          <w:tcPr>
            <w:tcW w:w="2923" w:type="pct"/>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Composition, roles, and responsibilities of the coordinating centre, steering committee, endpoint adjudic</w:t>
            </w:r>
            <w:r>
              <w:rPr>
                <w:rFonts w:ascii="Times New Roman" w:hAnsi="Times New Roman" w:cs="Times New Roman"/>
                <w:sz w:val="22"/>
                <w:szCs w:val="22"/>
                <w:lang w:val="en-US"/>
              </w:rPr>
              <w:t>ation committee, data management team, and other individuals or groups overseeing the trial, if applicable (see Item 21a for data monitoring committee)</w:t>
            </w:r>
          </w:p>
        </w:tc>
        <w:tc>
          <w:tcPr>
            <w:tcW w:w="1131" w:type="pct"/>
          </w:tcPr>
          <w:p w:rsidR="00AF0431" w:rsidRDefault="003313DA">
            <w:pPr>
              <w:rPr>
                <w:rFonts w:ascii="Times New Roman" w:hAnsi="Times New Roman" w:cs="Times New Roman"/>
                <w:sz w:val="22"/>
                <w:szCs w:val="22"/>
                <w:lang w:val="en-US" w:eastAsia="zh-CN"/>
              </w:rPr>
            </w:pPr>
            <w:r>
              <w:rPr>
                <w:rFonts w:ascii="Times New Roman" w:hAnsi="Times New Roman" w:cs="Times New Roman"/>
                <w:sz w:val="22"/>
                <w:szCs w:val="22"/>
                <w:lang w:val="en-US" w:eastAsia="zh-CN"/>
              </w:rPr>
              <w:t>Not applicable</w:t>
            </w:r>
          </w:p>
        </w:tc>
      </w:tr>
      <w:tr w:rsidR="00AF0431">
        <w:trPr>
          <w:cantSplit/>
          <w:trHeight w:val="259"/>
        </w:trPr>
        <w:tc>
          <w:tcPr>
            <w:tcW w:w="650" w:type="pct"/>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Introduction</w:t>
            </w:r>
          </w:p>
        </w:tc>
        <w:tc>
          <w:tcPr>
            <w:tcW w:w="295" w:type="pct"/>
          </w:tcPr>
          <w:p w:rsidR="00AF0431" w:rsidRDefault="00AF0431">
            <w:pPr>
              <w:rPr>
                <w:rFonts w:ascii="Times New Roman" w:hAnsi="Times New Roman" w:cs="Times New Roman"/>
                <w:sz w:val="22"/>
                <w:szCs w:val="22"/>
                <w:lang w:val="en-US"/>
              </w:rPr>
            </w:pPr>
          </w:p>
        </w:tc>
        <w:tc>
          <w:tcPr>
            <w:tcW w:w="2923" w:type="pct"/>
          </w:tcPr>
          <w:p w:rsidR="00AF0431" w:rsidRDefault="00AF0431">
            <w:pPr>
              <w:rPr>
                <w:rFonts w:ascii="Times New Roman" w:hAnsi="Times New Roman" w:cs="Times New Roman"/>
                <w:sz w:val="22"/>
                <w:szCs w:val="22"/>
                <w:lang w:val="en-US"/>
              </w:rPr>
            </w:pPr>
          </w:p>
        </w:tc>
        <w:tc>
          <w:tcPr>
            <w:tcW w:w="1131" w:type="pct"/>
          </w:tcPr>
          <w:p w:rsidR="00AF0431" w:rsidRDefault="00AF0431">
            <w:pPr>
              <w:rPr>
                <w:rFonts w:ascii="Times New Roman" w:hAnsi="Times New Roman" w:cs="Times New Roman"/>
                <w:sz w:val="22"/>
                <w:szCs w:val="22"/>
                <w:lang w:val="en-US"/>
              </w:rPr>
            </w:pPr>
          </w:p>
        </w:tc>
      </w:tr>
      <w:tr w:rsidR="00AF0431">
        <w:trPr>
          <w:cantSplit/>
          <w:trHeight w:val="259"/>
        </w:trPr>
        <w:tc>
          <w:tcPr>
            <w:tcW w:w="650" w:type="pct"/>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Background and rationale</w:t>
            </w:r>
          </w:p>
        </w:tc>
        <w:tc>
          <w:tcPr>
            <w:tcW w:w="295" w:type="pct"/>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6a</w:t>
            </w:r>
          </w:p>
        </w:tc>
        <w:tc>
          <w:tcPr>
            <w:tcW w:w="2923" w:type="pct"/>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 xml:space="preserve">Description of research question and </w:t>
            </w:r>
            <w:r>
              <w:rPr>
                <w:rFonts w:ascii="Times New Roman" w:hAnsi="Times New Roman" w:cs="Times New Roman"/>
                <w:sz w:val="22"/>
                <w:szCs w:val="22"/>
                <w:lang w:val="en-US"/>
              </w:rPr>
              <w:t>justification for undertaking the trial, including summary of relevant studies (published and unpublished) examining benefits and harms for each intervention</w:t>
            </w:r>
          </w:p>
        </w:tc>
        <w:tc>
          <w:tcPr>
            <w:tcW w:w="1131" w:type="pct"/>
            <w:tcMar>
              <w:top w:w="85" w:type="dxa"/>
              <w:bottom w:w="85" w:type="dxa"/>
            </w:tcMar>
          </w:tcPr>
          <w:p w:rsidR="00AF0431" w:rsidRDefault="003313DA">
            <w:pPr>
              <w:rPr>
                <w:rFonts w:ascii="Times New Roman" w:hAnsi="Times New Roman" w:cs="Times New Roman"/>
                <w:sz w:val="22"/>
                <w:szCs w:val="22"/>
                <w:lang w:val="en-US" w:eastAsia="zh-CN"/>
              </w:rPr>
            </w:pPr>
            <w:r>
              <w:rPr>
                <w:rFonts w:ascii="Times New Roman" w:hAnsi="Times New Roman" w:cs="Times New Roman"/>
                <w:sz w:val="22"/>
                <w:szCs w:val="22"/>
                <w:lang w:val="en-US" w:eastAsia="zh-CN"/>
              </w:rPr>
              <w:t>5-7</w:t>
            </w:r>
          </w:p>
        </w:tc>
      </w:tr>
      <w:tr w:rsidR="00AF0431">
        <w:trPr>
          <w:cantSplit/>
          <w:trHeight w:val="259"/>
        </w:trPr>
        <w:tc>
          <w:tcPr>
            <w:tcW w:w="650" w:type="pct"/>
            <w:tcMar>
              <w:top w:w="85" w:type="dxa"/>
              <w:bottom w:w="85" w:type="dxa"/>
            </w:tcMar>
          </w:tcPr>
          <w:p w:rsidR="00AF0431" w:rsidRDefault="00AF0431">
            <w:pPr>
              <w:rPr>
                <w:rFonts w:ascii="Times New Roman" w:hAnsi="Times New Roman" w:cs="Times New Roman"/>
                <w:sz w:val="22"/>
                <w:szCs w:val="22"/>
                <w:lang w:val="en-US"/>
              </w:rPr>
            </w:pPr>
          </w:p>
        </w:tc>
        <w:tc>
          <w:tcPr>
            <w:tcW w:w="295" w:type="pct"/>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6b</w:t>
            </w:r>
          </w:p>
        </w:tc>
        <w:tc>
          <w:tcPr>
            <w:tcW w:w="2923" w:type="pct"/>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Explanation for choice of comparators</w:t>
            </w:r>
          </w:p>
        </w:tc>
        <w:tc>
          <w:tcPr>
            <w:tcW w:w="1131" w:type="pct"/>
            <w:tcMar>
              <w:top w:w="85" w:type="dxa"/>
              <w:bottom w:w="85" w:type="dxa"/>
            </w:tcMar>
          </w:tcPr>
          <w:p w:rsidR="00AF0431" w:rsidRDefault="003313DA">
            <w:pPr>
              <w:rPr>
                <w:rFonts w:ascii="Times New Roman" w:hAnsi="Times New Roman" w:cs="Times New Roman"/>
                <w:sz w:val="22"/>
                <w:szCs w:val="22"/>
                <w:lang w:val="en-US" w:eastAsia="zh-CN"/>
              </w:rPr>
            </w:pPr>
            <w:r>
              <w:rPr>
                <w:rFonts w:ascii="Times New Roman" w:hAnsi="Times New Roman" w:cs="Times New Roman"/>
                <w:sz w:val="22"/>
                <w:szCs w:val="22"/>
                <w:lang w:val="en-US" w:eastAsia="zh-CN"/>
              </w:rPr>
              <w:t>6-7</w:t>
            </w:r>
          </w:p>
        </w:tc>
      </w:tr>
      <w:tr w:rsidR="00AF0431">
        <w:trPr>
          <w:cantSplit/>
          <w:trHeight w:val="259"/>
        </w:trPr>
        <w:tc>
          <w:tcPr>
            <w:tcW w:w="650" w:type="pct"/>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Objectives</w:t>
            </w:r>
          </w:p>
        </w:tc>
        <w:tc>
          <w:tcPr>
            <w:tcW w:w="295" w:type="pct"/>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7</w:t>
            </w:r>
          </w:p>
        </w:tc>
        <w:tc>
          <w:tcPr>
            <w:tcW w:w="2923" w:type="pct"/>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Specific objectives or hypotheses</w:t>
            </w:r>
          </w:p>
        </w:tc>
        <w:tc>
          <w:tcPr>
            <w:tcW w:w="1131" w:type="pct"/>
            <w:tcMar>
              <w:top w:w="85" w:type="dxa"/>
              <w:bottom w:w="85" w:type="dxa"/>
            </w:tcMar>
          </w:tcPr>
          <w:p w:rsidR="00AF0431" w:rsidRDefault="003313DA">
            <w:pPr>
              <w:rPr>
                <w:rFonts w:ascii="Times New Roman" w:hAnsi="Times New Roman" w:cs="Times New Roman"/>
                <w:sz w:val="22"/>
                <w:szCs w:val="22"/>
                <w:lang w:val="en-US" w:eastAsia="zh-CN"/>
              </w:rPr>
            </w:pPr>
            <w:r>
              <w:rPr>
                <w:rFonts w:ascii="Times New Roman" w:hAnsi="Times New Roman" w:cs="Times New Roman"/>
                <w:sz w:val="22"/>
                <w:szCs w:val="22"/>
                <w:lang w:val="en-US" w:eastAsia="zh-CN"/>
              </w:rPr>
              <w:t>6-7</w:t>
            </w:r>
          </w:p>
        </w:tc>
      </w:tr>
      <w:tr w:rsidR="00AF0431">
        <w:trPr>
          <w:cantSplit/>
          <w:trHeight w:val="1238"/>
        </w:trPr>
        <w:tc>
          <w:tcPr>
            <w:tcW w:w="650" w:type="pct"/>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Trial design</w:t>
            </w:r>
          </w:p>
        </w:tc>
        <w:tc>
          <w:tcPr>
            <w:tcW w:w="295" w:type="pct"/>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8</w:t>
            </w:r>
          </w:p>
        </w:tc>
        <w:tc>
          <w:tcPr>
            <w:tcW w:w="2923" w:type="pct"/>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Description of trial design including type of trial (eg, parallel group, crossover, factorial, single group), allocation ratio, and framework (eg, superiority, equivalence, noninferiority, exploratory)</w:t>
            </w:r>
          </w:p>
        </w:tc>
        <w:tc>
          <w:tcPr>
            <w:tcW w:w="1131" w:type="pct"/>
            <w:tcMar>
              <w:top w:w="85" w:type="dxa"/>
              <w:bottom w:w="85" w:type="dxa"/>
            </w:tcMar>
          </w:tcPr>
          <w:p w:rsidR="00AF0431" w:rsidRDefault="003313DA">
            <w:pPr>
              <w:rPr>
                <w:rFonts w:ascii="Times New Roman" w:hAnsi="Times New Roman" w:cs="Times New Roman"/>
                <w:sz w:val="22"/>
                <w:szCs w:val="22"/>
                <w:lang w:val="en-US" w:eastAsia="zh-CN"/>
              </w:rPr>
            </w:pPr>
            <w:r>
              <w:rPr>
                <w:rFonts w:ascii="Times New Roman" w:hAnsi="Times New Roman" w:cs="Times New Roman"/>
                <w:sz w:val="22"/>
                <w:szCs w:val="22"/>
                <w:lang w:val="en-US" w:eastAsia="zh-CN"/>
              </w:rPr>
              <w:t>6-7</w:t>
            </w:r>
          </w:p>
        </w:tc>
      </w:tr>
      <w:tr w:rsidR="00AF0431">
        <w:tblPrEx>
          <w:shd w:val="clear" w:color="auto" w:fill="FFFFFF"/>
        </w:tblPrEx>
        <w:trPr>
          <w:cantSplit/>
          <w:trHeight w:val="259"/>
        </w:trPr>
        <w:tc>
          <w:tcPr>
            <w:tcW w:w="3868" w:type="pct"/>
            <w:gridSpan w:val="3"/>
            <w:shd w:val="clear" w:color="auto" w:fill="FFFFFF"/>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lastRenderedPageBreak/>
              <w:t xml:space="preserve">Methods: Participants, </w:t>
            </w:r>
            <w:r>
              <w:rPr>
                <w:rFonts w:ascii="Times New Roman" w:hAnsi="Times New Roman" w:cs="Times New Roman"/>
                <w:sz w:val="22"/>
                <w:szCs w:val="22"/>
                <w:lang w:val="en-US"/>
              </w:rPr>
              <w:t>interventions, and outcomes</w:t>
            </w:r>
          </w:p>
        </w:tc>
        <w:tc>
          <w:tcPr>
            <w:tcW w:w="1131" w:type="pct"/>
            <w:shd w:val="clear" w:color="auto" w:fill="FFFFFF"/>
            <w:tcMar>
              <w:top w:w="85" w:type="dxa"/>
              <w:bottom w:w="85" w:type="dxa"/>
            </w:tcMar>
          </w:tcPr>
          <w:p w:rsidR="00AF0431" w:rsidRDefault="00AF0431">
            <w:pPr>
              <w:rPr>
                <w:rFonts w:ascii="Times New Roman" w:hAnsi="Times New Roman" w:cs="Times New Roman"/>
                <w:sz w:val="22"/>
                <w:szCs w:val="22"/>
                <w:lang w:val="en-US"/>
              </w:rPr>
            </w:pPr>
          </w:p>
        </w:tc>
      </w:tr>
      <w:tr w:rsidR="00AF0431">
        <w:trPr>
          <w:cantSplit/>
          <w:trHeight w:val="259"/>
        </w:trPr>
        <w:tc>
          <w:tcPr>
            <w:tcW w:w="650" w:type="pct"/>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Study setting</w:t>
            </w:r>
          </w:p>
        </w:tc>
        <w:tc>
          <w:tcPr>
            <w:tcW w:w="295" w:type="pct"/>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9</w:t>
            </w:r>
          </w:p>
        </w:tc>
        <w:tc>
          <w:tcPr>
            <w:tcW w:w="2923" w:type="pct"/>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Description of study settings (eg, community clinic, academic hospital) and list of countries where data will be collected. Reference to where list of study sites can be obtained</w:t>
            </w:r>
          </w:p>
        </w:tc>
        <w:tc>
          <w:tcPr>
            <w:tcW w:w="1131" w:type="pct"/>
            <w:tcMar>
              <w:top w:w="85" w:type="dxa"/>
              <w:bottom w:w="85" w:type="dxa"/>
            </w:tcMar>
          </w:tcPr>
          <w:p w:rsidR="00AF0431" w:rsidRDefault="003313DA">
            <w:pPr>
              <w:rPr>
                <w:rFonts w:ascii="Times New Roman" w:hAnsi="Times New Roman" w:cs="Times New Roman"/>
                <w:sz w:val="22"/>
                <w:szCs w:val="22"/>
                <w:lang w:val="en-US" w:eastAsia="zh-CN"/>
              </w:rPr>
            </w:pPr>
            <w:r>
              <w:rPr>
                <w:rFonts w:ascii="Times New Roman" w:hAnsi="Times New Roman" w:cs="Times New Roman"/>
                <w:sz w:val="22"/>
                <w:szCs w:val="22"/>
                <w:lang w:val="en-US" w:eastAsia="zh-CN"/>
              </w:rPr>
              <w:t>8</w:t>
            </w:r>
          </w:p>
        </w:tc>
      </w:tr>
      <w:tr w:rsidR="00AF0431">
        <w:tblPrEx>
          <w:shd w:val="clear" w:color="auto" w:fill="FFFFFF"/>
        </w:tblPrEx>
        <w:trPr>
          <w:cantSplit/>
          <w:trHeight w:val="259"/>
        </w:trPr>
        <w:tc>
          <w:tcPr>
            <w:tcW w:w="650" w:type="pct"/>
            <w:shd w:val="clear" w:color="auto" w:fill="FFFFFF"/>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Eligibility criteria</w:t>
            </w:r>
          </w:p>
        </w:tc>
        <w:tc>
          <w:tcPr>
            <w:tcW w:w="295" w:type="pct"/>
            <w:shd w:val="clear" w:color="auto" w:fill="FFFFFF"/>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10</w:t>
            </w:r>
          </w:p>
        </w:tc>
        <w:tc>
          <w:tcPr>
            <w:tcW w:w="2923" w:type="pct"/>
            <w:shd w:val="clear" w:color="auto" w:fill="FFFFFF"/>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Inclusion and exclusion criteria for participants. If applicable, eligibility criteria for study centres and individuals who will perform the interventions (eg, surgeons, psychotherapists)</w:t>
            </w:r>
          </w:p>
        </w:tc>
        <w:tc>
          <w:tcPr>
            <w:tcW w:w="1131" w:type="pct"/>
            <w:shd w:val="clear" w:color="auto" w:fill="FFFFFF"/>
            <w:tcMar>
              <w:top w:w="85" w:type="dxa"/>
              <w:bottom w:w="85" w:type="dxa"/>
            </w:tcMar>
          </w:tcPr>
          <w:p w:rsidR="00AF0431" w:rsidRDefault="003313DA">
            <w:pPr>
              <w:rPr>
                <w:rFonts w:ascii="Times New Roman" w:hAnsi="Times New Roman" w:cs="Times New Roman"/>
                <w:sz w:val="22"/>
                <w:szCs w:val="22"/>
                <w:lang w:val="en-US" w:eastAsia="zh-CN"/>
              </w:rPr>
            </w:pPr>
            <w:r>
              <w:rPr>
                <w:rFonts w:ascii="Times New Roman" w:hAnsi="Times New Roman" w:cs="Times New Roman"/>
                <w:sz w:val="22"/>
                <w:szCs w:val="22"/>
                <w:lang w:val="en-US" w:eastAsia="zh-CN"/>
              </w:rPr>
              <w:t>8-9</w:t>
            </w:r>
          </w:p>
        </w:tc>
      </w:tr>
      <w:tr w:rsidR="00AF0431">
        <w:tblPrEx>
          <w:shd w:val="clear" w:color="auto" w:fill="FFFFFF"/>
        </w:tblPrEx>
        <w:trPr>
          <w:cantSplit/>
          <w:trHeight w:val="259"/>
        </w:trPr>
        <w:tc>
          <w:tcPr>
            <w:tcW w:w="650" w:type="pct"/>
            <w:vMerge w:val="restart"/>
            <w:shd w:val="clear" w:color="auto" w:fill="FFFFFF"/>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Interventions</w:t>
            </w:r>
          </w:p>
        </w:tc>
        <w:tc>
          <w:tcPr>
            <w:tcW w:w="295" w:type="pct"/>
            <w:shd w:val="clear" w:color="auto" w:fill="FFFFFF"/>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11a</w:t>
            </w:r>
          </w:p>
        </w:tc>
        <w:tc>
          <w:tcPr>
            <w:tcW w:w="2923" w:type="pct"/>
            <w:shd w:val="clear" w:color="auto" w:fill="FFFFFF"/>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Interventions for each group with sufficient</w:t>
            </w:r>
            <w:r>
              <w:rPr>
                <w:rFonts w:ascii="Times New Roman" w:hAnsi="Times New Roman" w:cs="Times New Roman"/>
                <w:sz w:val="22"/>
                <w:szCs w:val="22"/>
                <w:lang w:val="en-US"/>
              </w:rPr>
              <w:t xml:space="preserve"> detail to allow replication, including how and when they will be administered</w:t>
            </w:r>
          </w:p>
        </w:tc>
        <w:tc>
          <w:tcPr>
            <w:tcW w:w="1131" w:type="pct"/>
            <w:shd w:val="clear" w:color="auto" w:fill="FFFFFF"/>
          </w:tcPr>
          <w:p w:rsidR="00AF0431" w:rsidRDefault="003313DA">
            <w:pPr>
              <w:rPr>
                <w:rFonts w:ascii="Times New Roman" w:hAnsi="Times New Roman" w:cs="Times New Roman"/>
                <w:sz w:val="22"/>
                <w:szCs w:val="22"/>
                <w:lang w:val="en-US" w:eastAsia="zh-CN"/>
              </w:rPr>
            </w:pPr>
            <w:r>
              <w:rPr>
                <w:rFonts w:ascii="Times New Roman" w:hAnsi="Times New Roman" w:cs="Times New Roman"/>
                <w:sz w:val="22"/>
                <w:szCs w:val="22"/>
                <w:lang w:val="en-US" w:eastAsia="zh-CN"/>
              </w:rPr>
              <w:t>10-12</w:t>
            </w:r>
          </w:p>
        </w:tc>
      </w:tr>
      <w:tr w:rsidR="00AF0431">
        <w:tblPrEx>
          <w:shd w:val="clear" w:color="auto" w:fill="FFFFFF"/>
        </w:tblPrEx>
        <w:trPr>
          <w:cantSplit/>
          <w:trHeight w:val="259"/>
        </w:trPr>
        <w:tc>
          <w:tcPr>
            <w:tcW w:w="650" w:type="pct"/>
            <w:vMerge/>
            <w:shd w:val="clear" w:color="auto" w:fill="FFFFFF"/>
            <w:tcMar>
              <w:top w:w="85" w:type="dxa"/>
              <w:bottom w:w="85" w:type="dxa"/>
            </w:tcMar>
          </w:tcPr>
          <w:p w:rsidR="00AF0431" w:rsidRDefault="00AF0431">
            <w:pPr>
              <w:rPr>
                <w:rFonts w:ascii="Times New Roman" w:hAnsi="Times New Roman" w:cs="Times New Roman"/>
                <w:sz w:val="22"/>
                <w:szCs w:val="22"/>
                <w:lang w:val="en-US"/>
              </w:rPr>
            </w:pPr>
          </w:p>
        </w:tc>
        <w:tc>
          <w:tcPr>
            <w:tcW w:w="295" w:type="pct"/>
            <w:shd w:val="clear" w:color="auto" w:fill="FFFFFF"/>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11b</w:t>
            </w:r>
          </w:p>
        </w:tc>
        <w:tc>
          <w:tcPr>
            <w:tcW w:w="2923" w:type="pct"/>
            <w:shd w:val="clear" w:color="auto" w:fill="FFFFFF"/>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Criteria for discontinuing or modifying allocated interventions for a given trial participant (eg, drug dose change in response to harms, participant request, or imp</w:t>
            </w:r>
            <w:r>
              <w:rPr>
                <w:rFonts w:ascii="Times New Roman" w:hAnsi="Times New Roman" w:cs="Times New Roman"/>
                <w:sz w:val="22"/>
                <w:szCs w:val="22"/>
                <w:lang w:val="en-US"/>
              </w:rPr>
              <w:t>roving/worsening disease)</w:t>
            </w:r>
          </w:p>
        </w:tc>
        <w:tc>
          <w:tcPr>
            <w:tcW w:w="1131" w:type="pct"/>
            <w:shd w:val="clear" w:color="auto" w:fill="FFFFFF"/>
          </w:tcPr>
          <w:p w:rsidR="00AF0431" w:rsidRDefault="003313DA">
            <w:pPr>
              <w:rPr>
                <w:rFonts w:ascii="Times New Roman" w:hAnsi="Times New Roman" w:cs="Times New Roman"/>
                <w:sz w:val="22"/>
                <w:szCs w:val="22"/>
                <w:lang w:val="en-US" w:eastAsia="zh-CN"/>
              </w:rPr>
            </w:pPr>
            <w:r>
              <w:rPr>
                <w:rFonts w:ascii="Times New Roman" w:hAnsi="Times New Roman" w:cs="Times New Roman"/>
                <w:sz w:val="22"/>
                <w:szCs w:val="22"/>
                <w:lang w:val="en-US" w:eastAsia="zh-CN"/>
              </w:rPr>
              <w:t>Not applicable</w:t>
            </w:r>
          </w:p>
        </w:tc>
      </w:tr>
      <w:tr w:rsidR="00AF0431">
        <w:tblPrEx>
          <w:shd w:val="clear" w:color="auto" w:fill="FFFFFF"/>
        </w:tblPrEx>
        <w:trPr>
          <w:cantSplit/>
          <w:trHeight w:val="259"/>
        </w:trPr>
        <w:tc>
          <w:tcPr>
            <w:tcW w:w="650" w:type="pct"/>
            <w:vMerge/>
            <w:shd w:val="clear" w:color="auto" w:fill="FFFFFF"/>
            <w:tcMar>
              <w:top w:w="85" w:type="dxa"/>
              <w:bottom w:w="85" w:type="dxa"/>
            </w:tcMar>
          </w:tcPr>
          <w:p w:rsidR="00AF0431" w:rsidRDefault="00AF0431">
            <w:pPr>
              <w:rPr>
                <w:rFonts w:ascii="Times New Roman" w:hAnsi="Times New Roman" w:cs="Times New Roman"/>
                <w:sz w:val="22"/>
                <w:szCs w:val="22"/>
                <w:lang w:val="en-US"/>
              </w:rPr>
            </w:pPr>
          </w:p>
        </w:tc>
        <w:tc>
          <w:tcPr>
            <w:tcW w:w="295" w:type="pct"/>
            <w:shd w:val="clear" w:color="auto" w:fill="FFFFFF"/>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11c</w:t>
            </w:r>
          </w:p>
        </w:tc>
        <w:tc>
          <w:tcPr>
            <w:tcW w:w="2923" w:type="pct"/>
            <w:shd w:val="clear" w:color="auto" w:fill="FFFFFF"/>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Strategies to improve adherence to intervention protocols, and any procedures for monitoring adherence (eg, drug tablet return, laboratory tests)</w:t>
            </w:r>
          </w:p>
        </w:tc>
        <w:tc>
          <w:tcPr>
            <w:tcW w:w="1131" w:type="pct"/>
            <w:shd w:val="clear" w:color="auto" w:fill="FFFFFF"/>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eastAsia="zh-CN"/>
              </w:rPr>
              <w:t>Not applicable</w:t>
            </w:r>
          </w:p>
        </w:tc>
      </w:tr>
      <w:tr w:rsidR="00AF0431">
        <w:tblPrEx>
          <w:shd w:val="clear" w:color="auto" w:fill="FFFFFF"/>
        </w:tblPrEx>
        <w:trPr>
          <w:cantSplit/>
          <w:trHeight w:val="259"/>
        </w:trPr>
        <w:tc>
          <w:tcPr>
            <w:tcW w:w="650" w:type="pct"/>
            <w:vMerge/>
            <w:shd w:val="clear" w:color="auto" w:fill="FFFFFF"/>
            <w:tcMar>
              <w:top w:w="85" w:type="dxa"/>
              <w:bottom w:w="85" w:type="dxa"/>
            </w:tcMar>
          </w:tcPr>
          <w:p w:rsidR="00AF0431" w:rsidRDefault="00AF0431">
            <w:pPr>
              <w:rPr>
                <w:rFonts w:ascii="Times New Roman" w:hAnsi="Times New Roman" w:cs="Times New Roman"/>
                <w:sz w:val="22"/>
                <w:szCs w:val="22"/>
                <w:lang w:val="en-US"/>
              </w:rPr>
            </w:pPr>
          </w:p>
        </w:tc>
        <w:tc>
          <w:tcPr>
            <w:tcW w:w="295" w:type="pct"/>
            <w:shd w:val="clear" w:color="auto" w:fill="FFFFFF"/>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11d</w:t>
            </w:r>
          </w:p>
        </w:tc>
        <w:tc>
          <w:tcPr>
            <w:tcW w:w="2923" w:type="pct"/>
            <w:shd w:val="clear" w:color="auto" w:fill="FFFFFF"/>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 xml:space="preserve">Relevant concomitant care and </w:t>
            </w:r>
            <w:r>
              <w:rPr>
                <w:rFonts w:ascii="Times New Roman" w:hAnsi="Times New Roman" w:cs="Times New Roman"/>
                <w:sz w:val="22"/>
                <w:szCs w:val="22"/>
                <w:lang w:val="en-US"/>
              </w:rPr>
              <w:t>interventions that are permitted or prohibited during the trial</w:t>
            </w:r>
          </w:p>
        </w:tc>
        <w:tc>
          <w:tcPr>
            <w:tcW w:w="1131" w:type="pct"/>
            <w:shd w:val="clear" w:color="auto" w:fill="FFFFFF"/>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eastAsia="zh-CN"/>
              </w:rPr>
              <w:t>Not applicable</w:t>
            </w:r>
          </w:p>
        </w:tc>
      </w:tr>
      <w:tr w:rsidR="00AF0431">
        <w:tblPrEx>
          <w:shd w:val="clear" w:color="auto" w:fill="FFFFFF"/>
        </w:tblPrEx>
        <w:trPr>
          <w:cantSplit/>
          <w:trHeight w:val="259"/>
        </w:trPr>
        <w:tc>
          <w:tcPr>
            <w:tcW w:w="650" w:type="pct"/>
            <w:shd w:val="clear" w:color="auto" w:fill="FFFFFF"/>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Outcomes</w:t>
            </w:r>
          </w:p>
        </w:tc>
        <w:tc>
          <w:tcPr>
            <w:tcW w:w="295" w:type="pct"/>
            <w:shd w:val="clear" w:color="auto" w:fill="FFFFFF"/>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12</w:t>
            </w:r>
          </w:p>
        </w:tc>
        <w:tc>
          <w:tcPr>
            <w:tcW w:w="2923" w:type="pct"/>
            <w:shd w:val="clear" w:color="auto" w:fill="FFFFFF"/>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 xml:space="preserve">Primary, secondary, and other outcomes, including the specific measurement variable (eg, systolic blood pressure), analysis metric (eg, change from baseline, final </w:t>
            </w:r>
            <w:r>
              <w:rPr>
                <w:rFonts w:ascii="Times New Roman" w:hAnsi="Times New Roman" w:cs="Times New Roman"/>
                <w:sz w:val="22"/>
                <w:szCs w:val="22"/>
                <w:lang w:val="en-US"/>
              </w:rPr>
              <w:t>value, time to event), method of aggregation (eg, median, proportion), and time point for each outcome. Explanation of the clinical relevance of chosen efficacy and harm outcomes is strongly recommended</w:t>
            </w:r>
          </w:p>
        </w:tc>
        <w:tc>
          <w:tcPr>
            <w:tcW w:w="1131" w:type="pct"/>
            <w:shd w:val="clear" w:color="auto" w:fill="FFFFFF"/>
            <w:tcMar>
              <w:top w:w="85" w:type="dxa"/>
              <w:bottom w:w="85" w:type="dxa"/>
            </w:tcMar>
          </w:tcPr>
          <w:p w:rsidR="00AF0431" w:rsidRDefault="003313DA">
            <w:pPr>
              <w:rPr>
                <w:rFonts w:ascii="Times New Roman" w:hAnsi="Times New Roman" w:cs="Times New Roman"/>
                <w:sz w:val="22"/>
                <w:szCs w:val="22"/>
                <w:lang w:val="en-US" w:eastAsia="zh-CN"/>
              </w:rPr>
            </w:pPr>
            <w:r>
              <w:rPr>
                <w:rFonts w:ascii="Times New Roman" w:hAnsi="Times New Roman" w:cs="Times New Roman"/>
                <w:sz w:val="22"/>
                <w:szCs w:val="22"/>
                <w:lang w:val="en-US" w:eastAsia="zh-CN"/>
              </w:rPr>
              <w:t>12-13</w:t>
            </w:r>
          </w:p>
        </w:tc>
      </w:tr>
      <w:tr w:rsidR="00AF0431">
        <w:tblPrEx>
          <w:shd w:val="clear" w:color="auto" w:fill="FFFFFF"/>
        </w:tblPrEx>
        <w:trPr>
          <w:cantSplit/>
          <w:trHeight w:val="259"/>
        </w:trPr>
        <w:tc>
          <w:tcPr>
            <w:tcW w:w="650" w:type="pct"/>
            <w:shd w:val="clear" w:color="auto" w:fill="FFFFFF"/>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Participant timeline</w:t>
            </w:r>
          </w:p>
        </w:tc>
        <w:tc>
          <w:tcPr>
            <w:tcW w:w="295" w:type="pct"/>
            <w:shd w:val="clear" w:color="auto" w:fill="FFFFFF"/>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13</w:t>
            </w:r>
          </w:p>
        </w:tc>
        <w:tc>
          <w:tcPr>
            <w:tcW w:w="2923" w:type="pct"/>
            <w:shd w:val="clear" w:color="auto" w:fill="FFFFFF"/>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 xml:space="preserve">Time schedule of </w:t>
            </w:r>
            <w:r>
              <w:rPr>
                <w:rFonts w:ascii="Times New Roman" w:hAnsi="Times New Roman" w:cs="Times New Roman"/>
                <w:sz w:val="22"/>
                <w:szCs w:val="22"/>
                <w:lang w:val="en-US"/>
              </w:rPr>
              <w:t>enrolment, interventions (including any run-ins and washouts), assessments, and visits for participants. A schematic diagram is highly recommended (see Figure)</w:t>
            </w:r>
          </w:p>
        </w:tc>
        <w:tc>
          <w:tcPr>
            <w:tcW w:w="1131" w:type="pct"/>
            <w:shd w:val="clear" w:color="auto" w:fill="FFFFFF"/>
            <w:tcMar>
              <w:top w:w="85" w:type="dxa"/>
              <w:bottom w:w="85" w:type="dxa"/>
            </w:tcMar>
          </w:tcPr>
          <w:p w:rsidR="00AF0431" w:rsidRDefault="003313DA">
            <w:pPr>
              <w:rPr>
                <w:rFonts w:ascii="Times New Roman" w:hAnsi="Times New Roman" w:cs="Times New Roman"/>
                <w:sz w:val="22"/>
                <w:szCs w:val="22"/>
                <w:lang w:val="en-US" w:eastAsia="zh-CN"/>
              </w:rPr>
            </w:pPr>
            <w:r>
              <w:rPr>
                <w:rFonts w:ascii="Times New Roman" w:hAnsi="Times New Roman" w:cs="Times New Roman"/>
                <w:sz w:val="22"/>
                <w:szCs w:val="22"/>
                <w:lang w:val="en-US" w:eastAsia="zh-CN"/>
              </w:rPr>
              <w:t>13-14</w:t>
            </w:r>
          </w:p>
        </w:tc>
      </w:tr>
      <w:tr w:rsidR="00AF0431">
        <w:tblPrEx>
          <w:shd w:val="clear" w:color="auto" w:fill="FFFFFF"/>
        </w:tblPrEx>
        <w:trPr>
          <w:cantSplit/>
          <w:trHeight w:val="259"/>
        </w:trPr>
        <w:tc>
          <w:tcPr>
            <w:tcW w:w="650" w:type="pct"/>
            <w:shd w:val="clear" w:color="auto" w:fill="FFFFFF"/>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Sample size</w:t>
            </w:r>
          </w:p>
        </w:tc>
        <w:tc>
          <w:tcPr>
            <w:tcW w:w="295" w:type="pct"/>
            <w:shd w:val="clear" w:color="auto" w:fill="FFFFFF"/>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14</w:t>
            </w:r>
          </w:p>
        </w:tc>
        <w:tc>
          <w:tcPr>
            <w:tcW w:w="2923" w:type="pct"/>
            <w:shd w:val="clear" w:color="auto" w:fill="FFFFFF"/>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 xml:space="preserve">Estimated number of participants needed to achieve study objectives and </w:t>
            </w:r>
            <w:r>
              <w:rPr>
                <w:rFonts w:ascii="Times New Roman" w:hAnsi="Times New Roman" w:cs="Times New Roman"/>
                <w:sz w:val="22"/>
                <w:szCs w:val="22"/>
                <w:lang w:val="en-US"/>
              </w:rPr>
              <w:t>how it was determined, including clinical and statistical assumptions supporting any sample size calculations</w:t>
            </w:r>
          </w:p>
        </w:tc>
        <w:tc>
          <w:tcPr>
            <w:tcW w:w="1131" w:type="pct"/>
            <w:shd w:val="clear" w:color="auto" w:fill="FFFFFF"/>
            <w:tcMar>
              <w:top w:w="85" w:type="dxa"/>
              <w:bottom w:w="85" w:type="dxa"/>
            </w:tcMar>
          </w:tcPr>
          <w:p w:rsidR="00AF0431" w:rsidRDefault="003313DA">
            <w:pPr>
              <w:rPr>
                <w:rFonts w:ascii="Times New Roman" w:hAnsi="Times New Roman" w:cs="Times New Roman"/>
                <w:sz w:val="22"/>
                <w:szCs w:val="22"/>
                <w:lang w:val="en-US" w:eastAsia="zh-CN"/>
              </w:rPr>
            </w:pPr>
            <w:r>
              <w:rPr>
                <w:rFonts w:ascii="Times New Roman" w:hAnsi="Times New Roman" w:cs="Times New Roman"/>
                <w:sz w:val="22"/>
                <w:szCs w:val="22"/>
                <w:lang w:val="en-US" w:eastAsia="zh-CN"/>
              </w:rPr>
              <w:t>14-15</w:t>
            </w:r>
          </w:p>
        </w:tc>
      </w:tr>
      <w:tr w:rsidR="00AF0431">
        <w:tblPrEx>
          <w:shd w:val="clear" w:color="auto" w:fill="FFFFFF"/>
        </w:tblPrEx>
        <w:trPr>
          <w:cantSplit/>
          <w:trHeight w:val="259"/>
        </w:trPr>
        <w:tc>
          <w:tcPr>
            <w:tcW w:w="650" w:type="pct"/>
            <w:shd w:val="clear" w:color="auto" w:fill="FFFFFF"/>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Recruitment</w:t>
            </w:r>
          </w:p>
        </w:tc>
        <w:tc>
          <w:tcPr>
            <w:tcW w:w="295" w:type="pct"/>
            <w:shd w:val="clear" w:color="auto" w:fill="FFFFFF"/>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15</w:t>
            </w:r>
          </w:p>
        </w:tc>
        <w:tc>
          <w:tcPr>
            <w:tcW w:w="2923" w:type="pct"/>
            <w:shd w:val="clear" w:color="auto" w:fill="FFFFFF"/>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Strategies for achieving adequate participant enrolment to reach target sample size</w:t>
            </w:r>
          </w:p>
        </w:tc>
        <w:tc>
          <w:tcPr>
            <w:tcW w:w="1131" w:type="pct"/>
            <w:shd w:val="clear" w:color="auto" w:fill="FFFFFF"/>
            <w:tcMar>
              <w:top w:w="85" w:type="dxa"/>
              <w:bottom w:w="85" w:type="dxa"/>
            </w:tcMar>
          </w:tcPr>
          <w:p w:rsidR="00AF0431" w:rsidRDefault="003313DA">
            <w:pPr>
              <w:rPr>
                <w:rFonts w:ascii="Times New Roman" w:hAnsi="Times New Roman" w:cs="Times New Roman"/>
                <w:sz w:val="22"/>
                <w:szCs w:val="22"/>
                <w:lang w:val="en-US" w:eastAsia="zh-CN"/>
              </w:rPr>
            </w:pPr>
            <w:r>
              <w:rPr>
                <w:rFonts w:ascii="Times New Roman" w:hAnsi="Times New Roman" w:cs="Times New Roman"/>
                <w:sz w:val="22"/>
                <w:szCs w:val="22"/>
                <w:lang w:val="en-US" w:eastAsia="zh-CN"/>
              </w:rPr>
              <w:t>15</w:t>
            </w:r>
          </w:p>
        </w:tc>
      </w:tr>
      <w:tr w:rsidR="00AF0431">
        <w:tblPrEx>
          <w:shd w:val="clear" w:color="auto" w:fill="FFFFFF"/>
        </w:tblPrEx>
        <w:trPr>
          <w:cantSplit/>
          <w:trHeight w:val="259"/>
        </w:trPr>
        <w:tc>
          <w:tcPr>
            <w:tcW w:w="3868" w:type="pct"/>
            <w:gridSpan w:val="3"/>
            <w:shd w:val="clear" w:color="auto" w:fill="FFFFFF"/>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Methods: Assignment of interventions</w:t>
            </w:r>
            <w:r>
              <w:rPr>
                <w:rFonts w:ascii="Times New Roman" w:hAnsi="Times New Roman" w:cs="Times New Roman"/>
                <w:sz w:val="22"/>
                <w:szCs w:val="22"/>
                <w:lang w:val="en-US"/>
              </w:rPr>
              <w:t xml:space="preserve"> (for controlled trials)</w:t>
            </w:r>
          </w:p>
        </w:tc>
        <w:tc>
          <w:tcPr>
            <w:tcW w:w="1131" w:type="pct"/>
            <w:shd w:val="clear" w:color="auto" w:fill="FFFFFF"/>
            <w:tcMar>
              <w:top w:w="85" w:type="dxa"/>
              <w:bottom w:w="85" w:type="dxa"/>
            </w:tcMar>
          </w:tcPr>
          <w:p w:rsidR="00AF0431" w:rsidRDefault="00AF0431">
            <w:pPr>
              <w:rPr>
                <w:rFonts w:ascii="Times New Roman" w:hAnsi="Times New Roman" w:cs="Times New Roman"/>
                <w:sz w:val="22"/>
                <w:szCs w:val="22"/>
                <w:lang w:val="en-US"/>
              </w:rPr>
            </w:pPr>
          </w:p>
        </w:tc>
      </w:tr>
      <w:tr w:rsidR="00AF0431">
        <w:tblPrEx>
          <w:shd w:val="clear" w:color="auto" w:fill="FFFFFF"/>
        </w:tblPrEx>
        <w:trPr>
          <w:cantSplit/>
          <w:trHeight w:val="259"/>
        </w:trPr>
        <w:tc>
          <w:tcPr>
            <w:tcW w:w="650" w:type="pct"/>
            <w:shd w:val="clear" w:color="auto" w:fill="FFFFFF"/>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Allocation:</w:t>
            </w:r>
          </w:p>
        </w:tc>
        <w:tc>
          <w:tcPr>
            <w:tcW w:w="295" w:type="pct"/>
            <w:shd w:val="clear" w:color="auto" w:fill="FFFFFF"/>
          </w:tcPr>
          <w:p w:rsidR="00AF0431" w:rsidRDefault="00AF0431">
            <w:pPr>
              <w:rPr>
                <w:rFonts w:ascii="Times New Roman" w:hAnsi="Times New Roman" w:cs="Times New Roman"/>
                <w:sz w:val="22"/>
                <w:szCs w:val="22"/>
                <w:lang w:val="en-US"/>
              </w:rPr>
            </w:pPr>
          </w:p>
        </w:tc>
        <w:tc>
          <w:tcPr>
            <w:tcW w:w="2923" w:type="pct"/>
            <w:shd w:val="clear" w:color="auto" w:fill="FFFFFF"/>
            <w:tcMar>
              <w:top w:w="85" w:type="dxa"/>
              <w:bottom w:w="85" w:type="dxa"/>
            </w:tcMar>
          </w:tcPr>
          <w:p w:rsidR="00AF0431" w:rsidRDefault="00AF0431">
            <w:pPr>
              <w:rPr>
                <w:rFonts w:ascii="Times New Roman" w:hAnsi="Times New Roman" w:cs="Times New Roman"/>
                <w:sz w:val="22"/>
                <w:szCs w:val="22"/>
                <w:lang w:val="en-US"/>
              </w:rPr>
            </w:pPr>
          </w:p>
        </w:tc>
        <w:tc>
          <w:tcPr>
            <w:tcW w:w="1131" w:type="pct"/>
            <w:shd w:val="clear" w:color="auto" w:fill="FFFFFF"/>
            <w:tcMar>
              <w:top w:w="85" w:type="dxa"/>
              <w:bottom w:w="85" w:type="dxa"/>
            </w:tcMar>
          </w:tcPr>
          <w:p w:rsidR="00AF0431" w:rsidRDefault="00AF0431">
            <w:pPr>
              <w:rPr>
                <w:rFonts w:ascii="Times New Roman" w:hAnsi="Times New Roman" w:cs="Times New Roman"/>
                <w:sz w:val="22"/>
                <w:szCs w:val="22"/>
                <w:lang w:val="en-US"/>
              </w:rPr>
            </w:pPr>
          </w:p>
        </w:tc>
      </w:tr>
      <w:tr w:rsidR="00AF0431">
        <w:tblPrEx>
          <w:shd w:val="clear" w:color="auto" w:fill="FFFFFF"/>
        </w:tblPrEx>
        <w:trPr>
          <w:cantSplit/>
          <w:trHeight w:val="259"/>
        </w:trPr>
        <w:tc>
          <w:tcPr>
            <w:tcW w:w="650" w:type="pct"/>
            <w:shd w:val="clear" w:color="auto" w:fill="FFFFFF"/>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lastRenderedPageBreak/>
              <w:t>Sequence generation</w:t>
            </w:r>
          </w:p>
        </w:tc>
        <w:tc>
          <w:tcPr>
            <w:tcW w:w="295" w:type="pct"/>
            <w:shd w:val="clear" w:color="auto" w:fill="FFFFFF"/>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16a</w:t>
            </w:r>
          </w:p>
        </w:tc>
        <w:tc>
          <w:tcPr>
            <w:tcW w:w="2923" w:type="pct"/>
            <w:shd w:val="clear" w:color="auto" w:fill="FFFFFF"/>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 xml:space="preserve">Method of generating the allocation sequence (eg, computer-generated random numbers), and list of any factors for stratification. To reduce predictability of a random sequence, details of </w:t>
            </w:r>
            <w:r>
              <w:rPr>
                <w:rFonts w:ascii="Times New Roman" w:hAnsi="Times New Roman" w:cs="Times New Roman"/>
                <w:sz w:val="22"/>
                <w:szCs w:val="22"/>
                <w:lang w:val="en-US"/>
              </w:rPr>
              <w:t>any planned restriction (eg, blocking) should be provided in a separate document that is unavailable to those who enrol participants or assign interventions</w:t>
            </w:r>
          </w:p>
        </w:tc>
        <w:tc>
          <w:tcPr>
            <w:tcW w:w="1131" w:type="pct"/>
            <w:shd w:val="clear" w:color="auto" w:fill="FFFFFF"/>
            <w:tcMar>
              <w:top w:w="85" w:type="dxa"/>
              <w:bottom w:w="85" w:type="dxa"/>
            </w:tcMar>
          </w:tcPr>
          <w:p w:rsidR="00AF0431" w:rsidRDefault="003313DA">
            <w:pPr>
              <w:rPr>
                <w:rFonts w:ascii="Times New Roman" w:hAnsi="Times New Roman" w:cs="Times New Roman"/>
                <w:sz w:val="22"/>
                <w:szCs w:val="22"/>
                <w:lang w:val="en-US" w:eastAsia="zh-CN"/>
              </w:rPr>
            </w:pPr>
            <w:r>
              <w:rPr>
                <w:rFonts w:ascii="Times New Roman" w:hAnsi="Times New Roman" w:cs="Times New Roman"/>
                <w:sz w:val="22"/>
                <w:szCs w:val="22"/>
                <w:lang w:val="en-US" w:eastAsia="zh-CN"/>
              </w:rPr>
              <w:t>15-16</w:t>
            </w:r>
          </w:p>
        </w:tc>
      </w:tr>
      <w:tr w:rsidR="00AF0431">
        <w:tblPrEx>
          <w:shd w:val="clear" w:color="auto" w:fill="FFFFFF"/>
        </w:tblPrEx>
        <w:trPr>
          <w:cantSplit/>
          <w:trHeight w:val="259"/>
        </w:trPr>
        <w:tc>
          <w:tcPr>
            <w:tcW w:w="650" w:type="pct"/>
            <w:shd w:val="clear" w:color="auto" w:fill="FFFFFF"/>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Allocation concealment mechanism</w:t>
            </w:r>
          </w:p>
        </w:tc>
        <w:tc>
          <w:tcPr>
            <w:tcW w:w="295" w:type="pct"/>
            <w:shd w:val="clear" w:color="auto" w:fill="FFFFFF"/>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16b</w:t>
            </w:r>
          </w:p>
        </w:tc>
        <w:tc>
          <w:tcPr>
            <w:tcW w:w="2923" w:type="pct"/>
            <w:shd w:val="clear" w:color="auto" w:fill="FFFFFF"/>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 xml:space="preserve">Mechanism of implementing the allocation sequence (eg, </w:t>
            </w:r>
            <w:r>
              <w:rPr>
                <w:rFonts w:ascii="Times New Roman" w:hAnsi="Times New Roman" w:cs="Times New Roman"/>
                <w:sz w:val="22"/>
                <w:szCs w:val="22"/>
                <w:lang w:val="en-US"/>
              </w:rPr>
              <w:t>central telephone; sequentially numbered, opaque, sealed envelopes), describing any steps to conceal the sequence until interventions are assigned</w:t>
            </w:r>
          </w:p>
        </w:tc>
        <w:tc>
          <w:tcPr>
            <w:tcW w:w="1131" w:type="pct"/>
            <w:shd w:val="clear" w:color="auto" w:fill="FFFFFF"/>
            <w:tcMar>
              <w:top w:w="85" w:type="dxa"/>
              <w:bottom w:w="85" w:type="dxa"/>
            </w:tcMar>
          </w:tcPr>
          <w:p w:rsidR="00AF0431" w:rsidRDefault="003313DA">
            <w:pPr>
              <w:rPr>
                <w:rFonts w:ascii="Times New Roman" w:hAnsi="Times New Roman" w:cs="Times New Roman"/>
                <w:sz w:val="22"/>
                <w:szCs w:val="22"/>
                <w:lang w:val="en-US" w:eastAsia="zh-CN"/>
              </w:rPr>
            </w:pPr>
            <w:r>
              <w:rPr>
                <w:rFonts w:ascii="Times New Roman" w:hAnsi="Times New Roman" w:cs="Times New Roman"/>
                <w:sz w:val="22"/>
                <w:szCs w:val="22"/>
                <w:lang w:val="en-US" w:eastAsia="zh-CN"/>
              </w:rPr>
              <w:t>15-16</w:t>
            </w:r>
          </w:p>
        </w:tc>
      </w:tr>
      <w:tr w:rsidR="00AF0431">
        <w:tblPrEx>
          <w:shd w:val="clear" w:color="auto" w:fill="FFFFFF"/>
        </w:tblPrEx>
        <w:trPr>
          <w:cantSplit/>
          <w:trHeight w:val="259"/>
        </w:trPr>
        <w:tc>
          <w:tcPr>
            <w:tcW w:w="650" w:type="pct"/>
            <w:shd w:val="clear" w:color="auto" w:fill="FFFFFF"/>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Implementation</w:t>
            </w:r>
          </w:p>
        </w:tc>
        <w:tc>
          <w:tcPr>
            <w:tcW w:w="295" w:type="pct"/>
            <w:shd w:val="clear" w:color="auto" w:fill="FFFFFF"/>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16c</w:t>
            </w:r>
          </w:p>
        </w:tc>
        <w:tc>
          <w:tcPr>
            <w:tcW w:w="2923" w:type="pct"/>
            <w:shd w:val="clear" w:color="auto" w:fill="FFFFFF"/>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Who will generate the allocation sequence, who will enrol participants, and who wil</w:t>
            </w:r>
            <w:r>
              <w:rPr>
                <w:rFonts w:ascii="Times New Roman" w:hAnsi="Times New Roman" w:cs="Times New Roman"/>
                <w:sz w:val="22"/>
                <w:szCs w:val="22"/>
                <w:lang w:val="en-US"/>
              </w:rPr>
              <w:t>l assign participants to interventions</w:t>
            </w:r>
          </w:p>
        </w:tc>
        <w:tc>
          <w:tcPr>
            <w:tcW w:w="1131" w:type="pct"/>
            <w:shd w:val="clear" w:color="auto" w:fill="FFFFFF"/>
            <w:tcMar>
              <w:top w:w="85" w:type="dxa"/>
              <w:bottom w:w="85" w:type="dxa"/>
            </w:tcMar>
          </w:tcPr>
          <w:p w:rsidR="00AF0431" w:rsidRDefault="003313DA">
            <w:pPr>
              <w:rPr>
                <w:rFonts w:ascii="Times New Roman" w:hAnsi="Times New Roman" w:cs="Times New Roman"/>
                <w:sz w:val="22"/>
                <w:szCs w:val="22"/>
                <w:lang w:val="en-US" w:eastAsia="zh-CN"/>
              </w:rPr>
            </w:pPr>
            <w:r>
              <w:rPr>
                <w:rFonts w:ascii="Times New Roman" w:hAnsi="Times New Roman" w:cs="Times New Roman"/>
                <w:sz w:val="22"/>
                <w:szCs w:val="22"/>
                <w:lang w:val="en-US" w:eastAsia="zh-CN"/>
              </w:rPr>
              <w:t>15-16</w:t>
            </w:r>
          </w:p>
        </w:tc>
      </w:tr>
      <w:tr w:rsidR="00AF0431">
        <w:tblPrEx>
          <w:shd w:val="clear" w:color="auto" w:fill="FFFFFF"/>
        </w:tblPrEx>
        <w:trPr>
          <w:cantSplit/>
          <w:trHeight w:val="259"/>
        </w:trPr>
        <w:tc>
          <w:tcPr>
            <w:tcW w:w="650" w:type="pct"/>
            <w:shd w:val="clear" w:color="auto" w:fill="FFFFFF"/>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Blinding (masking)</w:t>
            </w:r>
          </w:p>
        </w:tc>
        <w:tc>
          <w:tcPr>
            <w:tcW w:w="295" w:type="pct"/>
            <w:shd w:val="clear" w:color="auto" w:fill="FFFFFF"/>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17a</w:t>
            </w:r>
          </w:p>
        </w:tc>
        <w:tc>
          <w:tcPr>
            <w:tcW w:w="2923" w:type="pct"/>
            <w:shd w:val="clear" w:color="auto" w:fill="FFFFFF"/>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Who will be blinded after assignment to interventions (eg, trial participants, care providers, outcome assessors, data analysts), and how</w:t>
            </w:r>
          </w:p>
        </w:tc>
        <w:tc>
          <w:tcPr>
            <w:tcW w:w="1131" w:type="pct"/>
            <w:shd w:val="clear" w:color="auto" w:fill="FFFFFF"/>
            <w:tcMar>
              <w:top w:w="85" w:type="dxa"/>
              <w:bottom w:w="85" w:type="dxa"/>
            </w:tcMar>
          </w:tcPr>
          <w:p w:rsidR="00AF0431" w:rsidRDefault="003313DA">
            <w:pPr>
              <w:rPr>
                <w:rFonts w:ascii="Times New Roman" w:hAnsi="Times New Roman" w:cs="Times New Roman"/>
                <w:sz w:val="22"/>
                <w:szCs w:val="22"/>
                <w:lang w:val="en-US" w:eastAsia="zh-CN"/>
              </w:rPr>
            </w:pPr>
            <w:r>
              <w:rPr>
                <w:rFonts w:ascii="Times New Roman" w:hAnsi="Times New Roman" w:cs="Times New Roman"/>
                <w:sz w:val="22"/>
                <w:szCs w:val="22"/>
                <w:lang w:val="en-US" w:eastAsia="zh-CN"/>
              </w:rPr>
              <w:t>15-16</w:t>
            </w:r>
          </w:p>
        </w:tc>
      </w:tr>
      <w:tr w:rsidR="00AF0431">
        <w:tblPrEx>
          <w:shd w:val="clear" w:color="auto" w:fill="FFFFFF"/>
        </w:tblPrEx>
        <w:trPr>
          <w:cantSplit/>
          <w:trHeight w:val="259"/>
        </w:trPr>
        <w:tc>
          <w:tcPr>
            <w:tcW w:w="650" w:type="pct"/>
            <w:shd w:val="clear" w:color="auto" w:fill="FFFFFF"/>
            <w:tcMar>
              <w:top w:w="85" w:type="dxa"/>
              <w:bottom w:w="85" w:type="dxa"/>
            </w:tcMar>
          </w:tcPr>
          <w:p w:rsidR="00AF0431" w:rsidRDefault="00AF0431">
            <w:pPr>
              <w:rPr>
                <w:rFonts w:ascii="Times New Roman" w:hAnsi="Times New Roman" w:cs="Times New Roman"/>
                <w:sz w:val="22"/>
                <w:szCs w:val="22"/>
                <w:lang w:val="en-US"/>
              </w:rPr>
            </w:pPr>
          </w:p>
        </w:tc>
        <w:tc>
          <w:tcPr>
            <w:tcW w:w="295" w:type="pct"/>
            <w:shd w:val="clear" w:color="auto" w:fill="FFFFFF"/>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17b</w:t>
            </w:r>
          </w:p>
        </w:tc>
        <w:tc>
          <w:tcPr>
            <w:tcW w:w="2923" w:type="pct"/>
            <w:shd w:val="clear" w:color="auto" w:fill="FFFFFF"/>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If blinded, circumstances under which</w:t>
            </w:r>
            <w:r>
              <w:rPr>
                <w:rFonts w:ascii="Times New Roman" w:hAnsi="Times New Roman" w:cs="Times New Roman"/>
                <w:sz w:val="22"/>
                <w:szCs w:val="22"/>
                <w:lang w:val="en-US"/>
              </w:rPr>
              <w:t xml:space="preserve"> unblinding is permissible, and procedure for revealing a participant’s allocated intervention during the trial</w:t>
            </w:r>
          </w:p>
        </w:tc>
        <w:tc>
          <w:tcPr>
            <w:tcW w:w="1131" w:type="pct"/>
            <w:shd w:val="clear" w:color="auto" w:fill="FFFFFF"/>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eastAsia="zh-CN"/>
              </w:rPr>
              <w:t>Not applicable</w:t>
            </w:r>
          </w:p>
        </w:tc>
      </w:tr>
      <w:tr w:rsidR="00AF0431">
        <w:tblPrEx>
          <w:shd w:val="clear" w:color="auto" w:fill="FFFFFF"/>
        </w:tblPrEx>
        <w:trPr>
          <w:cantSplit/>
          <w:trHeight w:val="259"/>
        </w:trPr>
        <w:tc>
          <w:tcPr>
            <w:tcW w:w="3868" w:type="pct"/>
            <w:gridSpan w:val="3"/>
            <w:shd w:val="clear" w:color="auto" w:fill="FFFFFF"/>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Methods: Data collection, management, and analysis</w:t>
            </w:r>
          </w:p>
        </w:tc>
        <w:tc>
          <w:tcPr>
            <w:tcW w:w="1131" w:type="pct"/>
            <w:shd w:val="clear" w:color="auto" w:fill="FFFFFF"/>
            <w:tcMar>
              <w:top w:w="85" w:type="dxa"/>
              <w:bottom w:w="85" w:type="dxa"/>
            </w:tcMar>
          </w:tcPr>
          <w:p w:rsidR="00AF0431" w:rsidRDefault="00AF0431">
            <w:pPr>
              <w:rPr>
                <w:rFonts w:ascii="Times New Roman" w:hAnsi="Times New Roman" w:cs="Times New Roman"/>
                <w:sz w:val="22"/>
                <w:szCs w:val="22"/>
                <w:lang w:val="en-US"/>
              </w:rPr>
            </w:pPr>
          </w:p>
        </w:tc>
      </w:tr>
      <w:tr w:rsidR="00AF0431">
        <w:tblPrEx>
          <w:shd w:val="clear" w:color="auto" w:fill="FFFFFF"/>
        </w:tblPrEx>
        <w:trPr>
          <w:cantSplit/>
          <w:trHeight w:val="259"/>
        </w:trPr>
        <w:tc>
          <w:tcPr>
            <w:tcW w:w="650" w:type="pct"/>
            <w:shd w:val="clear" w:color="auto" w:fill="FFFFFF"/>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Data collection methods</w:t>
            </w:r>
          </w:p>
        </w:tc>
        <w:tc>
          <w:tcPr>
            <w:tcW w:w="295" w:type="pct"/>
            <w:shd w:val="clear" w:color="auto" w:fill="FFFFFF"/>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18a</w:t>
            </w:r>
          </w:p>
        </w:tc>
        <w:tc>
          <w:tcPr>
            <w:tcW w:w="2923" w:type="pct"/>
            <w:shd w:val="clear" w:color="auto" w:fill="FFFFFF"/>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Plans for assessment and collection of outcome,</w:t>
            </w:r>
            <w:r>
              <w:rPr>
                <w:rFonts w:ascii="Times New Roman" w:hAnsi="Times New Roman" w:cs="Times New Roman"/>
                <w:sz w:val="22"/>
                <w:szCs w:val="22"/>
                <w:lang w:val="en-US"/>
              </w:rPr>
              <w:t xml:space="preserve"> baseline, and other trial data, including any related processes to promote data quality (eg, duplicate measurements, training of assessors) and a description of study instruments (eg, questionnaires, laboratory tests) along with their reliability and vali</w:t>
            </w:r>
            <w:r>
              <w:rPr>
                <w:rFonts w:ascii="Times New Roman" w:hAnsi="Times New Roman" w:cs="Times New Roman"/>
                <w:sz w:val="22"/>
                <w:szCs w:val="22"/>
                <w:lang w:val="en-US"/>
              </w:rPr>
              <w:t>dity, if known. Reference to where data collection forms can be found, if not in the protocol</w:t>
            </w:r>
          </w:p>
        </w:tc>
        <w:tc>
          <w:tcPr>
            <w:tcW w:w="1131" w:type="pct"/>
            <w:shd w:val="clear" w:color="auto" w:fill="FFFFFF"/>
          </w:tcPr>
          <w:p w:rsidR="00AF0431" w:rsidRDefault="003313DA">
            <w:pPr>
              <w:rPr>
                <w:rFonts w:ascii="Times New Roman" w:hAnsi="Times New Roman" w:cs="Times New Roman"/>
                <w:sz w:val="22"/>
                <w:szCs w:val="22"/>
                <w:lang w:val="en-US" w:eastAsia="zh-CN"/>
              </w:rPr>
            </w:pPr>
            <w:r>
              <w:rPr>
                <w:rFonts w:ascii="Times New Roman" w:hAnsi="Times New Roman" w:cs="Times New Roman"/>
                <w:sz w:val="22"/>
                <w:szCs w:val="22"/>
                <w:lang w:val="en-US" w:eastAsia="zh-CN"/>
              </w:rPr>
              <w:t>16-17</w:t>
            </w:r>
          </w:p>
        </w:tc>
      </w:tr>
      <w:tr w:rsidR="00AF0431">
        <w:tblPrEx>
          <w:shd w:val="clear" w:color="auto" w:fill="FFFFFF"/>
        </w:tblPrEx>
        <w:trPr>
          <w:cantSplit/>
          <w:trHeight w:val="259"/>
        </w:trPr>
        <w:tc>
          <w:tcPr>
            <w:tcW w:w="650" w:type="pct"/>
            <w:shd w:val="clear" w:color="auto" w:fill="FFFFFF"/>
            <w:tcMar>
              <w:top w:w="85" w:type="dxa"/>
              <w:bottom w:w="85" w:type="dxa"/>
            </w:tcMar>
          </w:tcPr>
          <w:p w:rsidR="00AF0431" w:rsidRDefault="00AF0431">
            <w:pPr>
              <w:rPr>
                <w:rFonts w:ascii="Times New Roman" w:hAnsi="Times New Roman" w:cs="Times New Roman"/>
                <w:sz w:val="22"/>
                <w:szCs w:val="22"/>
                <w:lang w:val="en-US"/>
              </w:rPr>
            </w:pPr>
          </w:p>
        </w:tc>
        <w:tc>
          <w:tcPr>
            <w:tcW w:w="295" w:type="pct"/>
            <w:shd w:val="clear" w:color="auto" w:fill="FFFFFF"/>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18b</w:t>
            </w:r>
          </w:p>
        </w:tc>
        <w:tc>
          <w:tcPr>
            <w:tcW w:w="2923" w:type="pct"/>
            <w:shd w:val="clear" w:color="auto" w:fill="FFFFFF"/>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 xml:space="preserve">Plans to promote participant retention and complete follow-up, including list of any outcome data to be collected for participants who discontinue or </w:t>
            </w:r>
            <w:r>
              <w:rPr>
                <w:rFonts w:ascii="Times New Roman" w:hAnsi="Times New Roman" w:cs="Times New Roman"/>
                <w:sz w:val="22"/>
                <w:szCs w:val="22"/>
                <w:lang w:val="en-US"/>
              </w:rPr>
              <w:t>deviate from intervention protocols</w:t>
            </w:r>
          </w:p>
        </w:tc>
        <w:tc>
          <w:tcPr>
            <w:tcW w:w="1131" w:type="pct"/>
            <w:shd w:val="clear" w:color="auto" w:fill="FFFFFF"/>
          </w:tcPr>
          <w:p w:rsidR="00AF0431" w:rsidRDefault="003313DA">
            <w:pPr>
              <w:rPr>
                <w:rFonts w:ascii="Times New Roman" w:hAnsi="Times New Roman" w:cs="Times New Roman"/>
                <w:sz w:val="22"/>
                <w:szCs w:val="22"/>
                <w:lang w:val="en-US" w:eastAsia="zh-CN"/>
              </w:rPr>
            </w:pPr>
            <w:r>
              <w:rPr>
                <w:rFonts w:ascii="Times New Roman" w:hAnsi="Times New Roman" w:cs="Times New Roman"/>
                <w:sz w:val="22"/>
                <w:szCs w:val="22"/>
                <w:lang w:val="en-US" w:eastAsia="zh-CN"/>
              </w:rPr>
              <w:t>Not applicable</w:t>
            </w:r>
          </w:p>
        </w:tc>
      </w:tr>
      <w:tr w:rsidR="00AF0431">
        <w:tblPrEx>
          <w:shd w:val="clear" w:color="auto" w:fill="FFFFFF"/>
        </w:tblPrEx>
        <w:trPr>
          <w:cantSplit/>
          <w:trHeight w:val="259"/>
        </w:trPr>
        <w:tc>
          <w:tcPr>
            <w:tcW w:w="650" w:type="pct"/>
            <w:shd w:val="clear" w:color="auto" w:fill="FFFFFF"/>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Data management</w:t>
            </w:r>
          </w:p>
        </w:tc>
        <w:tc>
          <w:tcPr>
            <w:tcW w:w="295" w:type="pct"/>
            <w:shd w:val="clear" w:color="auto" w:fill="FFFFFF"/>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19</w:t>
            </w:r>
          </w:p>
        </w:tc>
        <w:tc>
          <w:tcPr>
            <w:tcW w:w="2923" w:type="pct"/>
            <w:shd w:val="clear" w:color="auto" w:fill="FFFFFF"/>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Plans for data entry, coding, security, and storage, including any related processes to promote data quality (eg, double data entry; range checks for data values). Reference to where de</w:t>
            </w:r>
            <w:r>
              <w:rPr>
                <w:rFonts w:ascii="Times New Roman" w:hAnsi="Times New Roman" w:cs="Times New Roman"/>
                <w:sz w:val="22"/>
                <w:szCs w:val="22"/>
                <w:lang w:val="en-US"/>
              </w:rPr>
              <w:t>tails of data management procedures can be found, if not in the protocol</w:t>
            </w:r>
          </w:p>
        </w:tc>
        <w:tc>
          <w:tcPr>
            <w:tcW w:w="1131" w:type="pct"/>
            <w:shd w:val="clear" w:color="auto" w:fill="FFFFFF"/>
            <w:tcMar>
              <w:top w:w="85" w:type="dxa"/>
              <w:bottom w:w="85" w:type="dxa"/>
            </w:tcMar>
          </w:tcPr>
          <w:p w:rsidR="00AF0431" w:rsidRDefault="003313DA">
            <w:pPr>
              <w:rPr>
                <w:rFonts w:ascii="Times New Roman" w:hAnsi="Times New Roman" w:cs="Times New Roman"/>
                <w:sz w:val="22"/>
                <w:szCs w:val="22"/>
                <w:lang w:val="en-US" w:eastAsia="zh-CN"/>
              </w:rPr>
            </w:pPr>
            <w:r>
              <w:rPr>
                <w:rFonts w:ascii="Times New Roman" w:hAnsi="Times New Roman" w:cs="Times New Roman"/>
                <w:sz w:val="22"/>
                <w:szCs w:val="22"/>
                <w:lang w:val="en-US" w:eastAsia="zh-CN"/>
              </w:rPr>
              <w:t>16-17</w:t>
            </w:r>
          </w:p>
        </w:tc>
      </w:tr>
      <w:tr w:rsidR="00AF0431">
        <w:tblPrEx>
          <w:shd w:val="clear" w:color="auto" w:fill="FFFFFF"/>
        </w:tblPrEx>
        <w:trPr>
          <w:cantSplit/>
          <w:trHeight w:val="259"/>
        </w:trPr>
        <w:tc>
          <w:tcPr>
            <w:tcW w:w="650" w:type="pct"/>
            <w:shd w:val="clear" w:color="auto" w:fill="FFFFFF"/>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Statistical methods</w:t>
            </w:r>
          </w:p>
        </w:tc>
        <w:tc>
          <w:tcPr>
            <w:tcW w:w="295" w:type="pct"/>
            <w:shd w:val="clear" w:color="auto" w:fill="FFFFFF"/>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20a</w:t>
            </w:r>
          </w:p>
        </w:tc>
        <w:tc>
          <w:tcPr>
            <w:tcW w:w="2923" w:type="pct"/>
            <w:shd w:val="clear" w:color="auto" w:fill="FFFFFF"/>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Statistical methods for analysing primary and secondary outcomes. Reference to where other details of the statistical analysis plan can be found, if not</w:t>
            </w:r>
            <w:r>
              <w:rPr>
                <w:rFonts w:ascii="Times New Roman" w:hAnsi="Times New Roman" w:cs="Times New Roman"/>
                <w:sz w:val="22"/>
                <w:szCs w:val="22"/>
                <w:lang w:val="en-US"/>
              </w:rPr>
              <w:t xml:space="preserve"> in the protocol</w:t>
            </w:r>
          </w:p>
        </w:tc>
        <w:tc>
          <w:tcPr>
            <w:tcW w:w="1131" w:type="pct"/>
            <w:shd w:val="clear" w:color="auto" w:fill="FFFFFF"/>
            <w:tcMar>
              <w:top w:w="85" w:type="dxa"/>
              <w:bottom w:w="85" w:type="dxa"/>
            </w:tcMar>
          </w:tcPr>
          <w:p w:rsidR="00AF0431" w:rsidRDefault="003313DA">
            <w:pPr>
              <w:rPr>
                <w:rFonts w:ascii="Times New Roman" w:hAnsi="Times New Roman" w:cs="Times New Roman"/>
                <w:sz w:val="22"/>
                <w:szCs w:val="22"/>
                <w:lang w:val="en-US" w:eastAsia="zh-CN"/>
              </w:rPr>
            </w:pPr>
            <w:r>
              <w:rPr>
                <w:rFonts w:ascii="Times New Roman" w:hAnsi="Times New Roman" w:cs="Times New Roman"/>
                <w:sz w:val="22"/>
                <w:szCs w:val="22"/>
                <w:lang w:val="en-US" w:eastAsia="zh-CN"/>
              </w:rPr>
              <w:t>17-19</w:t>
            </w:r>
          </w:p>
        </w:tc>
      </w:tr>
      <w:tr w:rsidR="00AF0431">
        <w:tblPrEx>
          <w:shd w:val="clear" w:color="auto" w:fill="FFFFFF"/>
        </w:tblPrEx>
        <w:trPr>
          <w:cantSplit/>
          <w:trHeight w:val="259"/>
        </w:trPr>
        <w:tc>
          <w:tcPr>
            <w:tcW w:w="650" w:type="pct"/>
            <w:shd w:val="clear" w:color="auto" w:fill="FFFFFF"/>
            <w:tcMar>
              <w:top w:w="85" w:type="dxa"/>
              <w:bottom w:w="85" w:type="dxa"/>
            </w:tcMar>
          </w:tcPr>
          <w:p w:rsidR="00AF0431" w:rsidRDefault="00AF0431">
            <w:pPr>
              <w:rPr>
                <w:rFonts w:ascii="Times New Roman" w:hAnsi="Times New Roman" w:cs="Times New Roman"/>
                <w:sz w:val="22"/>
                <w:szCs w:val="22"/>
                <w:lang w:val="en-US"/>
              </w:rPr>
            </w:pPr>
          </w:p>
        </w:tc>
        <w:tc>
          <w:tcPr>
            <w:tcW w:w="295" w:type="pct"/>
            <w:shd w:val="clear" w:color="auto" w:fill="FFFFFF"/>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20b</w:t>
            </w:r>
          </w:p>
        </w:tc>
        <w:tc>
          <w:tcPr>
            <w:tcW w:w="2923" w:type="pct"/>
            <w:shd w:val="clear" w:color="auto" w:fill="FFFFFF"/>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Methods for any additional analyses (eg, subgroup and adjusted analyses)</w:t>
            </w:r>
          </w:p>
        </w:tc>
        <w:tc>
          <w:tcPr>
            <w:tcW w:w="1131" w:type="pct"/>
            <w:shd w:val="clear" w:color="auto" w:fill="FFFFFF"/>
          </w:tcPr>
          <w:p w:rsidR="00AF0431" w:rsidRDefault="003313DA">
            <w:pPr>
              <w:rPr>
                <w:rFonts w:ascii="Times New Roman" w:hAnsi="Times New Roman" w:cs="Times New Roman"/>
                <w:sz w:val="22"/>
                <w:szCs w:val="22"/>
                <w:lang w:val="en-US" w:eastAsia="zh-CN"/>
              </w:rPr>
            </w:pPr>
            <w:r>
              <w:rPr>
                <w:rFonts w:ascii="Times New Roman" w:hAnsi="Times New Roman" w:cs="Times New Roman"/>
                <w:sz w:val="22"/>
                <w:szCs w:val="22"/>
                <w:lang w:val="en-US" w:eastAsia="zh-CN"/>
              </w:rPr>
              <w:t>17-19</w:t>
            </w:r>
          </w:p>
        </w:tc>
      </w:tr>
      <w:tr w:rsidR="00AF0431">
        <w:tblPrEx>
          <w:shd w:val="clear" w:color="auto" w:fill="FFFFFF"/>
        </w:tblPrEx>
        <w:trPr>
          <w:cantSplit/>
          <w:trHeight w:val="259"/>
        </w:trPr>
        <w:tc>
          <w:tcPr>
            <w:tcW w:w="650" w:type="pct"/>
            <w:shd w:val="clear" w:color="auto" w:fill="FFFFFF"/>
            <w:tcMar>
              <w:top w:w="85" w:type="dxa"/>
              <w:bottom w:w="85" w:type="dxa"/>
            </w:tcMar>
          </w:tcPr>
          <w:p w:rsidR="00AF0431" w:rsidRDefault="00AF0431">
            <w:pPr>
              <w:rPr>
                <w:rFonts w:ascii="Times New Roman" w:hAnsi="Times New Roman" w:cs="Times New Roman"/>
                <w:sz w:val="22"/>
                <w:szCs w:val="22"/>
                <w:lang w:val="en-US"/>
              </w:rPr>
            </w:pPr>
          </w:p>
        </w:tc>
        <w:tc>
          <w:tcPr>
            <w:tcW w:w="295" w:type="pct"/>
            <w:shd w:val="clear" w:color="auto" w:fill="FFFFFF"/>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20c</w:t>
            </w:r>
          </w:p>
        </w:tc>
        <w:tc>
          <w:tcPr>
            <w:tcW w:w="2923" w:type="pct"/>
            <w:shd w:val="clear" w:color="auto" w:fill="FFFFFF"/>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 xml:space="preserve">Definition of analysis population relating to protocol non-adherence (eg, as randomised analysis), and any statistical methods to handle </w:t>
            </w:r>
            <w:r>
              <w:rPr>
                <w:rFonts w:ascii="Times New Roman" w:hAnsi="Times New Roman" w:cs="Times New Roman"/>
                <w:sz w:val="22"/>
                <w:szCs w:val="22"/>
                <w:lang w:val="en-US"/>
              </w:rPr>
              <w:t>missing data (eg, multiple imputation)</w:t>
            </w:r>
          </w:p>
        </w:tc>
        <w:tc>
          <w:tcPr>
            <w:tcW w:w="1131" w:type="pct"/>
            <w:shd w:val="clear" w:color="auto" w:fill="FFFFFF"/>
          </w:tcPr>
          <w:p w:rsidR="00AF0431" w:rsidRDefault="003313DA">
            <w:pPr>
              <w:rPr>
                <w:rFonts w:ascii="Times New Roman" w:hAnsi="Times New Roman" w:cs="Times New Roman"/>
                <w:sz w:val="22"/>
                <w:szCs w:val="22"/>
                <w:lang w:val="en-US" w:eastAsia="zh-CN"/>
              </w:rPr>
            </w:pPr>
            <w:r>
              <w:rPr>
                <w:rFonts w:ascii="Times New Roman" w:hAnsi="Times New Roman" w:cs="Times New Roman"/>
                <w:sz w:val="22"/>
                <w:szCs w:val="22"/>
                <w:lang w:val="en-US" w:eastAsia="zh-CN"/>
              </w:rPr>
              <w:t>17-19</w:t>
            </w:r>
          </w:p>
        </w:tc>
      </w:tr>
      <w:tr w:rsidR="00AF0431">
        <w:tblPrEx>
          <w:shd w:val="clear" w:color="auto" w:fill="FFFFFF"/>
        </w:tblPrEx>
        <w:trPr>
          <w:cantSplit/>
          <w:trHeight w:val="259"/>
        </w:trPr>
        <w:tc>
          <w:tcPr>
            <w:tcW w:w="3868" w:type="pct"/>
            <w:gridSpan w:val="3"/>
            <w:shd w:val="clear" w:color="auto" w:fill="FFFFFF"/>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lastRenderedPageBreak/>
              <w:t>Methods: Monitoring</w:t>
            </w:r>
          </w:p>
        </w:tc>
        <w:tc>
          <w:tcPr>
            <w:tcW w:w="1131" w:type="pct"/>
            <w:shd w:val="clear" w:color="auto" w:fill="FFFFFF"/>
            <w:tcMar>
              <w:top w:w="85" w:type="dxa"/>
              <w:bottom w:w="85" w:type="dxa"/>
            </w:tcMar>
          </w:tcPr>
          <w:p w:rsidR="00AF0431" w:rsidRDefault="00AF0431">
            <w:pPr>
              <w:rPr>
                <w:rFonts w:ascii="Times New Roman" w:hAnsi="Times New Roman" w:cs="Times New Roman"/>
                <w:sz w:val="22"/>
                <w:szCs w:val="22"/>
                <w:lang w:val="en-US"/>
              </w:rPr>
            </w:pPr>
          </w:p>
        </w:tc>
      </w:tr>
      <w:tr w:rsidR="00AF0431">
        <w:tblPrEx>
          <w:shd w:val="clear" w:color="auto" w:fill="FFFFFF"/>
        </w:tblPrEx>
        <w:trPr>
          <w:cantSplit/>
          <w:trHeight w:val="259"/>
        </w:trPr>
        <w:tc>
          <w:tcPr>
            <w:tcW w:w="650" w:type="pct"/>
            <w:shd w:val="clear" w:color="auto" w:fill="FFFFFF"/>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Data monitoring</w:t>
            </w:r>
          </w:p>
        </w:tc>
        <w:tc>
          <w:tcPr>
            <w:tcW w:w="295" w:type="pct"/>
            <w:shd w:val="clear" w:color="auto" w:fill="FFFFFF"/>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21a</w:t>
            </w:r>
          </w:p>
        </w:tc>
        <w:tc>
          <w:tcPr>
            <w:tcW w:w="2923" w:type="pct"/>
            <w:shd w:val="clear" w:color="auto" w:fill="FFFFFF"/>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 xml:space="preserve">Composition of data monitoring committee (DMC); summary of its role and reporting structure; statement of whether it is independent from the sponsor and competing </w:t>
            </w:r>
            <w:r>
              <w:rPr>
                <w:rFonts w:ascii="Times New Roman" w:hAnsi="Times New Roman" w:cs="Times New Roman"/>
                <w:sz w:val="22"/>
                <w:szCs w:val="22"/>
                <w:lang w:val="en-US"/>
              </w:rPr>
              <w:t>interests; and reference to where further details about its charter can be found, if not in the protocol. Alternatively, an explanation of why a DMC is not needed</w:t>
            </w:r>
          </w:p>
        </w:tc>
        <w:tc>
          <w:tcPr>
            <w:tcW w:w="1131" w:type="pct"/>
            <w:shd w:val="clear" w:color="auto" w:fill="FFFFFF"/>
            <w:tcMar>
              <w:top w:w="85" w:type="dxa"/>
              <w:bottom w:w="85" w:type="dxa"/>
            </w:tcMar>
          </w:tcPr>
          <w:p w:rsidR="00AF0431" w:rsidRDefault="003313DA">
            <w:pPr>
              <w:rPr>
                <w:rFonts w:ascii="Times New Roman" w:hAnsi="Times New Roman" w:cs="Times New Roman"/>
                <w:sz w:val="22"/>
                <w:szCs w:val="22"/>
                <w:lang w:val="en-US" w:eastAsia="zh-CN"/>
              </w:rPr>
            </w:pPr>
            <w:r>
              <w:rPr>
                <w:rFonts w:ascii="Times New Roman" w:hAnsi="Times New Roman" w:cs="Times New Roman"/>
                <w:sz w:val="22"/>
                <w:szCs w:val="22"/>
                <w:lang w:val="en-US" w:eastAsia="zh-CN"/>
              </w:rPr>
              <w:t>Not applicable</w:t>
            </w:r>
          </w:p>
        </w:tc>
      </w:tr>
      <w:tr w:rsidR="00AF0431">
        <w:tblPrEx>
          <w:shd w:val="clear" w:color="auto" w:fill="FFFFFF"/>
        </w:tblPrEx>
        <w:trPr>
          <w:cantSplit/>
          <w:trHeight w:val="491"/>
        </w:trPr>
        <w:tc>
          <w:tcPr>
            <w:tcW w:w="650" w:type="pct"/>
            <w:shd w:val="clear" w:color="auto" w:fill="FFFFFF"/>
            <w:tcMar>
              <w:top w:w="85" w:type="dxa"/>
              <w:bottom w:w="85" w:type="dxa"/>
            </w:tcMar>
          </w:tcPr>
          <w:p w:rsidR="00AF0431" w:rsidRDefault="00AF0431">
            <w:pPr>
              <w:rPr>
                <w:rFonts w:ascii="Times New Roman" w:hAnsi="Times New Roman" w:cs="Times New Roman"/>
                <w:sz w:val="22"/>
                <w:szCs w:val="22"/>
                <w:lang w:val="en-US"/>
              </w:rPr>
            </w:pPr>
          </w:p>
        </w:tc>
        <w:tc>
          <w:tcPr>
            <w:tcW w:w="295" w:type="pct"/>
            <w:shd w:val="clear" w:color="auto" w:fill="FFFFFF"/>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21b</w:t>
            </w:r>
          </w:p>
        </w:tc>
        <w:tc>
          <w:tcPr>
            <w:tcW w:w="2923" w:type="pct"/>
            <w:shd w:val="clear" w:color="auto" w:fill="FFFFFF"/>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Description of any interim analyses and stopping guidelines, including w</w:t>
            </w:r>
            <w:r>
              <w:rPr>
                <w:rFonts w:ascii="Times New Roman" w:hAnsi="Times New Roman" w:cs="Times New Roman"/>
                <w:sz w:val="22"/>
                <w:szCs w:val="22"/>
                <w:lang w:val="en-US"/>
              </w:rPr>
              <w:t>ho will have access to these interim results and make the final decision to terminate the trial</w:t>
            </w:r>
          </w:p>
        </w:tc>
        <w:tc>
          <w:tcPr>
            <w:tcW w:w="1131" w:type="pct"/>
            <w:shd w:val="clear" w:color="auto" w:fill="FFFFFF"/>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eastAsia="zh-CN"/>
              </w:rPr>
              <w:t>Not applicable</w:t>
            </w:r>
          </w:p>
        </w:tc>
      </w:tr>
      <w:tr w:rsidR="00AF0431">
        <w:tblPrEx>
          <w:shd w:val="clear" w:color="auto" w:fill="FFFFFF"/>
        </w:tblPrEx>
        <w:trPr>
          <w:cantSplit/>
          <w:trHeight w:val="259"/>
        </w:trPr>
        <w:tc>
          <w:tcPr>
            <w:tcW w:w="650" w:type="pct"/>
            <w:shd w:val="clear" w:color="auto" w:fill="FFFFFF"/>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Harms</w:t>
            </w:r>
          </w:p>
        </w:tc>
        <w:tc>
          <w:tcPr>
            <w:tcW w:w="295" w:type="pct"/>
            <w:shd w:val="clear" w:color="auto" w:fill="FFFFFF"/>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22</w:t>
            </w:r>
          </w:p>
        </w:tc>
        <w:tc>
          <w:tcPr>
            <w:tcW w:w="2923" w:type="pct"/>
            <w:shd w:val="clear" w:color="auto" w:fill="FFFFFF"/>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 xml:space="preserve">Plans for collecting, assessing, reporting, and managing solicited and spontaneously reported adverse events and other unintended </w:t>
            </w:r>
            <w:r>
              <w:rPr>
                <w:rFonts w:ascii="Times New Roman" w:hAnsi="Times New Roman" w:cs="Times New Roman"/>
                <w:sz w:val="22"/>
                <w:szCs w:val="22"/>
                <w:lang w:val="en-US"/>
              </w:rPr>
              <w:t>effects of trial interventions or trial conduct</w:t>
            </w:r>
          </w:p>
        </w:tc>
        <w:tc>
          <w:tcPr>
            <w:tcW w:w="1131" w:type="pct"/>
            <w:shd w:val="clear" w:color="auto" w:fill="FFFFFF"/>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eastAsia="zh-CN"/>
              </w:rPr>
              <w:t>Not applicable</w:t>
            </w:r>
          </w:p>
        </w:tc>
      </w:tr>
      <w:tr w:rsidR="00AF0431">
        <w:tblPrEx>
          <w:shd w:val="clear" w:color="auto" w:fill="FFFFFF"/>
        </w:tblPrEx>
        <w:trPr>
          <w:cantSplit/>
          <w:trHeight w:val="259"/>
        </w:trPr>
        <w:tc>
          <w:tcPr>
            <w:tcW w:w="650" w:type="pct"/>
            <w:shd w:val="clear" w:color="auto" w:fill="FFFFFF"/>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Auditing</w:t>
            </w:r>
          </w:p>
        </w:tc>
        <w:tc>
          <w:tcPr>
            <w:tcW w:w="295" w:type="pct"/>
            <w:shd w:val="clear" w:color="auto" w:fill="FFFFFF"/>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23</w:t>
            </w:r>
          </w:p>
        </w:tc>
        <w:tc>
          <w:tcPr>
            <w:tcW w:w="2923" w:type="pct"/>
            <w:shd w:val="clear" w:color="auto" w:fill="FFFFFF"/>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Frequency and procedures for auditing trial conduct, if any, and whether the process will be independent from investigators and the sponsor</w:t>
            </w:r>
          </w:p>
        </w:tc>
        <w:tc>
          <w:tcPr>
            <w:tcW w:w="1131" w:type="pct"/>
            <w:shd w:val="clear" w:color="auto" w:fill="FFFFFF"/>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eastAsia="zh-CN"/>
              </w:rPr>
              <w:t>Not applicable</w:t>
            </w:r>
          </w:p>
        </w:tc>
      </w:tr>
      <w:tr w:rsidR="00AF0431">
        <w:trPr>
          <w:cantSplit/>
          <w:trHeight w:val="259"/>
        </w:trPr>
        <w:tc>
          <w:tcPr>
            <w:tcW w:w="3868" w:type="pct"/>
            <w:gridSpan w:val="3"/>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Ethics and dissemination</w:t>
            </w:r>
          </w:p>
        </w:tc>
        <w:tc>
          <w:tcPr>
            <w:tcW w:w="1131" w:type="pct"/>
            <w:tcMar>
              <w:top w:w="85" w:type="dxa"/>
              <w:bottom w:w="85" w:type="dxa"/>
            </w:tcMar>
          </w:tcPr>
          <w:p w:rsidR="00AF0431" w:rsidRDefault="00AF0431">
            <w:pPr>
              <w:rPr>
                <w:rFonts w:ascii="Times New Roman" w:hAnsi="Times New Roman" w:cs="Times New Roman"/>
                <w:sz w:val="22"/>
                <w:szCs w:val="22"/>
                <w:lang w:val="en-US"/>
              </w:rPr>
            </w:pPr>
          </w:p>
        </w:tc>
      </w:tr>
      <w:tr w:rsidR="00AF0431">
        <w:trPr>
          <w:cantSplit/>
          <w:trHeight w:val="259"/>
        </w:trPr>
        <w:tc>
          <w:tcPr>
            <w:tcW w:w="650" w:type="pct"/>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Research ethics approval</w:t>
            </w:r>
          </w:p>
        </w:tc>
        <w:tc>
          <w:tcPr>
            <w:tcW w:w="295" w:type="pct"/>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24</w:t>
            </w:r>
          </w:p>
        </w:tc>
        <w:tc>
          <w:tcPr>
            <w:tcW w:w="2923" w:type="pct"/>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Plans for seeking research ethics committee/institutional review board (REC/IRB) approval</w:t>
            </w:r>
          </w:p>
        </w:tc>
        <w:tc>
          <w:tcPr>
            <w:tcW w:w="1131" w:type="pct"/>
            <w:tcMar>
              <w:top w:w="85" w:type="dxa"/>
              <w:bottom w:w="85" w:type="dxa"/>
            </w:tcMar>
          </w:tcPr>
          <w:p w:rsidR="00AF0431" w:rsidRDefault="003313DA">
            <w:pPr>
              <w:rPr>
                <w:rFonts w:ascii="Times New Roman" w:hAnsi="Times New Roman" w:cs="Times New Roman"/>
                <w:sz w:val="22"/>
                <w:szCs w:val="22"/>
                <w:lang w:val="en-US" w:eastAsia="zh-CN"/>
              </w:rPr>
            </w:pPr>
            <w:r>
              <w:rPr>
                <w:rFonts w:ascii="Times New Roman" w:hAnsi="Times New Roman" w:cs="Times New Roman"/>
                <w:sz w:val="22"/>
                <w:szCs w:val="22"/>
                <w:lang w:val="en-US" w:eastAsia="zh-CN"/>
              </w:rPr>
              <w:t>19-20</w:t>
            </w:r>
          </w:p>
        </w:tc>
      </w:tr>
      <w:tr w:rsidR="00AF0431">
        <w:trPr>
          <w:cantSplit/>
          <w:trHeight w:val="259"/>
        </w:trPr>
        <w:tc>
          <w:tcPr>
            <w:tcW w:w="650" w:type="pct"/>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Protocol amendments</w:t>
            </w:r>
          </w:p>
        </w:tc>
        <w:tc>
          <w:tcPr>
            <w:tcW w:w="295" w:type="pct"/>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25</w:t>
            </w:r>
          </w:p>
        </w:tc>
        <w:tc>
          <w:tcPr>
            <w:tcW w:w="2923" w:type="pct"/>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 xml:space="preserve">Plans for communicating important protocol modifications (eg, changes to eligibility criteria, outcomes, </w:t>
            </w:r>
            <w:r>
              <w:rPr>
                <w:rFonts w:ascii="Times New Roman" w:hAnsi="Times New Roman" w:cs="Times New Roman"/>
                <w:sz w:val="22"/>
                <w:szCs w:val="22"/>
                <w:lang w:val="en-US"/>
              </w:rPr>
              <w:t>analyses) to relevant parties (eg, investigators, REC/IRBs, trial participants, trial registries, journals, regulators)</w:t>
            </w:r>
          </w:p>
        </w:tc>
        <w:tc>
          <w:tcPr>
            <w:tcW w:w="1131" w:type="pct"/>
            <w:tcMar>
              <w:top w:w="85" w:type="dxa"/>
              <w:bottom w:w="85" w:type="dxa"/>
            </w:tcMar>
          </w:tcPr>
          <w:p w:rsidR="00AF0431" w:rsidRDefault="003313DA">
            <w:pPr>
              <w:rPr>
                <w:rFonts w:ascii="Times New Roman" w:hAnsi="Times New Roman" w:cs="Times New Roman"/>
                <w:sz w:val="22"/>
                <w:szCs w:val="22"/>
                <w:lang w:val="en-US" w:eastAsia="zh-CN"/>
              </w:rPr>
            </w:pPr>
            <w:r>
              <w:rPr>
                <w:rFonts w:ascii="Times New Roman" w:hAnsi="Times New Roman" w:cs="Times New Roman"/>
                <w:sz w:val="22"/>
                <w:szCs w:val="22"/>
                <w:lang w:val="en-US" w:eastAsia="zh-CN"/>
              </w:rPr>
              <w:t>19-20</w:t>
            </w:r>
          </w:p>
        </w:tc>
      </w:tr>
      <w:tr w:rsidR="00AF0431">
        <w:trPr>
          <w:cantSplit/>
          <w:trHeight w:val="259"/>
        </w:trPr>
        <w:tc>
          <w:tcPr>
            <w:tcW w:w="650" w:type="pct"/>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Consent or assent</w:t>
            </w:r>
          </w:p>
        </w:tc>
        <w:tc>
          <w:tcPr>
            <w:tcW w:w="295" w:type="pct"/>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26a</w:t>
            </w:r>
          </w:p>
        </w:tc>
        <w:tc>
          <w:tcPr>
            <w:tcW w:w="2923" w:type="pct"/>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 xml:space="preserve">Who will obtain informed consent or assent from potential trial participants or authorised surrogates, and </w:t>
            </w:r>
            <w:r>
              <w:rPr>
                <w:rFonts w:ascii="Times New Roman" w:hAnsi="Times New Roman" w:cs="Times New Roman"/>
                <w:sz w:val="22"/>
                <w:szCs w:val="22"/>
                <w:lang w:val="en-US"/>
              </w:rPr>
              <w:t>how (see Item 32)</w:t>
            </w:r>
          </w:p>
        </w:tc>
        <w:tc>
          <w:tcPr>
            <w:tcW w:w="1131" w:type="pct"/>
            <w:tcMar>
              <w:top w:w="85" w:type="dxa"/>
              <w:bottom w:w="85" w:type="dxa"/>
            </w:tcMar>
          </w:tcPr>
          <w:p w:rsidR="00AF0431" w:rsidRDefault="003313DA">
            <w:pPr>
              <w:rPr>
                <w:rFonts w:ascii="Times New Roman" w:hAnsi="Times New Roman" w:cs="Times New Roman"/>
                <w:sz w:val="22"/>
                <w:szCs w:val="22"/>
                <w:lang w:val="en-US" w:eastAsia="zh-CN"/>
              </w:rPr>
            </w:pPr>
            <w:r>
              <w:rPr>
                <w:rFonts w:ascii="Times New Roman" w:hAnsi="Times New Roman" w:cs="Times New Roman"/>
                <w:sz w:val="22"/>
                <w:szCs w:val="22"/>
                <w:lang w:val="en-US" w:eastAsia="zh-CN"/>
              </w:rPr>
              <w:t>Not applicable</w:t>
            </w:r>
          </w:p>
        </w:tc>
      </w:tr>
      <w:tr w:rsidR="00AF0431">
        <w:trPr>
          <w:cantSplit/>
          <w:trHeight w:val="259"/>
        </w:trPr>
        <w:tc>
          <w:tcPr>
            <w:tcW w:w="650" w:type="pct"/>
            <w:tcMar>
              <w:top w:w="85" w:type="dxa"/>
              <w:bottom w:w="85" w:type="dxa"/>
            </w:tcMar>
          </w:tcPr>
          <w:p w:rsidR="00AF0431" w:rsidRDefault="00AF0431">
            <w:pPr>
              <w:rPr>
                <w:rFonts w:ascii="Times New Roman" w:hAnsi="Times New Roman" w:cs="Times New Roman"/>
                <w:sz w:val="22"/>
                <w:szCs w:val="22"/>
                <w:lang w:val="en-US"/>
              </w:rPr>
            </w:pPr>
          </w:p>
        </w:tc>
        <w:tc>
          <w:tcPr>
            <w:tcW w:w="295" w:type="pct"/>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26b</w:t>
            </w:r>
          </w:p>
        </w:tc>
        <w:tc>
          <w:tcPr>
            <w:tcW w:w="2923" w:type="pct"/>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Additional consent provisions for collection and use of participant data and biological specimens in ancillary studies, if applicable</w:t>
            </w:r>
          </w:p>
        </w:tc>
        <w:tc>
          <w:tcPr>
            <w:tcW w:w="1131" w:type="pct"/>
            <w:tcMar>
              <w:top w:w="85" w:type="dxa"/>
              <w:bottom w:w="85" w:type="dxa"/>
            </w:tcMar>
          </w:tcPr>
          <w:p w:rsidR="00AF0431" w:rsidRDefault="003313DA">
            <w:pPr>
              <w:rPr>
                <w:rFonts w:ascii="Times New Roman" w:hAnsi="Times New Roman" w:cs="Times New Roman"/>
                <w:sz w:val="22"/>
                <w:szCs w:val="22"/>
                <w:lang w:val="en-US" w:eastAsia="zh-CN"/>
              </w:rPr>
            </w:pPr>
            <w:r>
              <w:rPr>
                <w:rFonts w:ascii="Times New Roman" w:hAnsi="Times New Roman" w:cs="Times New Roman"/>
                <w:sz w:val="22"/>
                <w:szCs w:val="22"/>
                <w:lang w:val="en-US" w:eastAsia="zh-CN"/>
              </w:rPr>
              <w:t>Not applicable</w:t>
            </w:r>
          </w:p>
        </w:tc>
      </w:tr>
      <w:tr w:rsidR="00AF0431">
        <w:trPr>
          <w:cantSplit/>
          <w:trHeight w:val="259"/>
        </w:trPr>
        <w:tc>
          <w:tcPr>
            <w:tcW w:w="650" w:type="pct"/>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Confidentiality</w:t>
            </w:r>
          </w:p>
        </w:tc>
        <w:tc>
          <w:tcPr>
            <w:tcW w:w="295" w:type="pct"/>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27</w:t>
            </w:r>
          </w:p>
        </w:tc>
        <w:tc>
          <w:tcPr>
            <w:tcW w:w="2923" w:type="pct"/>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 xml:space="preserve">How personal information about potential and </w:t>
            </w:r>
            <w:r>
              <w:rPr>
                <w:rFonts w:ascii="Times New Roman" w:hAnsi="Times New Roman" w:cs="Times New Roman"/>
                <w:sz w:val="22"/>
                <w:szCs w:val="22"/>
                <w:lang w:val="en-US"/>
              </w:rPr>
              <w:t>enrolled participants will be collected, shared, and maintained in order to protect confidentiality before, during, and after the trial</w:t>
            </w:r>
          </w:p>
        </w:tc>
        <w:tc>
          <w:tcPr>
            <w:tcW w:w="1131" w:type="pct"/>
            <w:tcMar>
              <w:top w:w="85" w:type="dxa"/>
              <w:bottom w:w="85" w:type="dxa"/>
            </w:tcMar>
          </w:tcPr>
          <w:p w:rsidR="00AF0431" w:rsidRDefault="003313DA">
            <w:pPr>
              <w:rPr>
                <w:rFonts w:ascii="Times New Roman" w:hAnsi="Times New Roman" w:cs="Times New Roman"/>
                <w:sz w:val="22"/>
                <w:szCs w:val="22"/>
                <w:lang w:val="en-US" w:eastAsia="zh-CN"/>
              </w:rPr>
            </w:pPr>
            <w:r>
              <w:rPr>
                <w:rFonts w:ascii="Times New Roman" w:hAnsi="Times New Roman" w:cs="Times New Roman"/>
                <w:sz w:val="22"/>
                <w:szCs w:val="22"/>
                <w:lang w:val="en-US" w:eastAsia="zh-CN"/>
              </w:rPr>
              <w:t>20</w:t>
            </w:r>
          </w:p>
        </w:tc>
      </w:tr>
      <w:tr w:rsidR="00AF0431">
        <w:trPr>
          <w:cantSplit/>
          <w:trHeight w:val="259"/>
        </w:trPr>
        <w:tc>
          <w:tcPr>
            <w:tcW w:w="650" w:type="pct"/>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Declaration of interests</w:t>
            </w:r>
          </w:p>
        </w:tc>
        <w:tc>
          <w:tcPr>
            <w:tcW w:w="295" w:type="pct"/>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28</w:t>
            </w:r>
          </w:p>
        </w:tc>
        <w:tc>
          <w:tcPr>
            <w:tcW w:w="2923" w:type="pct"/>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 xml:space="preserve">Financial and other competing interests for principal investigators for the overall </w:t>
            </w:r>
            <w:r>
              <w:rPr>
                <w:rFonts w:ascii="Times New Roman" w:hAnsi="Times New Roman" w:cs="Times New Roman"/>
                <w:sz w:val="22"/>
                <w:szCs w:val="22"/>
                <w:lang w:val="en-US"/>
              </w:rPr>
              <w:t>trial and each study site</w:t>
            </w:r>
          </w:p>
        </w:tc>
        <w:tc>
          <w:tcPr>
            <w:tcW w:w="1131" w:type="pct"/>
            <w:tcMar>
              <w:top w:w="85" w:type="dxa"/>
              <w:bottom w:w="85" w:type="dxa"/>
            </w:tcMar>
          </w:tcPr>
          <w:p w:rsidR="00AF0431" w:rsidRDefault="003313DA">
            <w:pPr>
              <w:rPr>
                <w:rFonts w:ascii="Times New Roman" w:hAnsi="Times New Roman" w:cs="Times New Roman"/>
                <w:sz w:val="22"/>
                <w:szCs w:val="22"/>
                <w:lang w:val="en-US" w:eastAsia="zh-CN"/>
              </w:rPr>
            </w:pPr>
            <w:r>
              <w:rPr>
                <w:rFonts w:ascii="Times New Roman" w:hAnsi="Times New Roman" w:cs="Times New Roman"/>
                <w:sz w:val="22"/>
                <w:szCs w:val="22"/>
                <w:lang w:val="en-US" w:eastAsia="zh-CN"/>
              </w:rPr>
              <w:t>4</w:t>
            </w:r>
          </w:p>
        </w:tc>
      </w:tr>
      <w:tr w:rsidR="00AF0431">
        <w:tblPrEx>
          <w:shd w:val="clear" w:color="auto" w:fill="FFFFFF"/>
        </w:tblPrEx>
        <w:trPr>
          <w:cantSplit/>
          <w:trHeight w:val="259"/>
        </w:trPr>
        <w:tc>
          <w:tcPr>
            <w:tcW w:w="650" w:type="pct"/>
            <w:shd w:val="clear" w:color="auto" w:fill="FFFFFF"/>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Access to data</w:t>
            </w:r>
          </w:p>
        </w:tc>
        <w:tc>
          <w:tcPr>
            <w:tcW w:w="295" w:type="pct"/>
            <w:shd w:val="clear" w:color="auto" w:fill="FFFFFF"/>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29</w:t>
            </w:r>
          </w:p>
        </w:tc>
        <w:tc>
          <w:tcPr>
            <w:tcW w:w="2923" w:type="pct"/>
            <w:shd w:val="clear" w:color="auto" w:fill="FFFFFF"/>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Statement of who will have access to the final trial dataset, and disclosure of contractual agreements that limit such access for investigators</w:t>
            </w:r>
          </w:p>
        </w:tc>
        <w:tc>
          <w:tcPr>
            <w:tcW w:w="1131" w:type="pct"/>
            <w:shd w:val="clear" w:color="auto" w:fill="FFFFFF"/>
            <w:tcMar>
              <w:top w:w="85" w:type="dxa"/>
              <w:bottom w:w="85" w:type="dxa"/>
            </w:tcMar>
          </w:tcPr>
          <w:p w:rsidR="00AF0431" w:rsidRDefault="003313DA">
            <w:pPr>
              <w:rPr>
                <w:rFonts w:ascii="Times New Roman" w:hAnsi="Times New Roman" w:cs="Times New Roman"/>
                <w:sz w:val="22"/>
                <w:szCs w:val="22"/>
                <w:lang w:val="en-US" w:eastAsia="zh-CN"/>
              </w:rPr>
            </w:pPr>
            <w:r>
              <w:rPr>
                <w:rFonts w:ascii="Times New Roman" w:hAnsi="Times New Roman" w:cs="Times New Roman"/>
                <w:sz w:val="22"/>
                <w:szCs w:val="22"/>
                <w:lang w:val="en-US" w:eastAsia="zh-CN"/>
              </w:rPr>
              <w:t>4</w:t>
            </w:r>
          </w:p>
        </w:tc>
      </w:tr>
      <w:tr w:rsidR="00AF0431">
        <w:tblPrEx>
          <w:shd w:val="clear" w:color="auto" w:fill="FFFFFF"/>
        </w:tblPrEx>
        <w:trPr>
          <w:cantSplit/>
          <w:trHeight w:val="259"/>
        </w:trPr>
        <w:tc>
          <w:tcPr>
            <w:tcW w:w="650" w:type="pct"/>
            <w:shd w:val="clear" w:color="auto" w:fill="FFFFFF"/>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Ancillary and post-trial care</w:t>
            </w:r>
          </w:p>
        </w:tc>
        <w:tc>
          <w:tcPr>
            <w:tcW w:w="295" w:type="pct"/>
            <w:shd w:val="clear" w:color="auto" w:fill="FFFFFF"/>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30</w:t>
            </w:r>
          </w:p>
        </w:tc>
        <w:tc>
          <w:tcPr>
            <w:tcW w:w="2923" w:type="pct"/>
            <w:shd w:val="clear" w:color="auto" w:fill="FFFFFF"/>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 xml:space="preserve">Provisions, if any, for </w:t>
            </w:r>
            <w:r>
              <w:rPr>
                <w:rFonts w:ascii="Times New Roman" w:hAnsi="Times New Roman" w:cs="Times New Roman"/>
                <w:sz w:val="22"/>
                <w:szCs w:val="22"/>
                <w:lang w:val="en-US"/>
              </w:rPr>
              <w:t>ancillary and post-trial care, and for compensation to those who suffer harm from trial participation</w:t>
            </w:r>
          </w:p>
        </w:tc>
        <w:tc>
          <w:tcPr>
            <w:tcW w:w="1131" w:type="pct"/>
            <w:shd w:val="clear" w:color="auto" w:fill="FFFFFF"/>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eastAsia="zh-CN"/>
              </w:rPr>
              <w:t>Not applicable</w:t>
            </w:r>
          </w:p>
        </w:tc>
      </w:tr>
      <w:tr w:rsidR="00AF0431">
        <w:trPr>
          <w:cantSplit/>
          <w:trHeight w:val="259"/>
        </w:trPr>
        <w:tc>
          <w:tcPr>
            <w:tcW w:w="650" w:type="pct"/>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lastRenderedPageBreak/>
              <w:t>Dissemination policy</w:t>
            </w:r>
          </w:p>
        </w:tc>
        <w:tc>
          <w:tcPr>
            <w:tcW w:w="295" w:type="pct"/>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31a</w:t>
            </w:r>
          </w:p>
        </w:tc>
        <w:tc>
          <w:tcPr>
            <w:tcW w:w="2923" w:type="pct"/>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Plans for investigators and sponsor to communicate trial results to participants, healthcare professionals, the p</w:t>
            </w:r>
            <w:r>
              <w:rPr>
                <w:rFonts w:ascii="Times New Roman" w:hAnsi="Times New Roman" w:cs="Times New Roman"/>
                <w:sz w:val="22"/>
                <w:szCs w:val="22"/>
                <w:lang w:val="en-US"/>
              </w:rPr>
              <w:t>ublic, and other relevant groups (eg, via publication, reporting in results databases, or other data sharing arrangements), including any publication restrictions</w:t>
            </w:r>
          </w:p>
        </w:tc>
        <w:tc>
          <w:tcPr>
            <w:tcW w:w="1131" w:type="pct"/>
            <w:tcMar>
              <w:top w:w="85" w:type="dxa"/>
              <w:bottom w:w="85" w:type="dxa"/>
            </w:tcMar>
          </w:tcPr>
          <w:p w:rsidR="00AF0431" w:rsidRDefault="003313DA">
            <w:pPr>
              <w:rPr>
                <w:rFonts w:ascii="Times New Roman" w:hAnsi="Times New Roman" w:cs="Times New Roman"/>
                <w:sz w:val="22"/>
                <w:szCs w:val="22"/>
                <w:lang w:val="en-US" w:eastAsia="zh-CN"/>
              </w:rPr>
            </w:pPr>
            <w:r>
              <w:rPr>
                <w:rFonts w:ascii="Times New Roman" w:hAnsi="Times New Roman" w:cs="Times New Roman"/>
                <w:sz w:val="22"/>
                <w:szCs w:val="22"/>
                <w:lang w:val="en-US" w:eastAsia="zh-CN"/>
              </w:rPr>
              <w:t>20</w:t>
            </w:r>
          </w:p>
        </w:tc>
      </w:tr>
      <w:tr w:rsidR="00AF0431">
        <w:trPr>
          <w:cantSplit/>
          <w:trHeight w:val="259"/>
        </w:trPr>
        <w:tc>
          <w:tcPr>
            <w:tcW w:w="650" w:type="pct"/>
            <w:tcMar>
              <w:top w:w="85" w:type="dxa"/>
              <w:bottom w:w="85" w:type="dxa"/>
            </w:tcMar>
          </w:tcPr>
          <w:p w:rsidR="00AF0431" w:rsidRDefault="00AF0431">
            <w:pPr>
              <w:rPr>
                <w:rFonts w:ascii="Times New Roman" w:hAnsi="Times New Roman" w:cs="Times New Roman"/>
                <w:sz w:val="22"/>
                <w:szCs w:val="22"/>
                <w:lang w:val="en-US"/>
              </w:rPr>
            </w:pPr>
          </w:p>
        </w:tc>
        <w:tc>
          <w:tcPr>
            <w:tcW w:w="295" w:type="pct"/>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31b</w:t>
            </w:r>
          </w:p>
        </w:tc>
        <w:tc>
          <w:tcPr>
            <w:tcW w:w="2923" w:type="pct"/>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Authorship eligibility guidelines and any intended use of professional writers</w:t>
            </w:r>
          </w:p>
        </w:tc>
        <w:tc>
          <w:tcPr>
            <w:tcW w:w="1131" w:type="pct"/>
            <w:tcMar>
              <w:top w:w="85" w:type="dxa"/>
              <w:bottom w:w="85" w:type="dxa"/>
            </w:tcMar>
          </w:tcPr>
          <w:p w:rsidR="00AF0431" w:rsidRDefault="003313DA">
            <w:pPr>
              <w:rPr>
                <w:rFonts w:ascii="Times New Roman" w:hAnsi="Times New Roman" w:cs="Times New Roman"/>
                <w:sz w:val="22"/>
                <w:szCs w:val="22"/>
                <w:lang w:val="en-US" w:eastAsia="zh-CN"/>
              </w:rPr>
            </w:pPr>
            <w:r>
              <w:rPr>
                <w:rFonts w:ascii="Times New Roman" w:hAnsi="Times New Roman" w:cs="Times New Roman"/>
                <w:sz w:val="22"/>
                <w:szCs w:val="22"/>
                <w:lang w:val="en-US" w:eastAsia="zh-CN"/>
              </w:rPr>
              <w:t>20</w:t>
            </w:r>
          </w:p>
        </w:tc>
      </w:tr>
      <w:tr w:rsidR="00AF0431">
        <w:trPr>
          <w:cantSplit/>
          <w:trHeight w:val="259"/>
        </w:trPr>
        <w:tc>
          <w:tcPr>
            <w:tcW w:w="650" w:type="pct"/>
            <w:tcMar>
              <w:top w:w="85" w:type="dxa"/>
              <w:bottom w:w="85" w:type="dxa"/>
            </w:tcMar>
          </w:tcPr>
          <w:p w:rsidR="00AF0431" w:rsidRDefault="00AF0431">
            <w:pPr>
              <w:rPr>
                <w:rFonts w:ascii="Times New Roman" w:hAnsi="Times New Roman" w:cs="Times New Roman"/>
                <w:sz w:val="22"/>
                <w:szCs w:val="22"/>
                <w:lang w:val="en-US"/>
              </w:rPr>
            </w:pPr>
          </w:p>
        </w:tc>
        <w:tc>
          <w:tcPr>
            <w:tcW w:w="295" w:type="pct"/>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31c</w:t>
            </w:r>
          </w:p>
        </w:tc>
        <w:tc>
          <w:tcPr>
            <w:tcW w:w="2923" w:type="pct"/>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Plans, if any, for granting public access to the full protocol, participant-level dataset, and statistical code</w:t>
            </w:r>
          </w:p>
        </w:tc>
        <w:tc>
          <w:tcPr>
            <w:tcW w:w="1131" w:type="pct"/>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eastAsia="zh-CN"/>
              </w:rPr>
              <w:t>Not applicable</w:t>
            </w:r>
          </w:p>
        </w:tc>
      </w:tr>
      <w:tr w:rsidR="00AF0431">
        <w:trPr>
          <w:cantSplit/>
          <w:trHeight w:val="259"/>
        </w:trPr>
        <w:tc>
          <w:tcPr>
            <w:tcW w:w="650" w:type="pct"/>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Appendices</w:t>
            </w:r>
          </w:p>
        </w:tc>
        <w:tc>
          <w:tcPr>
            <w:tcW w:w="295" w:type="pct"/>
          </w:tcPr>
          <w:p w:rsidR="00AF0431" w:rsidRDefault="00AF0431">
            <w:pPr>
              <w:rPr>
                <w:rFonts w:ascii="Times New Roman" w:hAnsi="Times New Roman" w:cs="Times New Roman"/>
                <w:sz w:val="22"/>
                <w:szCs w:val="22"/>
                <w:lang w:val="en-US"/>
              </w:rPr>
            </w:pPr>
          </w:p>
        </w:tc>
        <w:tc>
          <w:tcPr>
            <w:tcW w:w="2923" w:type="pct"/>
          </w:tcPr>
          <w:p w:rsidR="00AF0431" w:rsidRDefault="00AF0431">
            <w:pPr>
              <w:rPr>
                <w:rFonts w:ascii="Times New Roman" w:hAnsi="Times New Roman" w:cs="Times New Roman"/>
                <w:sz w:val="22"/>
                <w:szCs w:val="22"/>
                <w:lang w:val="en-US"/>
              </w:rPr>
            </w:pPr>
          </w:p>
        </w:tc>
        <w:tc>
          <w:tcPr>
            <w:tcW w:w="1131" w:type="pct"/>
          </w:tcPr>
          <w:p w:rsidR="00AF0431" w:rsidRDefault="00AF0431">
            <w:pPr>
              <w:rPr>
                <w:rFonts w:ascii="Times New Roman" w:hAnsi="Times New Roman" w:cs="Times New Roman"/>
                <w:sz w:val="22"/>
                <w:szCs w:val="22"/>
                <w:lang w:val="en-US"/>
              </w:rPr>
            </w:pPr>
          </w:p>
        </w:tc>
      </w:tr>
      <w:tr w:rsidR="00AF0431">
        <w:trPr>
          <w:cantSplit/>
          <w:trHeight w:val="259"/>
        </w:trPr>
        <w:tc>
          <w:tcPr>
            <w:tcW w:w="650" w:type="pct"/>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Informed consent materials</w:t>
            </w:r>
          </w:p>
        </w:tc>
        <w:tc>
          <w:tcPr>
            <w:tcW w:w="295" w:type="pct"/>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32</w:t>
            </w:r>
          </w:p>
        </w:tc>
        <w:tc>
          <w:tcPr>
            <w:tcW w:w="2923" w:type="pct"/>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 xml:space="preserve">Model consent form and other related documentation given to participants and </w:t>
            </w:r>
            <w:r>
              <w:rPr>
                <w:rFonts w:ascii="Times New Roman" w:hAnsi="Times New Roman" w:cs="Times New Roman"/>
                <w:sz w:val="22"/>
                <w:szCs w:val="22"/>
                <w:lang w:val="en-US"/>
              </w:rPr>
              <w:t>authorised surrogates</w:t>
            </w:r>
          </w:p>
        </w:tc>
        <w:tc>
          <w:tcPr>
            <w:tcW w:w="1131" w:type="pct"/>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eastAsia="zh-CN"/>
              </w:rPr>
              <w:t>Not applicable</w:t>
            </w:r>
          </w:p>
        </w:tc>
      </w:tr>
      <w:tr w:rsidR="00AF0431">
        <w:trPr>
          <w:cantSplit/>
          <w:trHeight w:val="259"/>
        </w:trPr>
        <w:tc>
          <w:tcPr>
            <w:tcW w:w="650" w:type="pct"/>
            <w:tcBorders>
              <w:bottom w:val="single" w:sz="4" w:space="0" w:color="auto"/>
            </w:tcBorders>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Biological specimens</w:t>
            </w:r>
          </w:p>
        </w:tc>
        <w:tc>
          <w:tcPr>
            <w:tcW w:w="295" w:type="pct"/>
            <w:tcBorders>
              <w:bottom w:val="single" w:sz="4" w:space="0" w:color="auto"/>
            </w:tcBorders>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33</w:t>
            </w:r>
          </w:p>
        </w:tc>
        <w:tc>
          <w:tcPr>
            <w:tcW w:w="2923" w:type="pct"/>
            <w:tcBorders>
              <w:bottom w:val="single" w:sz="4" w:space="0" w:color="auto"/>
            </w:tcBorders>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Plans for collection, laboratory evaluation, and storage of biological specimens for genetic or molecular analysis in the current trial and for future use in ancillary studies, if applicable</w:t>
            </w:r>
          </w:p>
        </w:tc>
        <w:tc>
          <w:tcPr>
            <w:tcW w:w="1131" w:type="pct"/>
            <w:tcBorders>
              <w:bottom w:val="single" w:sz="4" w:space="0" w:color="auto"/>
            </w:tcBorders>
            <w:tcMar>
              <w:top w:w="85" w:type="dxa"/>
              <w:bottom w:w="85" w:type="dxa"/>
            </w:tcMar>
          </w:tcPr>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eastAsia="zh-CN"/>
              </w:rPr>
              <w:t>Not</w:t>
            </w:r>
            <w:r>
              <w:rPr>
                <w:rFonts w:ascii="Times New Roman" w:hAnsi="Times New Roman" w:cs="Times New Roman"/>
                <w:sz w:val="22"/>
                <w:szCs w:val="22"/>
                <w:lang w:val="en-US" w:eastAsia="zh-CN"/>
              </w:rPr>
              <w:t xml:space="preserve"> applicable</w:t>
            </w:r>
          </w:p>
        </w:tc>
      </w:tr>
    </w:tbl>
    <w:p w:rsidR="00AF0431" w:rsidRDefault="003313DA">
      <w:pPr>
        <w:rPr>
          <w:rFonts w:ascii="Times New Roman" w:hAnsi="Times New Roman" w:cs="Times New Roman"/>
          <w:sz w:val="22"/>
          <w:szCs w:val="22"/>
          <w:lang w:val="en-US"/>
        </w:rPr>
      </w:pPr>
      <w:r>
        <w:rPr>
          <w:rFonts w:ascii="Times New Roman" w:hAnsi="Times New Roman" w:cs="Times New Roman"/>
          <w:sz w:val="22"/>
          <w:szCs w:val="22"/>
          <w:lang w:val="en-US"/>
        </w:rPr>
        <w:t xml:space="preserve">*It is strongly recommended that this checklist be read in conjunction with the SPIRIT 2013 Explanation &amp; Elaboration for important clarification on the items. Amendments to the protocol should be tracked and dated. The SPIRIT checklist is </w:t>
      </w:r>
      <w:r>
        <w:rPr>
          <w:rFonts w:ascii="Times New Roman" w:hAnsi="Times New Roman" w:cs="Times New Roman"/>
          <w:sz w:val="22"/>
          <w:szCs w:val="22"/>
          <w:lang w:val="en-US"/>
        </w:rPr>
        <w:t>copyrighted by the SPIRIT Group under the Creative Commons “</w:t>
      </w:r>
      <w:hyperlink r:id="rId14" w:tgtFrame="_blank" w:history="1">
        <w:r>
          <w:rPr>
            <w:rFonts w:ascii="Times New Roman" w:hAnsi="Times New Roman" w:cs="Times New Roman"/>
            <w:sz w:val="22"/>
            <w:szCs w:val="22"/>
            <w:lang w:val="en-US"/>
          </w:rPr>
          <w:t>Attribution-NonCommercial-NoDerivs 3.0 U</w:t>
        </w:r>
        <w:bookmarkStart w:id="1" w:name="_Hlt344887164"/>
        <w:bookmarkStart w:id="2" w:name="_Hlt344887163"/>
        <w:r>
          <w:rPr>
            <w:rFonts w:ascii="Times New Roman" w:hAnsi="Times New Roman" w:cs="Times New Roman"/>
            <w:sz w:val="22"/>
            <w:szCs w:val="22"/>
            <w:lang w:val="en-US"/>
          </w:rPr>
          <w:t>n</w:t>
        </w:r>
        <w:bookmarkEnd w:id="1"/>
        <w:bookmarkEnd w:id="2"/>
        <w:r>
          <w:rPr>
            <w:rFonts w:ascii="Times New Roman" w:hAnsi="Times New Roman" w:cs="Times New Roman"/>
            <w:sz w:val="22"/>
            <w:szCs w:val="22"/>
            <w:lang w:val="en-US"/>
          </w:rPr>
          <w:t>ported</w:t>
        </w:r>
      </w:hyperlink>
      <w:r>
        <w:rPr>
          <w:rFonts w:ascii="Times New Roman" w:hAnsi="Times New Roman" w:cs="Times New Roman"/>
          <w:sz w:val="22"/>
          <w:szCs w:val="22"/>
          <w:lang w:val="en-US"/>
        </w:rPr>
        <w:t>” license.</w:t>
      </w:r>
    </w:p>
    <w:p w:rsidR="00AF0431" w:rsidRDefault="00AF0431">
      <w:pPr>
        <w:rPr>
          <w:rFonts w:ascii="Times New Roman" w:hAnsi="Times New Roman" w:cs="Times New Roman"/>
          <w:sz w:val="22"/>
          <w:szCs w:val="22"/>
          <w:lang w:val="en-US"/>
        </w:rPr>
      </w:pPr>
    </w:p>
    <w:p w:rsidR="00AF0431" w:rsidRDefault="00AF0431">
      <w:pPr>
        <w:rPr>
          <w:rFonts w:ascii="Times New Roman" w:hAnsi="Times New Roman" w:cs="Times New Roman"/>
          <w:sz w:val="22"/>
          <w:szCs w:val="22"/>
          <w:lang w:val="en-US"/>
        </w:rPr>
      </w:pPr>
    </w:p>
    <w:p w:rsidR="00AF0431" w:rsidRDefault="00AF0431">
      <w:pPr>
        <w:rPr>
          <w:rFonts w:ascii="Times New Roman" w:hAnsi="Times New Roman" w:cs="Times New Roman"/>
          <w:sz w:val="22"/>
          <w:szCs w:val="22"/>
          <w:lang w:val="en-US"/>
        </w:rPr>
        <w:sectPr w:rsidR="00AF0431">
          <w:pgSz w:w="11906" w:h="16838"/>
          <w:pgMar w:top="1440" w:right="1440" w:bottom="1440" w:left="1014" w:header="708" w:footer="708" w:gutter="0"/>
          <w:lnNumType w:countBy="1" w:restart="continuous"/>
          <w:cols w:space="708"/>
          <w:docGrid w:linePitch="360"/>
        </w:sectPr>
      </w:pPr>
    </w:p>
    <w:p w:rsidR="00AF0431" w:rsidRDefault="003313DA">
      <w:pPr>
        <w:rPr>
          <w:rFonts w:ascii="Times New Roman" w:eastAsia="SimSun" w:hAnsi="Times New Roman" w:cs="Times New Roman"/>
          <w:sz w:val="22"/>
          <w:szCs w:val="22"/>
          <w:lang w:val="en-US" w:eastAsia="zh-CN"/>
        </w:rPr>
      </w:pPr>
      <w:r>
        <w:rPr>
          <w:rFonts w:ascii="Times New Roman" w:hAnsi="Times New Roman" w:cs="Times New Roman"/>
          <w:b/>
          <w:bCs/>
          <w:sz w:val="22"/>
          <w:szCs w:val="22"/>
          <w:lang w:val="en-US"/>
        </w:rPr>
        <w:lastRenderedPageBreak/>
        <w:t>Supplementary Table</w:t>
      </w:r>
      <w:r>
        <w:rPr>
          <w:rFonts w:ascii="Times New Roman" w:eastAsia="SimSun" w:hAnsi="Times New Roman" w:cs="Times New Roman"/>
          <w:b/>
          <w:bCs/>
          <w:sz w:val="22"/>
          <w:szCs w:val="22"/>
          <w:lang w:val="en-US" w:eastAsia="zh-CN"/>
        </w:rPr>
        <w:t xml:space="preserve"> 2. </w:t>
      </w:r>
      <w:r>
        <w:rPr>
          <w:rFonts w:ascii="Times New Roman" w:eastAsia="SimSun" w:hAnsi="Times New Roman" w:cs="Times New Roman"/>
          <w:sz w:val="22"/>
          <w:szCs w:val="22"/>
          <w:lang w:val="en-US" w:eastAsia="zh-CN"/>
        </w:rPr>
        <w:t xml:space="preserve">Definition </w:t>
      </w:r>
      <w:r>
        <w:rPr>
          <w:rFonts w:ascii="Times New Roman" w:eastAsia="SimSun" w:hAnsi="Times New Roman" w:cs="Times New Roman"/>
          <w:sz w:val="22"/>
          <w:szCs w:val="22"/>
          <w:lang w:val="en-US" w:eastAsia="zh-CN"/>
        </w:rPr>
        <w:t>and grading system of postpancreatectomy complications.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6"/>
        <w:gridCol w:w="7143"/>
      </w:tblGrid>
      <w:tr w:rsidR="00AF0431">
        <w:tc>
          <w:tcPr>
            <w:tcW w:w="2236" w:type="dxa"/>
            <w:tcBorders>
              <w:top w:val="single" w:sz="4" w:space="0" w:color="auto"/>
              <w:bottom w:val="single" w:sz="4" w:space="0" w:color="auto"/>
            </w:tcBorders>
          </w:tcPr>
          <w:p w:rsidR="00AF0431" w:rsidRDefault="003313DA">
            <w:pPr>
              <w:rPr>
                <w:rFonts w:ascii="Times New Roman" w:eastAsia="SimSun" w:hAnsi="Times New Roman" w:cs="Times New Roman"/>
                <w:sz w:val="22"/>
                <w:szCs w:val="22"/>
                <w:lang w:val="en-US" w:eastAsia="zh-CN"/>
              </w:rPr>
            </w:pPr>
            <w:r>
              <w:rPr>
                <w:rFonts w:ascii="Times New Roman" w:eastAsia="SimSun" w:hAnsi="Times New Roman" w:cs="Times New Roman"/>
                <w:sz w:val="22"/>
                <w:szCs w:val="22"/>
                <w:lang w:val="en-US" w:eastAsia="zh-CN"/>
              </w:rPr>
              <w:t>Complications</w:t>
            </w:r>
          </w:p>
        </w:tc>
        <w:tc>
          <w:tcPr>
            <w:tcW w:w="7143" w:type="dxa"/>
            <w:tcBorders>
              <w:top w:val="single" w:sz="4" w:space="0" w:color="auto"/>
              <w:bottom w:val="single" w:sz="4" w:space="0" w:color="auto"/>
            </w:tcBorders>
          </w:tcPr>
          <w:p w:rsidR="00AF0431" w:rsidRDefault="003313DA">
            <w:pPr>
              <w:rPr>
                <w:rFonts w:ascii="Times New Roman" w:eastAsia="SimSun" w:hAnsi="Times New Roman" w:cs="Times New Roman"/>
                <w:sz w:val="22"/>
                <w:szCs w:val="22"/>
                <w:lang w:val="en-US" w:eastAsia="zh-CN"/>
              </w:rPr>
            </w:pPr>
            <w:r>
              <w:rPr>
                <w:rFonts w:ascii="Times New Roman" w:eastAsia="SimSun" w:hAnsi="Times New Roman" w:cs="Times New Roman"/>
                <w:sz w:val="22"/>
                <w:szCs w:val="22"/>
                <w:lang w:val="en-US" w:eastAsia="zh-CN"/>
              </w:rPr>
              <w:t xml:space="preserve">Definition and grading system </w:t>
            </w:r>
          </w:p>
        </w:tc>
      </w:tr>
      <w:tr w:rsidR="00AF0431">
        <w:tc>
          <w:tcPr>
            <w:tcW w:w="2236" w:type="dxa"/>
            <w:tcBorders>
              <w:top w:val="single" w:sz="4" w:space="0" w:color="auto"/>
            </w:tcBorders>
          </w:tcPr>
          <w:p w:rsidR="00AF0431" w:rsidRDefault="003313DA">
            <w:pPr>
              <w:rPr>
                <w:rFonts w:ascii="Times New Roman" w:eastAsia="SimSun" w:hAnsi="Times New Roman" w:cs="Times New Roman"/>
                <w:sz w:val="22"/>
                <w:szCs w:val="22"/>
                <w:lang w:val="en-US" w:eastAsia="zh-CN"/>
              </w:rPr>
            </w:pPr>
            <w:r>
              <w:rPr>
                <w:rFonts w:ascii="Times New Roman" w:eastAsia="SimSun" w:hAnsi="Times New Roman" w:cs="Times New Roman"/>
                <w:sz w:val="22"/>
                <w:szCs w:val="22"/>
                <w:lang w:val="en-US" w:eastAsia="zh-CN"/>
              </w:rPr>
              <w:t>Postoperative pancreatic fistula (POPF)</w:t>
            </w:r>
          </w:p>
        </w:tc>
        <w:tc>
          <w:tcPr>
            <w:tcW w:w="7143" w:type="dxa"/>
            <w:tcBorders>
              <w:top w:val="single" w:sz="4" w:space="0" w:color="auto"/>
            </w:tcBorders>
          </w:tcPr>
          <w:p w:rsidR="00AF0431" w:rsidRDefault="003313DA">
            <w:pPr>
              <w:rPr>
                <w:rFonts w:ascii="Times New Roman" w:eastAsia="SimSun" w:hAnsi="Times New Roman" w:cs="Times New Roman"/>
                <w:sz w:val="22"/>
                <w:szCs w:val="22"/>
                <w:lang w:val="en-US" w:eastAsia="zh-CN"/>
              </w:rPr>
            </w:pPr>
            <w:r>
              <w:rPr>
                <w:rFonts w:ascii="Times New Roman" w:eastAsia="SimSun" w:hAnsi="Times New Roman" w:cs="Times New Roman"/>
                <w:sz w:val="22"/>
                <w:szCs w:val="22"/>
                <w:lang w:val="en-US" w:eastAsia="zh-CN"/>
              </w:rPr>
              <w:t>POPF is diagnosed when drain fluid amylase exceeds 3× the institutional upper limit of normal (ULN) serum amylase.</w:t>
            </w:r>
          </w:p>
          <w:p w:rsidR="00AF0431" w:rsidRDefault="003313DA">
            <w:pPr>
              <w:rPr>
                <w:rFonts w:ascii="Times New Roman" w:eastAsia="SimSun" w:hAnsi="Times New Roman" w:cs="Times New Roman"/>
                <w:sz w:val="22"/>
                <w:szCs w:val="22"/>
                <w:lang w:val="en-US" w:eastAsia="zh-CN"/>
              </w:rPr>
            </w:pPr>
            <w:r>
              <w:rPr>
                <w:rFonts w:ascii="Times New Roman" w:eastAsia="SimSun" w:hAnsi="Times New Roman" w:cs="Times New Roman"/>
                <w:sz w:val="22"/>
                <w:szCs w:val="22"/>
                <w:lang w:val="en-US" w:eastAsia="zh-CN"/>
              </w:rPr>
              <w:t>Biochemical Leak: Drain fluid amylase &gt; 3 × ULN, without clinical impact;</w:t>
            </w:r>
          </w:p>
          <w:p w:rsidR="00AF0431" w:rsidRDefault="003313DA">
            <w:pPr>
              <w:rPr>
                <w:rFonts w:ascii="Times New Roman" w:eastAsia="SimSun" w:hAnsi="Times New Roman" w:cs="Times New Roman"/>
                <w:sz w:val="22"/>
                <w:szCs w:val="22"/>
                <w:lang w:val="en-US" w:eastAsia="zh-CN"/>
              </w:rPr>
            </w:pPr>
            <w:r>
              <w:rPr>
                <w:rFonts w:ascii="Times New Roman" w:eastAsia="SimSun" w:hAnsi="Times New Roman" w:cs="Times New Roman"/>
                <w:sz w:val="22"/>
                <w:szCs w:val="22"/>
                <w:lang w:val="en-US" w:eastAsia="zh-CN"/>
              </w:rPr>
              <w:t xml:space="preserve">Grade B: meet biochemical criteria, plus ≥ 1 of: </w:t>
            </w:r>
          </w:p>
          <w:p w:rsidR="00AF0431" w:rsidRDefault="003313DA">
            <w:pPr>
              <w:rPr>
                <w:rFonts w:ascii="Times New Roman" w:eastAsia="SimSun" w:hAnsi="Times New Roman" w:cs="Times New Roman"/>
                <w:sz w:val="22"/>
                <w:szCs w:val="22"/>
                <w:lang w:val="en-US" w:eastAsia="zh-CN"/>
              </w:rPr>
            </w:pPr>
            <w:r>
              <w:rPr>
                <w:rFonts w:ascii="Times New Roman" w:eastAsia="SimSun" w:hAnsi="Times New Roman" w:cs="Times New Roman"/>
                <w:sz w:val="22"/>
                <w:szCs w:val="22"/>
                <w:lang w:val="en-US" w:eastAsia="zh-CN"/>
              </w:rPr>
              <w:t xml:space="preserve"> Persisting drainage &gt; 3 weeks;</w:t>
            </w:r>
          </w:p>
          <w:p w:rsidR="00AF0431" w:rsidRDefault="003313DA">
            <w:pPr>
              <w:rPr>
                <w:rFonts w:ascii="Times New Roman" w:eastAsia="SimSun" w:hAnsi="Times New Roman" w:cs="Times New Roman"/>
                <w:sz w:val="22"/>
                <w:szCs w:val="22"/>
                <w:lang w:val="en-US" w:eastAsia="zh-CN"/>
              </w:rPr>
            </w:pPr>
            <w:r>
              <w:rPr>
                <w:rFonts w:ascii="Times New Roman" w:eastAsia="SimSun" w:hAnsi="Times New Roman" w:cs="Times New Roman"/>
                <w:sz w:val="22"/>
                <w:szCs w:val="22"/>
                <w:lang w:val="en-US" w:eastAsia="zh-CN"/>
              </w:rPr>
              <w:t xml:space="preserve"> Requiring additional interventions including percutaneous or endoscopic drainage, angiographic pro</w:t>
            </w:r>
            <w:r>
              <w:rPr>
                <w:rFonts w:ascii="Times New Roman" w:eastAsia="SimSun" w:hAnsi="Times New Roman" w:cs="Times New Roman"/>
                <w:sz w:val="22"/>
                <w:szCs w:val="22"/>
                <w:lang w:val="en-US" w:eastAsia="zh-CN"/>
              </w:rPr>
              <w:t>cedures for bleeding, antibiotic therapy for infection, etc.</w:t>
            </w:r>
          </w:p>
          <w:p w:rsidR="00AF0431" w:rsidRDefault="003313DA">
            <w:pPr>
              <w:rPr>
                <w:rFonts w:ascii="Times New Roman" w:eastAsia="SimSun" w:hAnsi="Times New Roman" w:cs="Times New Roman"/>
                <w:sz w:val="22"/>
                <w:szCs w:val="22"/>
                <w:lang w:val="en-US" w:eastAsia="zh-CN"/>
              </w:rPr>
            </w:pPr>
            <w:r>
              <w:rPr>
                <w:rFonts w:ascii="Times New Roman" w:eastAsia="SimSun" w:hAnsi="Times New Roman" w:cs="Times New Roman"/>
                <w:sz w:val="22"/>
                <w:szCs w:val="22"/>
                <w:lang w:val="en-US" w:eastAsia="zh-CN"/>
              </w:rPr>
              <w:t>Grade C: requiring reoperation, presence of organ failure, or with a result of death.</w:t>
            </w:r>
          </w:p>
        </w:tc>
      </w:tr>
      <w:tr w:rsidR="00AF0431">
        <w:tc>
          <w:tcPr>
            <w:tcW w:w="2236" w:type="dxa"/>
          </w:tcPr>
          <w:p w:rsidR="00AF0431" w:rsidRDefault="003313DA">
            <w:pPr>
              <w:rPr>
                <w:rFonts w:ascii="Times New Roman" w:eastAsia="SimSun" w:hAnsi="Times New Roman" w:cs="Times New Roman"/>
                <w:sz w:val="22"/>
                <w:szCs w:val="22"/>
                <w:lang w:val="en-US" w:eastAsia="zh-CN"/>
              </w:rPr>
            </w:pPr>
            <w:r>
              <w:rPr>
                <w:rFonts w:ascii="Times New Roman" w:eastAsia="SimSun" w:hAnsi="Times New Roman" w:cs="Times New Roman"/>
                <w:sz w:val="22"/>
                <w:szCs w:val="22"/>
                <w:lang w:val="en-US" w:eastAsia="zh-CN"/>
              </w:rPr>
              <w:t>Bile leakage (BL)</w:t>
            </w:r>
          </w:p>
        </w:tc>
        <w:tc>
          <w:tcPr>
            <w:tcW w:w="7143" w:type="dxa"/>
          </w:tcPr>
          <w:p w:rsidR="00AF0431" w:rsidRDefault="003313DA">
            <w:pPr>
              <w:rPr>
                <w:rFonts w:ascii="Times New Roman" w:eastAsia="SimSun" w:hAnsi="Times New Roman" w:cs="Times New Roman"/>
                <w:sz w:val="22"/>
                <w:szCs w:val="22"/>
                <w:lang w:val="en-US" w:eastAsia="zh-CN"/>
              </w:rPr>
            </w:pPr>
            <w:r>
              <w:rPr>
                <w:rFonts w:ascii="Times New Roman" w:eastAsia="SimSun" w:hAnsi="Times New Roman" w:cs="Times New Roman"/>
                <w:sz w:val="22"/>
                <w:szCs w:val="22"/>
                <w:lang w:val="en-US" w:eastAsia="zh-CN"/>
              </w:rPr>
              <w:t>At least 3 times greater bilirubin concentration in drain or intra-abdominal fluid compare</w:t>
            </w:r>
            <w:r>
              <w:rPr>
                <w:rFonts w:ascii="Times New Roman" w:eastAsia="SimSun" w:hAnsi="Times New Roman" w:cs="Times New Roman"/>
                <w:sz w:val="22"/>
                <w:szCs w:val="22"/>
                <w:lang w:val="en-US" w:eastAsia="zh-CN"/>
              </w:rPr>
              <w:t>d to serum:</w:t>
            </w:r>
          </w:p>
          <w:p w:rsidR="00AF0431" w:rsidRDefault="003313DA">
            <w:pPr>
              <w:rPr>
                <w:rFonts w:ascii="Times New Roman" w:eastAsia="SimSun" w:hAnsi="Times New Roman" w:cs="Times New Roman"/>
                <w:sz w:val="22"/>
                <w:szCs w:val="22"/>
                <w:lang w:val="en-US" w:eastAsia="zh-CN"/>
              </w:rPr>
            </w:pPr>
            <w:r>
              <w:rPr>
                <w:rFonts w:ascii="Times New Roman" w:eastAsia="SimSun" w:hAnsi="Times New Roman" w:cs="Times New Roman"/>
                <w:sz w:val="22"/>
                <w:szCs w:val="22"/>
                <w:lang w:val="en-US" w:eastAsia="zh-CN"/>
              </w:rPr>
              <w:t>Grade A: BL managed conservatively and without therapeutic intervention;</w:t>
            </w:r>
          </w:p>
          <w:p w:rsidR="00AF0431" w:rsidRDefault="003313DA">
            <w:pPr>
              <w:rPr>
                <w:rFonts w:ascii="Times New Roman" w:eastAsia="SimSun" w:hAnsi="Times New Roman" w:cs="Times New Roman"/>
                <w:sz w:val="22"/>
                <w:szCs w:val="22"/>
                <w:lang w:val="en-US" w:eastAsia="zh-CN"/>
              </w:rPr>
            </w:pPr>
            <w:r>
              <w:rPr>
                <w:rFonts w:ascii="Times New Roman" w:eastAsia="SimSun" w:hAnsi="Times New Roman" w:cs="Times New Roman"/>
                <w:sz w:val="22"/>
                <w:szCs w:val="22"/>
                <w:lang w:val="en-US" w:eastAsia="zh-CN"/>
              </w:rPr>
              <w:t>Grade B: BL requiring nonoperative interventions, or persistent Grade A bile leakage (&gt; 7 days);</w:t>
            </w:r>
          </w:p>
          <w:p w:rsidR="00AF0431" w:rsidRDefault="003313DA">
            <w:pPr>
              <w:rPr>
                <w:rFonts w:ascii="Times New Roman" w:eastAsia="SimSun" w:hAnsi="Times New Roman" w:cs="Times New Roman"/>
                <w:sz w:val="22"/>
                <w:szCs w:val="22"/>
                <w:lang w:val="en-US" w:eastAsia="zh-CN"/>
              </w:rPr>
            </w:pPr>
            <w:r>
              <w:rPr>
                <w:rFonts w:ascii="Times New Roman" w:eastAsia="SimSun" w:hAnsi="Times New Roman" w:cs="Times New Roman"/>
                <w:sz w:val="22"/>
                <w:szCs w:val="22"/>
                <w:lang w:val="en-US" w:eastAsia="zh-CN"/>
              </w:rPr>
              <w:t>Grade C: BL requiring relaparotomy.</w:t>
            </w:r>
          </w:p>
        </w:tc>
      </w:tr>
      <w:tr w:rsidR="00AF0431">
        <w:tc>
          <w:tcPr>
            <w:tcW w:w="2236" w:type="dxa"/>
          </w:tcPr>
          <w:p w:rsidR="00AF0431" w:rsidRDefault="003313DA">
            <w:pPr>
              <w:rPr>
                <w:rFonts w:ascii="Times New Roman" w:eastAsia="SimSun" w:hAnsi="Times New Roman" w:cs="Times New Roman"/>
                <w:sz w:val="22"/>
                <w:szCs w:val="22"/>
                <w:lang w:val="en-US" w:eastAsia="zh-CN"/>
              </w:rPr>
            </w:pPr>
            <w:r>
              <w:rPr>
                <w:rFonts w:ascii="Times New Roman" w:eastAsia="SimSun" w:hAnsi="Times New Roman" w:cs="Times New Roman"/>
                <w:sz w:val="22"/>
                <w:szCs w:val="22"/>
                <w:lang w:val="en-US" w:eastAsia="zh-CN"/>
              </w:rPr>
              <w:t>Chyle leak (CL)</w:t>
            </w:r>
          </w:p>
        </w:tc>
        <w:tc>
          <w:tcPr>
            <w:tcW w:w="7143" w:type="dxa"/>
          </w:tcPr>
          <w:p w:rsidR="00AF0431" w:rsidRDefault="003313DA">
            <w:pPr>
              <w:rPr>
                <w:rFonts w:ascii="Times New Roman" w:eastAsia="SimSun" w:hAnsi="Times New Roman" w:cs="Times New Roman"/>
                <w:sz w:val="22"/>
                <w:szCs w:val="22"/>
                <w:lang w:val="en-US" w:eastAsia="zh-CN"/>
              </w:rPr>
            </w:pPr>
            <w:r>
              <w:rPr>
                <w:rFonts w:ascii="Times New Roman" w:eastAsia="SimSun" w:hAnsi="Times New Roman" w:cs="Times New Roman"/>
                <w:sz w:val="22"/>
                <w:szCs w:val="22"/>
                <w:lang w:val="en-US" w:eastAsia="zh-CN"/>
              </w:rPr>
              <w:t xml:space="preserve">Drain effluent </w:t>
            </w:r>
            <w:r>
              <w:rPr>
                <w:rFonts w:ascii="Times New Roman" w:eastAsia="SimSun" w:hAnsi="Times New Roman" w:cs="Times New Roman"/>
                <w:sz w:val="22"/>
                <w:szCs w:val="22"/>
                <w:lang w:val="en-US" w:eastAsia="zh-CN"/>
              </w:rPr>
              <w:t>demonstrate milky turbidity with triglyceride concentration ≥ 1 100 mg/L (1.2 mmol/L), on or after postoperative day 3:</w:t>
            </w:r>
          </w:p>
          <w:p w:rsidR="00AF0431" w:rsidRDefault="003313DA">
            <w:pPr>
              <w:rPr>
                <w:rFonts w:ascii="Times New Roman" w:eastAsia="SimSun" w:hAnsi="Times New Roman" w:cs="Times New Roman"/>
                <w:sz w:val="22"/>
                <w:szCs w:val="22"/>
                <w:lang w:val="en-US" w:eastAsia="zh-CN"/>
              </w:rPr>
            </w:pPr>
            <w:r>
              <w:rPr>
                <w:rFonts w:ascii="Times New Roman" w:eastAsia="SimSun" w:hAnsi="Times New Roman" w:cs="Times New Roman"/>
                <w:sz w:val="22"/>
                <w:szCs w:val="22"/>
                <w:lang w:val="en-US" w:eastAsia="zh-CN"/>
              </w:rPr>
              <w:t>Grade A: asymptomatic CL lasting within 7 days, with none intervention or oral dietary restrictions;</w:t>
            </w:r>
          </w:p>
          <w:p w:rsidR="00AF0431" w:rsidRDefault="003313DA">
            <w:pPr>
              <w:rPr>
                <w:rFonts w:ascii="Times New Roman" w:eastAsia="SimSun" w:hAnsi="Times New Roman" w:cs="Times New Roman"/>
                <w:sz w:val="22"/>
                <w:szCs w:val="22"/>
                <w:lang w:val="en-US" w:eastAsia="zh-CN"/>
              </w:rPr>
            </w:pPr>
            <w:r>
              <w:rPr>
                <w:rFonts w:ascii="Times New Roman" w:eastAsia="SimSun" w:hAnsi="Times New Roman" w:cs="Times New Roman"/>
                <w:sz w:val="22"/>
                <w:szCs w:val="22"/>
                <w:lang w:val="en-US" w:eastAsia="zh-CN"/>
              </w:rPr>
              <w:t xml:space="preserve">Grade B: </w:t>
            </w:r>
          </w:p>
          <w:p w:rsidR="00AF0431" w:rsidRDefault="003313DA">
            <w:pPr>
              <w:rPr>
                <w:rFonts w:ascii="Times New Roman" w:eastAsia="SimSun" w:hAnsi="Times New Roman" w:cs="Times New Roman"/>
                <w:sz w:val="22"/>
                <w:szCs w:val="22"/>
                <w:lang w:val="en-US" w:eastAsia="zh-CN"/>
              </w:rPr>
            </w:pPr>
            <w:r>
              <w:rPr>
                <w:rFonts w:ascii="Times New Roman" w:eastAsia="SimSun" w:hAnsi="Times New Roman" w:cs="Times New Roman"/>
                <w:sz w:val="22"/>
                <w:szCs w:val="22"/>
                <w:lang w:val="en-US" w:eastAsia="zh-CN"/>
              </w:rPr>
              <w:t>requiring ≥ 1 of:</w:t>
            </w:r>
          </w:p>
          <w:p w:rsidR="00AF0431" w:rsidRDefault="003313DA">
            <w:pPr>
              <w:rPr>
                <w:rFonts w:ascii="Times New Roman" w:eastAsia="SimSun" w:hAnsi="Times New Roman" w:cs="Times New Roman"/>
                <w:sz w:val="22"/>
                <w:szCs w:val="22"/>
                <w:lang w:val="en-US" w:eastAsia="zh-CN"/>
              </w:rPr>
            </w:pPr>
            <w:r>
              <w:rPr>
                <w:rFonts w:ascii="Times New Roman" w:eastAsia="SimSun" w:hAnsi="Times New Roman" w:cs="Times New Roman"/>
                <w:sz w:val="22"/>
                <w:szCs w:val="22"/>
                <w:lang w:val="en-US" w:eastAsia="zh-CN"/>
              </w:rPr>
              <w:t>Nasoent</w:t>
            </w:r>
            <w:r>
              <w:rPr>
                <w:rFonts w:ascii="Times New Roman" w:eastAsia="SimSun" w:hAnsi="Times New Roman" w:cs="Times New Roman"/>
                <w:sz w:val="22"/>
                <w:szCs w:val="22"/>
                <w:lang w:val="en-US" w:eastAsia="zh-CN"/>
              </w:rPr>
              <w:t>eral nutrition with dietary restriction and/or total parenteral nutrition (TPN);</w:t>
            </w:r>
          </w:p>
          <w:p w:rsidR="00AF0431" w:rsidRDefault="003313DA">
            <w:pPr>
              <w:rPr>
                <w:rFonts w:ascii="Times New Roman" w:eastAsia="SimSun" w:hAnsi="Times New Roman" w:cs="Times New Roman"/>
                <w:sz w:val="22"/>
                <w:szCs w:val="22"/>
                <w:lang w:val="en-US" w:eastAsia="zh-CN"/>
              </w:rPr>
            </w:pPr>
            <w:r>
              <w:rPr>
                <w:rFonts w:ascii="Times New Roman" w:eastAsia="SimSun" w:hAnsi="Times New Roman" w:cs="Times New Roman"/>
                <w:sz w:val="22"/>
                <w:szCs w:val="22"/>
                <w:lang w:val="en-US" w:eastAsia="zh-CN"/>
              </w:rPr>
              <w:t>Prolonged drainage (&gt; 7 days) or percutaneous drainage;</w:t>
            </w:r>
          </w:p>
          <w:p w:rsidR="00AF0431" w:rsidRDefault="003313DA">
            <w:pPr>
              <w:rPr>
                <w:rFonts w:ascii="Times New Roman" w:eastAsia="SimSun" w:hAnsi="Times New Roman" w:cs="Times New Roman"/>
                <w:sz w:val="22"/>
                <w:szCs w:val="22"/>
                <w:lang w:val="en-US" w:eastAsia="zh-CN"/>
              </w:rPr>
            </w:pPr>
            <w:r>
              <w:rPr>
                <w:rFonts w:ascii="Times New Roman" w:eastAsia="SimSun" w:hAnsi="Times New Roman" w:cs="Times New Roman"/>
                <w:sz w:val="22"/>
                <w:szCs w:val="22"/>
                <w:lang w:val="en-US" w:eastAsia="zh-CN"/>
              </w:rPr>
              <w:t>Drug treatment (somatostatin analogs, antibiotics, etc.)</w:t>
            </w:r>
          </w:p>
          <w:p w:rsidR="00AF0431" w:rsidRDefault="003313DA">
            <w:pPr>
              <w:rPr>
                <w:rFonts w:ascii="Times New Roman" w:eastAsia="SimSun" w:hAnsi="Times New Roman" w:cs="Times New Roman"/>
                <w:sz w:val="22"/>
                <w:szCs w:val="22"/>
                <w:lang w:val="en-US" w:eastAsia="zh-CN"/>
              </w:rPr>
            </w:pPr>
            <w:r>
              <w:rPr>
                <w:rFonts w:ascii="Times New Roman" w:eastAsia="SimSun" w:hAnsi="Times New Roman" w:cs="Times New Roman"/>
                <w:sz w:val="22"/>
                <w:szCs w:val="22"/>
                <w:lang w:val="en-US" w:eastAsia="zh-CN"/>
              </w:rPr>
              <w:t xml:space="preserve">Grade C: requiring invasive interventions beyond percutaneous </w:t>
            </w:r>
            <w:r>
              <w:rPr>
                <w:rFonts w:ascii="Times New Roman" w:eastAsia="SimSun" w:hAnsi="Times New Roman" w:cs="Times New Roman"/>
                <w:sz w:val="22"/>
                <w:szCs w:val="22"/>
                <w:lang w:val="en-US" w:eastAsia="zh-CN"/>
              </w:rPr>
              <w:t>drainage, ICU admission, or with a result of death. B-grade cases requiring readmission for invasive interventions are reclassified as Grade C.</w:t>
            </w:r>
          </w:p>
        </w:tc>
      </w:tr>
      <w:tr w:rsidR="00AF0431">
        <w:tc>
          <w:tcPr>
            <w:tcW w:w="2236" w:type="dxa"/>
          </w:tcPr>
          <w:p w:rsidR="00AF0431" w:rsidRDefault="003313DA">
            <w:pPr>
              <w:rPr>
                <w:rFonts w:ascii="Times New Roman" w:eastAsia="SimSun" w:hAnsi="Times New Roman" w:cs="Times New Roman"/>
                <w:sz w:val="22"/>
                <w:szCs w:val="22"/>
                <w:lang w:val="en-US" w:eastAsia="zh-CN"/>
              </w:rPr>
            </w:pPr>
            <w:r>
              <w:rPr>
                <w:rFonts w:ascii="Times New Roman" w:eastAsia="SimSun" w:hAnsi="Times New Roman" w:cs="Times New Roman"/>
                <w:sz w:val="22"/>
                <w:szCs w:val="22"/>
                <w:lang w:val="en-US" w:eastAsia="zh-CN"/>
              </w:rPr>
              <w:t>Postpancreatectomy hemorrhage (PPH)</w:t>
            </w:r>
          </w:p>
        </w:tc>
        <w:tc>
          <w:tcPr>
            <w:tcW w:w="7143" w:type="dxa"/>
          </w:tcPr>
          <w:p w:rsidR="00AF0431" w:rsidRDefault="003313DA">
            <w:pPr>
              <w:rPr>
                <w:rFonts w:ascii="Times New Roman" w:eastAsia="SimSun" w:hAnsi="Times New Roman" w:cs="Times New Roman"/>
                <w:sz w:val="22"/>
                <w:szCs w:val="22"/>
                <w:lang w:val="en-US" w:eastAsia="zh-CN"/>
              </w:rPr>
            </w:pPr>
            <w:r>
              <w:rPr>
                <w:rFonts w:ascii="Times New Roman" w:eastAsia="SimSun" w:hAnsi="Times New Roman" w:cs="Times New Roman"/>
                <w:sz w:val="22"/>
                <w:szCs w:val="22"/>
                <w:lang w:val="en-US" w:eastAsia="zh-CN"/>
              </w:rPr>
              <w:t>Hemorrhagic manifestations requiring classification per:</w:t>
            </w:r>
          </w:p>
          <w:p w:rsidR="00AF0431" w:rsidRDefault="003313DA">
            <w:pPr>
              <w:rPr>
                <w:rFonts w:ascii="Times New Roman" w:eastAsia="SimSun" w:hAnsi="Times New Roman" w:cs="Times New Roman"/>
                <w:sz w:val="22"/>
                <w:szCs w:val="22"/>
                <w:lang w:val="en-US" w:eastAsia="zh-CN"/>
              </w:rPr>
            </w:pPr>
            <w:r>
              <w:rPr>
                <w:rFonts w:ascii="Times New Roman" w:eastAsia="SimSun" w:hAnsi="Times New Roman" w:cs="Times New Roman"/>
                <w:sz w:val="22"/>
                <w:szCs w:val="22"/>
                <w:lang w:val="en-US" w:eastAsia="zh-CN"/>
              </w:rPr>
              <w:t xml:space="preserve">Onset time: </w:t>
            </w:r>
          </w:p>
          <w:p w:rsidR="00AF0431" w:rsidRDefault="003313DA">
            <w:pPr>
              <w:rPr>
                <w:rFonts w:ascii="Times New Roman" w:eastAsia="SimSun" w:hAnsi="Times New Roman" w:cs="Times New Roman"/>
                <w:sz w:val="22"/>
                <w:szCs w:val="22"/>
                <w:lang w:val="en-US" w:eastAsia="zh-CN"/>
              </w:rPr>
            </w:pPr>
            <w:r>
              <w:rPr>
                <w:rFonts w:ascii="Times New Roman" w:eastAsia="SimSun" w:hAnsi="Times New Roman" w:cs="Times New Roman"/>
                <w:sz w:val="22"/>
                <w:szCs w:val="22"/>
                <w:lang w:val="en-US" w:eastAsia="zh-CN"/>
              </w:rPr>
              <w:t>Early</w:t>
            </w:r>
            <w:r>
              <w:rPr>
                <w:rFonts w:ascii="Times New Roman" w:eastAsia="SimSun" w:hAnsi="Times New Roman" w:cs="Times New Roman"/>
                <w:sz w:val="22"/>
                <w:szCs w:val="22"/>
                <w:lang w:val="en-US" w:eastAsia="zh-CN"/>
              </w:rPr>
              <w:t xml:space="preserve"> onset: ≤ 24 hours postoperatively</w:t>
            </w:r>
          </w:p>
          <w:p w:rsidR="00AF0431" w:rsidRDefault="003313DA">
            <w:pPr>
              <w:rPr>
                <w:rFonts w:ascii="Times New Roman" w:eastAsia="SimSun" w:hAnsi="Times New Roman" w:cs="Times New Roman"/>
                <w:sz w:val="22"/>
                <w:szCs w:val="22"/>
                <w:lang w:val="en-US" w:eastAsia="zh-CN"/>
              </w:rPr>
            </w:pPr>
            <w:r>
              <w:rPr>
                <w:rFonts w:ascii="Times New Roman" w:eastAsia="SimSun" w:hAnsi="Times New Roman" w:cs="Times New Roman"/>
                <w:sz w:val="22"/>
                <w:szCs w:val="22"/>
                <w:lang w:val="en-US" w:eastAsia="zh-CN"/>
              </w:rPr>
              <w:t>Late onset: &gt; 24 hours postoperatively</w:t>
            </w:r>
          </w:p>
          <w:p w:rsidR="00AF0431" w:rsidRDefault="003313DA">
            <w:pPr>
              <w:rPr>
                <w:rFonts w:ascii="Times New Roman" w:eastAsia="SimSun" w:hAnsi="Times New Roman" w:cs="Times New Roman"/>
                <w:sz w:val="22"/>
                <w:szCs w:val="22"/>
                <w:lang w:val="en-US" w:eastAsia="zh-CN"/>
              </w:rPr>
            </w:pPr>
            <w:r>
              <w:rPr>
                <w:rFonts w:ascii="Times New Roman" w:eastAsia="SimSun" w:hAnsi="Times New Roman" w:cs="Times New Roman"/>
                <w:sz w:val="22"/>
                <w:szCs w:val="22"/>
                <w:lang w:val="en-US" w:eastAsia="zh-CN"/>
              </w:rPr>
              <w:t>Location: intraluminal or extraluminal</w:t>
            </w:r>
          </w:p>
          <w:p w:rsidR="00AF0431" w:rsidRDefault="003313DA">
            <w:pPr>
              <w:rPr>
                <w:rFonts w:ascii="Times New Roman" w:eastAsia="SimSun" w:hAnsi="Times New Roman" w:cs="Times New Roman"/>
                <w:sz w:val="22"/>
                <w:szCs w:val="22"/>
                <w:lang w:val="en-US" w:eastAsia="zh-CN"/>
              </w:rPr>
            </w:pPr>
            <w:r>
              <w:rPr>
                <w:rFonts w:ascii="Times New Roman" w:eastAsia="SimSun" w:hAnsi="Times New Roman" w:cs="Times New Roman"/>
                <w:sz w:val="22"/>
                <w:szCs w:val="22"/>
                <w:lang w:val="en-US" w:eastAsia="zh-CN"/>
              </w:rPr>
              <w:t>Severity:</w:t>
            </w:r>
          </w:p>
          <w:p w:rsidR="00AF0431" w:rsidRDefault="003313DA">
            <w:pPr>
              <w:rPr>
                <w:rFonts w:ascii="Times New Roman" w:eastAsia="SimSun" w:hAnsi="Times New Roman" w:cs="Times New Roman"/>
                <w:sz w:val="22"/>
                <w:szCs w:val="22"/>
                <w:lang w:val="en-US" w:eastAsia="zh-CN"/>
              </w:rPr>
            </w:pPr>
            <w:r>
              <w:rPr>
                <w:rFonts w:ascii="Times New Roman" w:eastAsia="SimSun" w:hAnsi="Times New Roman" w:cs="Times New Roman"/>
                <w:sz w:val="22"/>
                <w:szCs w:val="22"/>
                <w:lang w:val="en-US" w:eastAsia="zh-CN"/>
              </w:rPr>
              <w:t>Mild: Hemoglobin concentration drop ≤ 30 g/L, transfusion ≤ 3 units packed red blood cells (PRBC)</w:t>
            </w:r>
          </w:p>
          <w:p w:rsidR="00AF0431" w:rsidRDefault="003313DA">
            <w:pPr>
              <w:rPr>
                <w:rFonts w:ascii="Times New Roman" w:eastAsia="SimSun" w:hAnsi="Times New Roman" w:cs="Times New Roman"/>
                <w:sz w:val="22"/>
                <w:szCs w:val="22"/>
                <w:lang w:val="en-US" w:eastAsia="zh-CN"/>
              </w:rPr>
            </w:pPr>
            <w:r>
              <w:rPr>
                <w:rFonts w:ascii="Times New Roman" w:eastAsia="SimSun" w:hAnsi="Times New Roman" w:cs="Times New Roman"/>
                <w:sz w:val="22"/>
                <w:szCs w:val="22"/>
                <w:lang w:val="en-US" w:eastAsia="zh-CN"/>
              </w:rPr>
              <w:t xml:space="preserve">Severe: Hemoglobin concentration &gt; </w:t>
            </w:r>
            <w:r>
              <w:rPr>
                <w:rFonts w:ascii="Times New Roman" w:eastAsia="SimSun" w:hAnsi="Times New Roman" w:cs="Times New Roman"/>
                <w:sz w:val="22"/>
                <w:szCs w:val="22"/>
                <w:lang w:val="en-US" w:eastAsia="zh-CN"/>
              </w:rPr>
              <w:t>30 g/L, transfusion &gt; 3 units PRBC</w:t>
            </w:r>
          </w:p>
          <w:p w:rsidR="00AF0431" w:rsidRDefault="003313DA">
            <w:pPr>
              <w:rPr>
                <w:rFonts w:ascii="Times New Roman" w:eastAsia="SimSun" w:hAnsi="Times New Roman" w:cs="Times New Roman"/>
                <w:sz w:val="22"/>
                <w:szCs w:val="22"/>
                <w:lang w:val="en-US" w:eastAsia="zh-CN"/>
              </w:rPr>
            </w:pPr>
            <w:r>
              <w:rPr>
                <w:rFonts w:ascii="Times New Roman" w:eastAsia="SimSun" w:hAnsi="Times New Roman" w:cs="Times New Roman"/>
                <w:sz w:val="22"/>
                <w:szCs w:val="22"/>
                <w:lang w:val="en-US" w:eastAsia="zh-CN"/>
              </w:rPr>
              <w:t>Grade A: early-onset mild bleeding, without significant clinical impact.</w:t>
            </w:r>
          </w:p>
          <w:p w:rsidR="00AF0431" w:rsidRDefault="003313DA">
            <w:pPr>
              <w:rPr>
                <w:rFonts w:ascii="Times New Roman" w:eastAsia="SimSun" w:hAnsi="Times New Roman" w:cs="Times New Roman"/>
                <w:sz w:val="22"/>
                <w:szCs w:val="22"/>
                <w:lang w:val="en-US" w:eastAsia="zh-CN"/>
              </w:rPr>
            </w:pPr>
            <w:r>
              <w:rPr>
                <w:rFonts w:ascii="Times New Roman" w:eastAsia="SimSun" w:hAnsi="Times New Roman" w:cs="Times New Roman"/>
                <w:sz w:val="22"/>
                <w:szCs w:val="22"/>
                <w:lang w:val="en-US" w:eastAsia="zh-CN"/>
              </w:rPr>
              <w:t xml:space="preserve">Grade B: </w:t>
            </w:r>
          </w:p>
          <w:p w:rsidR="00AF0431" w:rsidRDefault="003313DA">
            <w:pPr>
              <w:rPr>
                <w:rFonts w:ascii="Times New Roman" w:eastAsia="SimSun" w:hAnsi="Times New Roman" w:cs="Times New Roman"/>
                <w:sz w:val="22"/>
                <w:szCs w:val="22"/>
                <w:lang w:val="en-US" w:eastAsia="zh-CN"/>
              </w:rPr>
            </w:pPr>
            <w:r>
              <w:rPr>
                <w:rFonts w:ascii="Times New Roman" w:eastAsia="SimSun" w:hAnsi="Times New Roman" w:cs="Times New Roman"/>
                <w:sz w:val="22"/>
                <w:szCs w:val="22"/>
                <w:lang w:val="en-US" w:eastAsia="zh-CN"/>
              </w:rPr>
              <w:t>Clinically significant bleeding requiring interventions.</w:t>
            </w:r>
          </w:p>
          <w:p w:rsidR="00AF0431" w:rsidRDefault="003313DA">
            <w:pPr>
              <w:rPr>
                <w:rFonts w:ascii="Times New Roman" w:eastAsia="SimSun" w:hAnsi="Times New Roman" w:cs="Times New Roman"/>
                <w:sz w:val="22"/>
                <w:szCs w:val="22"/>
                <w:lang w:val="en-US" w:eastAsia="zh-CN"/>
              </w:rPr>
            </w:pPr>
            <w:r>
              <w:rPr>
                <w:rFonts w:ascii="Times New Roman" w:eastAsia="SimSun" w:hAnsi="Times New Roman" w:cs="Times New Roman"/>
                <w:sz w:val="22"/>
                <w:szCs w:val="22"/>
                <w:lang w:val="en-US" w:eastAsia="zh-CN"/>
              </w:rPr>
              <w:t>Early-onset severe bleeding</w:t>
            </w:r>
          </w:p>
          <w:p w:rsidR="00AF0431" w:rsidRDefault="003313DA">
            <w:pPr>
              <w:rPr>
                <w:rFonts w:ascii="Times New Roman" w:eastAsia="SimSun" w:hAnsi="Times New Roman" w:cs="Times New Roman"/>
                <w:sz w:val="22"/>
                <w:szCs w:val="22"/>
                <w:lang w:val="en-US" w:eastAsia="zh-CN"/>
              </w:rPr>
            </w:pPr>
            <w:r>
              <w:rPr>
                <w:rFonts w:ascii="Times New Roman" w:eastAsia="SimSun" w:hAnsi="Times New Roman" w:cs="Times New Roman"/>
                <w:sz w:val="22"/>
                <w:szCs w:val="22"/>
                <w:lang w:val="en-US" w:eastAsia="zh-CN"/>
              </w:rPr>
              <w:t>Late-onset mild bleeding</w:t>
            </w:r>
          </w:p>
          <w:p w:rsidR="00AF0431" w:rsidRDefault="003313DA">
            <w:pPr>
              <w:rPr>
                <w:rFonts w:ascii="Times New Roman" w:eastAsia="SimSun" w:hAnsi="Times New Roman" w:cs="Times New Roman"/>
                <w:sz w:val="22"/>
                <w:szCs w:val="22"/>
                <w:lang w:val="en-US" w:eastAsia="zh-CN"/>
              </w:rPr>
            </w:pPr>
            <w:r>
              <w:rPr>
                <w:rFonts w:ascii="Times New Roman" w:eastAsia="SimSun" w:hAnsi="Times New Roman" w:cs="Times New Roman"/>
                <w:sz w:val="22"/>
                <w:szCs w:val="22"/>
                <w:lang w:val="en-US" w:eastAsia="zh-CN"/>
              </w:rPr>
              <w:t xml:space="preserve">Grade C: late-onset severe </w:t>
            </w:r>
            <w:r>
              <w:rPr>
                <w:rFonts w:ascii="Times New Roman" w:eastAsia="SimSun" w:hAnsi="Times New Roman" w:cs="Times New Roman"/>
                <w:sz w:val="22"/>
                <w:szCs w:val="22"/>
                <w:lang w:val="en-US" w:eastAsia="zh-CN"/>
              </w:rPr>
              <w:t>bleeding, with a presence of hypovolemic shock.</w:t>
            </w:r>
          </w:p>
        </w:tc>
      </w:tr>
      <w:tr w:rsidR="00AF0431">
        <w:tc>
          <w:tcPr>
            <w:tcW w:w="2236" w:type="dxa"/>
          </w:tcPr>
          <w:p w:rsidR="00AF0431" w:rsidRDefault="003313DA">
            <w:pPr>
              <w:rPr>
                <w:rFonts w:ascii="Times New Roman" w:eastAsia="SimSun" w:hAnsi="Times New Roman" w:cs="Times New Roman"/>
                <w:sz w:val="22"/>
                <w:szCs w:val="22"/>
                <w:lang w:val="en-US" w:eastAsia="zh-CN"/>
              </w:rPr>
            </w:pPr>
            <w:r>
              <w:rPr>
                <w:rFonts w:ascii="Times New Roman" w:eastAsia="SimSun" w:hAnsi="Times New Roman" w:cs="Times New Roman"/>
                <w:sz w:val="22"/>
                <w:szCs w:val="22"/>
                <w:lang w:val="en-US" w:eastAsia="zh-CN"/>
              </w:rPr>
              <w:t>Delayed gastric emptying (DGE)</w:t>
            </w:r>
          </w:p>
        </w:tc>
        <w:tc>
          <w:tcPr>
            <w:tcW w:w="7143" w:type="dxa"/>
          </w:tcPr>
          <w:p w:rsidR="00AF0431" w:rsidRDefault="003313DA">
            <w:pPr>
              <w:rPr>
                <w:rFonts w:ascii="Times New Roman" w:eastAsia="SimSun" w:hAnsi="Times New Roman" w:cs="Times New Roman"/>
                <w:sz w:val="22"/>
                <w:szCs w:val="22"/>
                <w:lang w:val="en-US" w:eastAsia="zh-CN"/>
              </w:rPr>
            </w:pPr>
            <w:r>
              <w:rPr>
                <w:rFonts w:ascii="Times New Roman" w:eastAsia="SimSun" w:hAnsi="Times New Roman" w:cs="Times New Roman"/>
                <w:sz w:val="22"/>
                <w:szCs w:val="22"/>
                <w:lang w:val="en-US" w:eastAsia="zh-CN"/>
              </w:rPr>
              <w:t>Excluding mechanical construction of digestive tract:</w:t>
            </w:r>
          </w:p>
          <w:p w:rsidR="00AF0431" w:rsidRDefault="003313DA">
            <w:pPr>
              <w:rPr>
                <w:rFonts w:ascii="Times New Roman" w:eastAsia="SimSun" w:hAnsi="Times New Roman" w:cs="Times New Roman"/>
                <w:sz w:val="22"/>
                <w:szCs w:val="22"/>
                <w:lang w:val="en-US" w:eastAsia="zh-CN"/>
              </w:rPr>
            </w:pPr>
            <w:r>
              <w:rPr>
                <w:rFonts w:ascii="Times New Roman" w:eastAsia="SimSun" w:hAnsi="Times New Roman" w:cs="Times New Roman"/>
                <w:sz w:val="22"/>
                <w:szCs w:val="22"/>
                <w:lang w:val="en-US" w:eastAsia="zh-CN"/>
              </w:rPr>
              <w:t>Grade A: nasogastric drainage persisting 4-7 days, or reinsertion after postoperative 3 days; unable to tolerate solid foo</w:t>
            </w:r>
            <w:r>
              <w:rPr>
                <w:rFonts w:ascii="Times New Roman" w:eastAsia="SimSun" w:hAnsi="Times New Roman" w:cs="Times New Roman"/>
                <w:sz w:val="22"/>
                <w:szCs w:val="22"/>
                <w:lang w:val="en-US" w:eastAsia="zh-CN"/>
              </w:rPr>
              <w:t>d within postoperative 7 days</w:t>
            </w:r>
          </w:p>
          <w:p w:rsidR="00AF0431" w:rsidRDefault="003313DA">
            <w:pPr>
              <w:rPr>
                <w:rFonts w:ascii="Times New Roman" w:eastAsia="SimSun" w:hAnsi="Times New Roman" w:cs="Times New Roman"/>
                <w:sz w:val="22"/>
                <w:szCs w:val="22"/>
                <w:lang w:val="en-US" w:eastAsia="zh-CN"/>
              </w:rPr>
            </w:pPr>
            <w:r>
              <w:rPr>
                <w:rFonts w:ascii="Times New Roman" w:eastAsia="SimSun" w:hAnsi="Times New Roman" w:cs="Times New Roman"/>
                <w:sz w:val="22"/>
                <w:szCs w:val="22"/>
                <w:lang w:val="en-US" w:eastAsia="zh-CN"/>
              </w:rPr>
              <w:t>Grade B: nasogastric drainage persisting 8-14 days, or reinsertion after postoperative 7 days; unable to tolerate solid food within postoperative 14 days</w:t>
            </w:r>
          </w:p>
          <w:p w:rsidR="00AF0431" w:rsidRDefault="003313DA">
            <w:pPr>
              <w:rPr>
                <w:rFonts w:ascii="Times New Roman" w:eastAsia="SimSun" w:hAnsi="Times New Roman" w:cs="Times New Roman"/>
                <w:sz w:val="22"/>
                <w:szCs w:val="22"/>
                <w:lang w:val="en-US" w:eastAsia="zh-CN"/>
              </w:rPr>
            </w:pPr>
            <w:r>
              <w:rPr>
                <w:rFonts w:ascii="Times New Roman" w:eastAsia="SimSun" w:hAnsi="Times New Roman" w:cs="Times New Roman"/>
                <w:sz w:val="22"/>
                <w:szCs w:val="22"/>
                <w:lang w:val="en-US" w:eastAsia="zh-CN"/>
              </w:rPr>
              <w:t>Grade C: nasogastric drainage persisting &gt; 14 days, or after postoperati</w:t>
            </w:r>
            <w:r>
              <w:rPr>
                <w:rFonts w:ascii="Times New Roman" w:eastAsia="SimSun" w:hAnsi="Times New Roman" w:cs="Times New Roman"/>
                <w:sz w:val="22"/>
                <w:szCs w:val="22"/>
                <w:lang w:val="en-US" w:eastAsia="zh-CN"/>
              </w:rPr>
              <w:t>ve 14 days; unable to tolerate solid food within postoperative 21 days</w:t>
            </w:r>
          </w:p>
        </w:tc>
      </w:tr>
      <w:tr w:rsidR="00AF0431">
        <w:tc>
          <w:tcPr>
            <w:tcW w:w="2236" w:type="dxa"/>
          </w:tcPr>
          <w:p w:rsidR="00AF0431" w:rsidRDefault="003313DA">
            <w:pPr>
              <w:rPr>
                <w:rFonts w:ascii="Times New Roman" w:eastAsia="SimSun" w:hAnsi="Times New Roman" w:cs="Times New Roman"/>
                <w:sz w:val="22"/>
                <w:szCs w:val="22"/>
                <w:lang w:val="en-US" w:eastAsia="zh-CN"/>
              </w:rPr>
            </w:pPr>
            <w:r>
              <w:rPr>
                <w:rFonts w:ascii="Times New Roman" w:eastAsia="SimSun" w:hAnsi="Times New Roman" w:cs="Times New Roman"/>
                <w:sz w:val="22"/>
                <w:szCs w:val="22"/>
                <w:lang w:val="en-US" w:eastAsia="zh-CN"/>
              </w:rPr>
              <w:lastRenderedPageBreak/>
              <w:t>Intra-abdominal infection</w:t>
            </w:r>
          </w:p>
        </w:tc>
        <w:tc>
          <w:tcPr>
            <w:tcW w:w="7143" w:type="dxa"/>
          </w:tcPr>
          <w:p w:rsidR="00AF0431" w:rsidRDefault="003313DA">
            <w:pPr>
              <w:rPr>
                <w:rFonts w:ascii="Times New Roman" w:eastAsia="SimSun" w:hAnsi="Times New Roman" w:cs="Times New Roman"/>
                <w:sz w:val="22"/>
                <w:szCs w:val="22"/>
                <w:lang w:val="en-US" w:eastAsia="zh-CN"/>
              </w:rPr>
            </w:pPr>
            <w:r>
              <w:rPr>
                <w:rFonts w:ascii="Times New Roman" w:eastAsia="SimSun" w:hAnsi="Times New Roman" w:cs="Times New Roman"/>
                <w:sz w:val="22"/>
                <w:szCs w:val="22"/>
                <w:lang w:val="en-US" w:eastAsia="zh-CN"/>
              </w:rPr>
              <w:t>Intra-abdominal infection is defined the presence of symptoms including chills, high-grade fever (&gt;39 ℃), abdominal distention and paralytic ileus emerging on</w:t>
            </w:r>
            <w:r>
              <w:rPr>
                <w:rFonts w:ascii="Times New Roman" w:eastAsia="SimSun" w:hAnsi="Times New Roman" w:cs="Times New Roman"/>
                <w:sz w:val="22"/>
                <w:szCs w:val="22"/>
                <w:lang w:val="en-US" w:eastAsia="zh-CN"/>
              </w:rPr>
              <w:t xml:space="preserve"> or after postoperative day 3, persisting &gt;24 hours, accompanied by:</w:t>
            </w:r>
          </w:p>
          <w:p w:rsidR="00AF0431" w:rsidRDefault="003313DA">
            <w:pPr>
              <w:rPr>
                <w:rFonts w:ascii="Times New Roman" w:eastAsia="SimSun" w:hAnsi="Times New Roman" w:cs="Times New Roman"/>
                <w:sz w:val="22"/>
                <w:szCs w:val="22"/>
                <w:lang w:val="en-US" w:eastAsia="zh-CN"/>
              </w:rPr>
            </w:pPr>
            <w:r>
              <w:rPr>
                <w:rFonts w:ascii="Times New Roman" w:eastAsia="SimSun" w:hAnsi="Times New Roman" w:cs="Times New Roman"/>
                <w:sz w:val="22"/>
                <w:szCs w:val="22"/>
                <w:lang w:val="en-US" w:eastAsia="zh-CN"/>
              </w:rPr>
              <w:t>Laboratory confirmation: markedly elevated white blood cell counts, procalcitonin, and hypersensitive C-reactive protein</w:t>
            </w:r>
          </w:p>
          <w:p w:rsidR="00AF0431" w:rsidRDefault="003313DA">
            <w:pPr>
              <w:rPr>
                <w:rFonts w:ascii="Times New Roman" w:eastAsia="SimSun" w:hAnsi="Times New Roman" w:cs="Times New Roman"/>
                <w:sz w:val="22"/>
                <w:szCs w:val="22"/>
                <w:lang w:val="en-US" w:eastAsia="zh-CN"/>
              </w:rPr>
            </w:pPr>
            <w:r>
              <w:rPr>
                <w:rFonts w:ascii="Times New Roman" w:eastAsia="SimSun" w:hAnsi="Times New Roman" w:cs="Times New Roman"/>
                <w:sz w:val="22"/>
                <w:szCs w:val="22"/>
                <w:lang w:val="en-US" w:eastAsia="zh-CN"/>
              </w:rPr>
              <w:t>Radiological evidence: computed tomography demonstrating intraperi</w:t>
            </w:r>
            <w:r>
              <w:rPr>
                <w:rFonts w:ascii="Times New Roman" w:eastAsia="SimSun" w:hAnsi="Times New Roman" w:cs="Times New Roman"/>
                <w:sz w:val="22"/>
                <w:szCs w:val="22"/>
                <w:lang w:val="en-US" w:eastAsia="zh-CN"/>
              </w:rPr>
              <w:t>toneal fluid collections</w:t>
            </w:r>
          </w:p>
          <w:p w:rsidR="00AF0431" w:rsidRDefault="003313DA">
            <w:pPr>
              <w:rPr>
                <w:rFonts w:ascii="Times New Roman" w:eastAsia="SimSun" w:hAnsi="Times New Roman" w:cs="Times New Roman"/>
                <w:sz w:val="22"/>
                <w:szCs w:val="22"/>
                <w:lang w:val="en-US" w:eastAsia="zh-CN"/>
              </w:rPr>
            </w:pPr>
            <w:r>
              <w:rPr>
                <w:rFonts w:ascii="Times New Roman" w:eastAsia="SimSun" w:hAnsi="Times New Roman" w:cs="Times New Roman"/>
                <w:sz w:val="22"/>
                <w:szCs w:val="22"/>
                <w:lang w:val="en-US" w:eastAsia="zh-CN"/>
              </w:rPr>
              <w:t>Microbiological confirmation: pathogen identification via culture of intraoperative specimens, percutaneous aspirates, or drainage fluid</w:t>
            </w:r>
          </w:p>
        </w:tc>
      </w:tr>
      <w:tr w:rsidR="00AF0431">
        <w:tc>
          <w:tcPr>
            <w:tcW w:w="2236" w:type="dxa"/>
            <w:tcBorders>
              <w:bottom w:val="single" w:sz="4" w:space="0" w:color="auto"/>
            </w:tcBorders>
          </w:tcPr>
          <w:p w:rsidR="00AF0431" w:rsidRDefault="003313DA">
            <w:pPr>
              <w:rPr>
                <w:rFonts w:ascii="Times New Roman" w:eastAsia="SimSun" w:hAnsi="Times New Roman" w:cs="Times New Roman"/>
                <w:sz w:val="22"/>
                <w:szCs w:val="22"/>
                <w:lang w:val="en-US" w:eastAsia="zh-CN"/>
              </w:rPr>
            </w:pPr>
            <w:r>
              <w:rPr>
                <w:rFonts w:ascii="Times New Roman" w:eastAsia="SimSun" w:hAnsi="Times New Roman" w:cs="Times New Roman"/>
                <w:sz w:val="22"/>
                <w:szCs w:val="22"/>
                <w:lang w:val="en-US" w:eastAsia="zh-CN"/>
              </w:rPr>
              <w:t>Post pancreatectomy acute pancreatitis (PPAP)</w:t>
            </w:r>
          </w:p>
        </w:tc>
        <w:tc>
          <w:tcPr>
            <w:tcW w:w="7143" w:type="dxa"/>
            <w:tcBorders>
              <w:bottom w:val="single" w:sz="4" w:space="0" w:color="auto"/>
            </w:tcBorders>
          </w:tcPr>
          <w:p w:rsidR="00AF0431" w:rsidRDefault="003313DA">
            <w:pPr>
              <w:rPr>
                <w:rFonts w:ascii="Times New Roman" w:eastAsia="SimSun" w:hAnsi="Times New Roman" w:cs="Times New Roman"/>
                <w:sz w:val="22"/>
                <w:szCs w:val="22"/>
                <w:lang w:val="en-US" w:eastAsia="zh-CN"/>
              </w:rPr>
            </w:pPr>
            <w:r>
              <w:rPr>
                <w:rFonts w:ascii="Times New Roman" w:eastAsia="SimSun" w:hAnsi="Times New Roman" w:cs="Times New Roman"/>
                <w:sz w:val="22"/>
                <w:szCs w:val="22"/>
                <w:lang w:val="en-US" w:eastAsia="zh-CN"/>
              </w:rPr>
              <w:t>PPAP is defined as an acute inflammatory condit</w:t>
            </w:r>
            <w:r>
              <w:rPr>
                <w:rFonts w:ascii="Times New Roman" w:eastAsia="SimSun" w:hAnsi="Times New Roman" w:cs="Times New Roman"/>
                <w:sz w:val="22"/>
                <w:szCs w:val="22"/>
                <w:lang w:val="en-US" w:eastAsia="zh-CN"/>
              </w:rPr>
              <w:t>ion of the pancreatic remnant following partial pancreatic resection, characterized by sustained postoperative serum hyperamylasemia, clinical relevance, and radiological confirmation.</w:t>
            </w:r>
          </w:p>
          <w:p w:rsidR="00AF0431" w:rsidRDefault="003313DA">
            <w:pPr>
              <w:rPr>
                <w:rFonts w:ascii="Times New Roman" w:eastAsia="SimSun" w:hAnsi="Times New Roman" w:cs="Times New Roman"/>
                <w:sz w:val="22"/>
                <w:szCs w:val="22"/>
                <w:lang w:val="en-US" w:eastAsia="zh-CN"/>
              </w:rPr>
            </w:pPr>
            <w:r>
              <w:rPr>
                <w:rFonts w:ascii="Times New Roman" w:eastAsia="SimSun" w:hAnsi="Times New Roman" w:cs="Times New Roman"/>
                <w:sz w:val="22"/>
                <w:szCs w:val="22"/>
                <w:lang w:val="en-US" w:eastAsia="zh-CN"/>
              </w:rPr>
              <w:t>Postoperative hyperamylasemia (POH): biochemical elevation of serum amy</w:t>
            </w:r>
            <w:r>
              <w:rPr>
                <w:rFonts w:ascii="Times New Roman" w:eastAsia="SimSun" w:hAnsi="Times New Roman" w:cs="Times New Roman"/>
                <w:sz w:val="22"/>
                <w:szCs w:val="22"/>
                <w:lang w:val="en-US" w:eastAsia="zh-CN"/>
              </w:rPr>
              <w:t>lase, without clinical and radiological evidence of pancreatitis</w:t>
            </w:r>
          </w:p>
          <w:p w:rsidR="00AF0431" w:rsidRDefault="003313DA">
            <w:pPr>
              <w:rPr>
                <w:rFonts w:ascii="Times New Roman" w:eastAsia="SimSun" w:hAnsi="Times New Roman" w:cs="Times New Roman"/>
                <w:sz w:val="22"/>
                <w:szCs w:val="22"/>
                <w:lang w:val="en-US" w:eastAsia="zh-CN"/>
              </w:rPr>
            </w:pPr>
            <w:r>
              <w:rPr>
                <w:rFonts w:ascii="Times New Roman" w:eastAsia="SimSun" w:hAnsi="Times New Roman" w:cs="Times New Roman"/>
                <w:sz w:val="22"/>
                <w:szCs w:val="22"/>
                <w:lang w:val="en-US" w:eastAsia="zh-CN"/>
              </w:rPr>
              <w:t>Grade B:</w:t>
            </w:r>
          </w:p>
          <w:p w:rsidR="00AF0431" w:rsidRDefault="003313DA">
            <w:pPr>
              <w:rPr>
                <w:rFonts w:ascii="Times New Roman" w:eastAsia="SimSun" w:hAnsi="Times New Roman" w:cs="Times New Roman"/>
                <w:sz w:val="22"/>
                <w:szCs w:val="22"/>
                <w:lang w:val="en-US" w:eastAsia="zh-CN"/>
              </w:rPr>
            </w:pPr>
            <w:r>
              <w:rPr>
                <w:rFonts w:ascii="Times New Roman" w:eastAsia="SimSun" w:hAnsi="Times New Roman" w:cs="Times New Roman"/>
                <w:sz w:val="22"/>
                <w:szCs w:val="22"/>
                <w:lang w:val="en-US" w:eastAsia="zh-CN"/>
              </w:rPr>
              <w:t>Sustained serum amylase activity (&gt; 48 hours)</w:t>
            </w:r>
          </w:p>
          <w:p w:rsidR="00AF0431" w:rsidRDefault="003313DA">
            <w:pPr>
              <w:rPr>
                <w:rFonts w:ascii="Times New Roman" w:eastAsia="SimSun" w:hAnsi="Times New Roman" w:cs="Times New Roman"/>
                <w:sz w:val="22"/>
                <w:szCs w:val="22"/>
                <w:lang w:val="en-US" w:eastAsia="zh-CN"/>
              </w:rPr>
            </w:pPr>
            <w:r>
              <w:rPr>
                <w:rFonts w:ascii="Times New Roman" w:eastAsia="SimSun" w:hAnsi="Times New Roman" w:cs="Times New Roman"/>
                <w:sz w:val="22"/>
                <w:szCs w:val="22"/>
                <w:lang w:val="en-US" w:eastAsia="zh-CN"/>
              </w:rPr>
              <w:t>Presence of radiological features including diffuse or localized inflammatory enlargement of pancreatic remnant, inflammatory changes of</w:t>
            </w:r>
            <w:r>
              <w:rPr>
                <w:rFonts w:ascii="Times New Roman" w:eastAsia="SimSun" w:hAnsi="Times New Roman" w:cs="Times New Roman"/>
                <w:sz w:val="22"/>
                <w:szCs w:val="22"/>
                <w:lang w:val="en-US" w:eastAsia="zh-CN"/>
              </w:rPr>
              <w:t xml:space="preserve"> peripancreatic fat, intra and/or peripancreatic fluid collections, and parenchymal and/or peripancreatic necrosis</w:t>
            </w:r>
          </w:p>
          <w:p w:rsidR="00AF0431" w:rsidRDefault="003313DA">
            <w:pPr>
              <w:rPr>
                <w:rFonts w:ascii="Times New Roman" w:eastAsia="SimSun" w:hAnsi="Times New Roman" w:cs="Times New Roman"/>
                <w:sz w:val="22"/>
                <w:szCs w:val="22"/>
                <w:lang w:val="en-US" w:eastAsia="zh-CN"/>
              </w:rPr>
            </w:pPr>
            <w:r>
              <w:rPr>
                <w:rFonts w:ascii="Times New Roman" w:eastAsia="SimSun" w:hAnsi="Times New Roman" w:cs="Times New Roman"/>
                <w:sz w:val="22"/>
                <w:szCs w:val="22"/>
                <w:lang w:val="en-US" w:eastAsia="zh-CN"/>
              </w:rPr>
              <w:t>Grade C: life-threatening complications that lead with persistent organ failure (&gt; 48 hours), ICU admission, reoperation, or death</w:t>
            </w:r>
          </w:p>
        </w:tc>
      </w:tr>
    </w:tbl>
    <w:p w:rsidR="00AF0431" w:rsidRDefault="00AF0431">
      <w:pPr>
        <w:rPr>
          <w:rFonts w:ascii="Times New Roman" w:eastAsia="SimSun" w:hAnsi="Times New Roman" w:cs="Times New Roman"/>
          <w:sz w:val="22"/>
          <w:szCs w:val="22"/>
          <w:lang w:val="en-US" w:eastAsia="zh-CN"/>
        </w:rPr>
      </w:pPr>
    </w:p>
    <w:sectPr w:rsidR="00AF0431">
      <w:pgSz w:w="11906" w:h="16838"/>
      <w:pgMar w:top="1440" w:right="1440" w:bottom="1440" w:left="1014" w:header="708" w:footer="708" w:gutter="0"/>
      <w:lnNumType w:countBy="1" w:restart="continuou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13DA" w:rsidRDefault="003313DA">
      <w:r>
        <w:separator/>
      </w:r>
    </w:p>
  </w:endnote>
  <w:endnote w:type="continuationSeparator" w:id="0">
    <w:p w:rsidR="003313DA" w:rsidRDefault="003313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200247B" w:usb2="00000009" w:usb3="00000000" w:csb0="000001FF" w:csb1="00000000"/>
  </w:font>
  <w:font w:name="DengXian">
    <w:altName w:val="等线"/>
    <w:panose1 w:val="00000000000000000000"/>
    <w:charset w:val="86"/>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290267783"/>
    </w:sdtPr>
    <w:sdtEndPr>
      <w:rPr>
        <w:rStyle w:val="PageNumber"/>
      </w:rPr>
    </w:sdtEndPr>
    <w:sdtContent>
      <w:p w:rsidR="00AF0431" w:rsidRDefault="003313DA">
        <w:pPr>
          <w:pStyle w:val="Footer"/>
          <w:framePr w:wrap="auto"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AF0431" w:rsidRDefault="00AF0431">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445188776"/>
    </w:sdtPr>
    <w:sdtEndPr>
      <w:rPr>
        <w:rStyle w:val="PageNumber"/>
      </w:rPr>
    </w:sdtEndPr>
    <w:sdtContent>
      <w:p w:rsidR="00AF0431" w:rsidRDefault="003313DA">
        <w:pPr>
          <w:pStyle w:val="Footer"/>
          <w:framePr w:wrap="auto"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EC08B1">
          <w:rPr>
            <w:rStyle w:val="PageNumber"/>
            <w:noProof/>
          </w:rPr>
          <w:t>2</w:t>
        </w:r>
        <w:r>
          <w:rPr>
            <w:rStyle w:val="PageNumber"/>
          </w:rPr>
          <w:fldChar w:fldCharType="end"/>
        </w:r>
      </w:p>
    </w:sdtContent>
  </w:sdt>
  <w:p w:rsidR="00AF0431" w:rsidRDefault="00AF0431">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0431" w:rsidRDefault="00AF043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13DA" w:rsidRDefault="003313DA">
      <w:r>
        <w:separator/>
      </w:r>
    </w:p>
  </w:footnote>
  <w:footnote w:type="continuationSeparator" w:id="0">
    <w:p w:rsidR="003313DA" w:rsidRDefault="003313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0431" w:rsidRDefault="00AF043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0431" w:rsidRDefault="00AF043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0431" w:rsidRDefault="00AF04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5470"/>
    <w:rsid w:val="00014489"/>
    <w:rsid w:val="00083A4A"/>
    <w:rsid w:val="00097D47"/>
    <w:rsid w:val="000A20E9"/>
    <w:rsid w:val="00106F29"/>
    <w:rsid w:val="0012077C"/>
    <w:rsid w:val="00151172"/>
    <w:rsid w:val="00166F29"/>
    <w:rsid w:val="00172010"/>
    <w:rsid w:val="00180DDE"/>
    <w:rsid w:val="001C1B66"/>
    <w:rsid w:val="001F47C8"/>
    <w:rsid w:val="00220515"/>
    <w:rsid w:val="00226591"/>
    <w:rsid w:val="00226BA6"/>
    <w:rsid w:val="00230B86"/>
    <w:rsid w:val="00262812"/>
    <w:rsid w:val="002746B0"/>
    <w:rsid w:val="0027752A"/>
    <w:rsid w:val="002837F7"/>
    <w:rsid w:val="002B58D2"/>
    <w:rsid w:val="002C6388"/>
    <w:rsid w:val="002D6814"/>
    <w:rsid w:val="002F5710"/>
    <w:rsid w:val="003313DA"/>
    <w:rsid w:val="00333333"/>
    <w:rsid w:val="0033381E"/>
    <w:rsid w:val="003765BC"/>
    <w:rsid w:val="003855F9"/>
    <w:rsid w:val="00396788"/>
    <w:rsid w:val="003B40DC"/>
    <w:rsid w:val="003C45EF"/>
    <w:rsid w:val="003D7562"/>
    <w:rsid w:val="003F59DC"/>
    <w:rsid w:val="00410092"/>
    <w:rsid w:val="0042322F"/>
    <w:rsid w:val="00451A39"/>
    <w:rsid w:val="00455904"/>
    <w:rsid w:val="00462F61"/>
    <w:rsid w:val="0046713F"/>
    <w:rsid w:val="0049724B"/>
    <w:rsid w:val="004E0C60"/>
    <w:rsid w:val="005006D5"/>
    <w:rsid w:val="0052202A"/>
    <w:rsid w:val="00525501"/>
    <w:rsid w:val="00536261"/>
    <w:rsid w:val="005460AE"/>
    <w:rsid w:val="005471CA"/>
    <w:rsid w:val="005532CF"/>
    <w:rsid w:val="00562A28"/>
    <w:rsid w:val="005E335C"/>
    <w:rsid w:val="006407ED"/>
    <w:rsid w:val="00661FF7"/>
    <w:rsid w:val="00675020"/>
    <w:rsid w:val="006758E8"/>
    <w:rsid w:val="00677EDA"/>
    <w:rsid w:val="006932FE"/>
    <w:rsid w:val="006A1F9F"/>
    <w:rsid w:val="006A69CC"/>
    <w:rsid w:val="006F4EA4"/>
    <w:rsid w:val="006F55AB"/>
    <w:rsid w:val="00715470"/>
    <w:rsid w:val="007173D9"/>
    <w:rsid w:val="00722B4C"/>
    <w:rsid w:val="007357B8"/>
    <w:rsid w:val="0073633C"/>
    <w:rsid w:val="0074022E"/>
    <w:rsid w:val="007677E1"/>
    <w:rsid w:val="00772374"/>
    <w:rsid w:val="007D5290"/>
    <w:rsid w:val="007D6929"/>
    <w:rsid w:val="008101FE"/>
    <w:rsid w:val="00811DFE"/>
    <w:rsid w:val="008404CF"/>
    <w:rsid w:val="008518FA"/>
    <w:rsid w:val="008615B6"/>
    <w:rsid w:val="00862305"/>
    <w:rsid w:val="0087497B"/>
    <w:rsid w:val="008A26E1"/>
    <w:rsid w:val="008E6BBE"/>
    <w:rsid w:val="009455F0"/>
    <w:rsid w:val="009564DE"/>
    <w:rsid w:val="00965B4D"/>
    <w:rsid w:val="00971FD0"/>
    <w:rsid w:val="009804EA"/>
    <w:rsid w:val="009824A8"/>
    <w:rsid w:val="00990A47"/>
    <w:rsid w:val="00A04F3A"/>
    <w:rsid w:val="00A050C3"/>
    <w:rsid w:val="00A079E0"/>
    <w:rsid w:val="00A105FD"/>
    <w:rsid w:val="00A10F92"/>
    <w:rsid w:val="00A42E2F"/>
    <w:rsid w:val="00A50934"/>
    <w:rsid w:val="00A52EDE"/>
    <w:rsid w:val="00A65B53"/>
    <w:rsid w:val="00A870C7"/>
    <w:rsid w:val="00A90676"/>
    <w:rsid w:val="00AA260D"/>
    <w:rsid w:val="00AD50B4"/>
    <w:rsid w:val="00AE2C56"/>
    <w:rsid w:val="00AF0431"/>
    <w:rsid w:val="00B07CF2"/>
    <w:rsid w:val="00B11347"/>
    <w:rsid w:val="00B20B36"/>
    <w:rsid w:val="00B31308"/>
    <w:rsid w:val="00B50508"/>
    <w:rsid w:val="00B52062"/>
    <w:rsid w:val="00B64D09"/>
    <w:rsid w:val="00B74171"/>
    <w:rsid w:val="00B81F51"/>
    <w:rsid w:val="00B84732"/>
    <w:rsid w:val="00B978BD"/>
    <w:rsid w:val="00BA555E"/>
    <w:rsid w:val="00BA5610"/>
    <w:rsid w:val="00BA67BD"/>
    <w:rsid w:val="00BC1C35"/>
    <w:rsid w:val="00BE5B33"/>
    <w:rsid w:val="00BE61B6"/>
    <w:rsid w:val="00C00960"/>
    <w:rsid w:val="00C153D2"/>
    <w:rsid w:val="00C31116"/>
    <w:rsid w:val="00C833A3"/>
    <w:rsid w:val="00CC7F5A"/>
    <w:rsid w:val="00D05C84"/>
    <w:rsid w:val="00D31C0D"/>
    <w:rsid w:val="00D40CFD"/>
    <w:rsid w:val="00D53AED"/>
    <w:rsid w:val="00D556E6"/>
    <w:rsid w:val="00D70EFF"/>
    <w:rsid w:val="00D774EE"/>
    <w:rsid w:val="00E01251"/>
    <w:rsid w:val="00E34550"/>
    <w:rsid w:val="00E568DA"/>
    <w:rsid w:val="00E7177E"/>
    <w:rsid w:val="00E74699"/>
    <w:rsid w:val="00E93849"/>
    <w:rsid w:val="00EA535F"/>
    <w:rsid w:val="00EA68D9"/>
    <w:rsid w:val="00EA6A84"/>
    <w:rsid w:val="00EB647D"/>
    <w:rsid w:val="00EB6DCD"/>
    <w:rsid w:val="00EC08B1"/>
    <w:rsid w:val="00EC7F89"/>
    <w:rsid w:val="00EF1EAB"/>
    <w:rsid w:val="00F0403A"/>
    <w:rsid w:val="00F15C84"/>
    <w:rsid w:val="00F51A6D"/>
    <w:rsid w:val="00F57E4B"/>
    <w:rsid w:val="00F87A59"/>
    <w:rsid w:val="00FA2403"/>
    <w:rsid w:val="00FA4A5E"/>
    <w:rsid w:val="00FA6FF5"/>
    <w:rsid w:val="00FC095D"/>
    <w:rsid w:val="025C1016"/>
    <w:rsid w:val="05C50C80"/>
    <w:rsid w:val="066945DC"/>
    <w:rsid w:val="083E4D1A"/>
    <w:rsid w:val="0E3D63EA"/>
    <w:rsid w:val="12D323A5"/>
    <w:rsid w:val="154F6481"/>
    <w:rsid w:val="18626802"/>
    <w:rsid w:val="1D541988"/>
    <w:rsid w:val="20B209E0"/>
    <w:rsid w:val="2CDE5DA4"/>
    <w:rsid w:val="3C243C4B"/>
    <w:rsid w:val="44FB2D63"/>
    <w:rsid w:val="45703A5D"/>
    <w:rsid w:val="499B6E9C"/>
    <w:rsid w:val="4A835FE1"/>
    <w:rsid w:val="52CA20B7"/>
    <w:rsid w:val="539C71FF"/>
    <w:rsid w:val="540B179E"/>
    <w:rsid w:val="54AD674E"/>
    <w:rsid w:val="56076140"/>
    <w:rsid w:val="59083565"/>
    <w:rsid w:val="5D335644"/>
    <w:rsid w:val="668A09CB"/>
    <w:rsid w:val="68830C4D"/>
    <w:rsid w:val="69BF3D81"/>
    <w:rsid w:val="6E517F8B"/>
    <w:rsid w:val="6F0917CE"/>
    <w:rsid w:val="7F7535AE"/>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37C3BEC1-C4DC-41A1-9BB4-DF56CEA16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39" w:unhideWhenUs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it-IT"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rPr>
      <w:sz w:val="20"/>
      <w:szCs w:val="20"/>
    </w:rPr>
  </w:style>
  <w:style w:type="paragraph" w:styleId="BalloonText">
    <w:name w:val="Balloon Text"/>
    <w:basedOn w:val="Normal"/>
    <w:link w:val="BalloonTextChar"/>
    <w:uiPriority w:val="99"/>
    <w:semiHidden/>
    <w:unhideWhenUsed/>
    <w:qFormat/>
    <w:rPr>
      <w:rFonts w:ascii="Segoe UI" w:hAnsi="Segoe UI" w:cs="Segoe UI"/>
      <w:sz w:val="18"/>
      <w:szCs w:val="18"/>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qFormat/>
    <w:pPr>
      <w:tabs>
        <w:tab w:val="center" w:pos="4819"/>
        <w:tab w:val="right" w:pos="9638"/>
      </w:tabs>
    </w:pPr>
  </w:style>
  <w:style w:type="paragraph" w:styleId="NormalWeb">
    <w:name w:val="Normal (Web)"/>
    <w:basedOn w:val="Normal"/>
    <w:uiPriority w:val="99"/>
    <w:unhideWhenUsed/>
    <w:qFormat/>
    <w:pPr>
      <w:spacing w:before="100" w:beforeAutospacing="1" w:after="100" w:afterAutospacing="1"/>
    </w:pPr>
    <w:rPr>
      <w:rFonts w:ascii="Times New Roman" w:eastAsia="Times New Roman" w:hAnsi="Times New Roman" w:cs="Times New Roman"/>
      <w:lang w:eastAsia="en-GB"/>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basedOn w:val="TableNormal"/>
    <w:uiPriority w:val="39"/>
    <w:qFormat/>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qFormat/>
  </w:style>
  <w:style w:type="character" w:styleId="Hyperlink">
    <w:name w:val="Hyperlink"/>
    <w:basedOn w:val="DefaultParagraphFont"/>
    <w:uiPriority w:val="99"/>
    <w:unhideWhenUsed/>
    <w:qFormat/>
    <w:rPr>
      <w:color w:val="0563C1" w:themeColor="hyperlink"/>
      <w:u w:val="single"/>
    </w:rPr>
  </w:style>
  <w:style w:type="character" w:styleId="CommentReference">
    <w:name w:val="annotation reference"/>
    <w:basedOn w:val="DefaultParagraphFont"/>
    <w:uiPriority w:val="99"/>
    <w:semiHidden/>
    <w:unhideWhenUsed/>
    <w:qFormat/>
    <w:rPr>
      <w:sz w:val="16"/>
      <w:szCs w:val="16"/>
    </w:rPr>
  </w:style>
  <w:style w:type="character" w:customStyle="1" w:styleId="FooterChar">
    <w:name w:val="Footer Char"/>
    <w:basedOn w:val="DefaultParagraphFont"/>
    <w:link w:val="Footer"/>
    <w:uiPriority w:val="99"/>
    <w:qFormat/>
  </w:style>
  <w:style w:type="paragraph" w:styleId="ListParagraph">
    <w:name w:val="List Paragraph"/>
    <w:basedOn w:val="Normal"/>
    <w:uiPriority w:val="34"/>
    <w:qFormat/>
    <w:pPr>
      <w:spacing w:after="160" w:line="259" w:lineRule="auto"/>
      <w:ind w:left="720"/>
      <w:contextualSpacing/>
    </w:pPr>
    <w:rPr>
      <w:sz w:val="22"/>
      <w:szCs w:val="22"/>
    </w:rPr>
  </w:style>
  <w:style w:type="character" w:customStyle="1" w:styleId="CommentTextChar">
    <w:name w:val="Comment Text Char"/>
    <w:basedOn w:val="DefaultParagraphFont"/>
    <w:link w:val="CommentText"/>
    <w:uiPriority w:val="99"/>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paragraph" w:styleId="NoSpacing">
    <w:name w:val="No Spacing"/>
    <w:uiPriority w:val="1"/>
    <w:qFormat/>
    <w:rPr>
      <w:sz w:val="24"/>
      <w:szCs w:val="24"/>
      <w:lang w:val="it-IT" w:eastAsia="en-US"/>
    </w:rPr>
  </w:style>
  <w:style w:type="table" w:customStyle="1" w:styleId="GridTable31">
    <w:name w:val="Grid Table 31"/>
    <w:basedOn w:val="TableNormal"/>
    <w:uiPriority w:val="48"/>
    <w:qFormat/>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1">
    <w:name w:val="Grid Table 7 Colorful1"/>
    <w:basedOn w:val="TableNormal"/>
    <w:uiPriority w:val="52"/>
    <w:qFormat/>
    <w:rPr>
      <w:color w:val="000000" w:themeColor="text1"/>
    </w:rPr>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PlainTable21">
    <w:name w:val="Plain Table 21"/>
    <w:basedOn w:val="TableNormal"/>
    <w:uiPriority w:val="42"/>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dTable5Dark-Accent31">
    <w:name w:val="Grid Table 5 Dark - Accent 31"/>
    <w:basedOn w:val="TableNormal"/>
    <w:uiPriority w:val="50"/>
    <w:qFormat/>
    <w:rPr>
      <w:sz w:val="22"/>
      <w:szCs w:val="22"/>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character" w:customStyle="1" w:styleId="apple-converted-space">
    <w:name w:val="apple-converted-space"/>
    <w:basedOn w:val="DefaultParagraphFont"/>
    <w:qFormat/>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character" w:customStyle="1" w:styleId="HeaderChar">
    <w:name w:val="Header Char"/>
    <w:basedOn w:val="DefaultParagraphFont"/>
    <w:link w:val="Header"/>
    <w:uiPriority w:val="99"/>
    <w:qFormat/>
  </w:style>
  <w:style w:type="paragraph" w:customStyle="1" w:styleId="TableTitle">
    <w:name w:val="TableTitle"/>
    <w:basedOn w:val="Normal"/>
    <w:qFormat/>
  </w:style>
  <w:style w:type="paragraph" w:customStyle="1" w:styleId="TableHeader">
    <w:name w:val="TableHeader"/>
    <w:basedOn w:val="Para"/>
    <w:qFormat/>
    <w:pPr>
      <w:spacing w:before="120" w:line="240" w:lineRule="auto"/>
      <w:ind w:firstLine="0"/>
    </w:pPr>
    <w:rPr>
      <w:b/>
    </w:rPr>
  </w:style>
  <w:style w:type="paragraph" w:customStyle="1" w:styleId="Para">
    <w:name w:val="Para"/>
    <w:basedOn w:val="Normal"/>
    <w:qFormat/>
    <w:pPr>
      <w:spacing w:line="360" w:lineRule="auto"/>
      <w:ind w:firstLine="288"/>
    </w:pPr>
  </w:style>
  <w:style w:type="paragraph" w:customStyle="1" w:styleId="TableSubHead">
    <w:name w:val="TableSubHead"/>
    <w:basedOn w:val="TableHeader"/>
    <w:qFormat/>
  </w:style>
  <w:style w:type="character" w:styleId="LineNumber">
    <w:name w:val="line number"/>
    <w:basedOn w:val="DefaultParagraphFont"/>
    <w:uiPriority w:val="99"/>
    <w:semiHidden/>
    <w:unhideWhenUsed/>
    <w:rsid w:val="00EC08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image" Target="media/image1.jpe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hyperlink" Target="http://www.creativecommons.org/licenses/by-nc-nd/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3270</Words>
  <Characters>18640</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Lorenzon</dc:creator>
  <cp:lastModifiedBy>Microsoft account</cp:lastModifiedBy>
  <cp:revision>2</cp:revision>
  <dcterms:created xsi:type="dcterms:W3CDTF">2025-09-09T15:19:00Z</dcterms:created>
  <dcterms:modified xsi:type="dcterms:W3CDTF">2025-09-09T15:19:00Z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e5cb09a-2992-49d6-8ac9-5f63e7b1ad2f_Enabled">
    <vt:lpwstr>true</vt:lpwstr>
  </property>
  <property fmtid="{D5CDD505-2E9C-101B-9397-08002B2CF9AE}" pid="3" name="MSIP_Label_be5cb09a-2992-49d6-8ac9-5f63e7b1ad2f_SetDate">
    <vt:lpwstr>2022-06-27T13:25:36Z</vt:lpwstr>
  </property>
  <property fmtid="{D5CDD505-2E9C-101B-9397-08002B2CF9AE}" pid="4" name="MSIP_Label_be5cb09a-2992-49d6-8ac9-5f63e7b1ad2f_Method">
    <vt:lpwstr>Standard</vt:lpwstr>
  </property>
  <property fmtid="{D5CDD505-2E9C-101B-9397-08002B2CF9AE}" pid="5" name="MSIP_Label_be5cb09a-2992-49d6-8ac9-5f63e7b1ad2f_Name">
    <vt:lpwstr>Controlled</vt:lpwstr>
  </property>
  <property fmtid="{D5CDD505-2E9C-101B-9397-08002B2CF9AE}" pid="6" name="MSIP_Label_be5cb09a-2992-49d6-8ac9-5f63e7b1ad2f_SiteId">
    <vt:lpwstr>91761b62-4c45-43f5-9f0e-be8ad9b551ff</vt:lpwstr>
  </property>
  <property fmtid="{D5CDD505-2E9C-101B-9397-08002B2CF9AE}" pid="7" name="MSIP_Label_be5cb09a-2992-49d6-8ac9-5f63e7b1ad2f_ActionId">
    <vt:lpwstr>1f9d2863-bbf9-4942-adae-e903809cef95</vt:lpwstr>
  </property>
  <property fmtid="{D5CDD505-2E9C-101B-9397-08002B2CF9AE}" pid="8" name="MSIP_Label_be5cb09a-2992-49d6-8ac9-5f63e7b1ad2f_ContentBits">
    <vt:lpwstr>0</vt:lpwstr>
  </property>
  <property fmtid="{D5CDD505-2E9C-101B-9397-08002B2CF9AE}" pid="9" name="KSOTemplateDocerSaveRecord">
    <vt:lpwstr>eyJoZGlkIjoiYmZlYzM0ZTc2ZjMzNTFkNDUzMDU3YTMwM2FkZDY2YTYiLCJ1c2VySWQiOiI1Mzk4OTM1MDcifQ==</vt:lpwstr>
  </property>
  <property fmtid="{D5CDD505-2E9C-101B-9397-08002B2CF9AE}" pid="10" name="KSOProductBuildVer">
    <vt:lpwstr>2052-12.1.0.21541</vt:lpwstr>
  </property>
  <property fmtid="{D5CDD505-2E9C-101B-9397-08002B2CF9AE}" pid="11" name="ICV">
    <vt:lpwstr>4FC1EE5C34A14E76BAE108E244874ABB_12</vt:lpwstr>
  </property>
</Properties>
</file>