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907" w:rsidRPr="00513090" w:rsidRDefault="00584907" w:rsidP="00584907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513090">
        <w:rPr>
          <w:rFonts w:ascii="Arial" w:hAnsi="Arial" w:cs="Arial"/>
          <w:b/>
          <w:bCs/>
          <w:sz w:val="22"/>
          <w:szCs w:val="22"/>
        </w:rPr>
        <w:t xml:space="preserve">Supplemental Table S1: </w:t>
      </w:r>
      <w:r w:rsidRPr="00513090">
        <w:rPr>
          <w:rFonts w:ascii="Arial" w:hAnsi="Arial" w:cs="Arial"/>
          <w:b/>
          <w:bCs/>
          <w:color w:val="000000"/>
          <w:sz w:val="22"/>
          <w:szCs w:val="22"/>
        </w:rPr>
        <w:t>Effects of acute ABX1431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513090">
        <w:rPr>
          <w:rFonts w:ascii="Arial" w:hAnsi="Arial" w:cs="Arial"/>
          <w:b/>
          <w:bCs/>
          <w:color w:val="000000"/>
          <w:sz w:val="22"/>
          <w:szCs w:val="22"/>
        </w:rPr>
        <w:t>(4mg/kg) on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513090">
        <w:rPr>
          <w:rFonts w:ascii="Arial" w:hAnsi="Arial" w:cs="Arial"/>
          <w:b/>
          <w:bCs/>
          <w:color w:val="000000"/>
          <w:sz w:val="22"/>
          <w:szCs w:val="22"/>
        </w:rPr>
        <w:t>AEA, 2-AG, PEA, OEA, and AA levels (</w:t>
      </w:r>
      <w:proofErr w:type="spellStart"/>
      <w:r w:rsidRPr="00513090">
        <w:rPr>
          <w:rFonts w:ascii="Arial" w:hAnsi="Arial" w:cs="Arial"/>
          <w:b/>
          <w:bCs/>
          <w:color w:val="000000"/>
          <w:sz w:val="22"/>
          <w:szCs w:val="22"/>
        </w:rPr>
        <w:t>nmol</w:t>
      </w:r>
      <w:proofErr w:type="spellEnd"/>
      <w:r w:rsidRPr="00513090">
        <w:rPr>
          <w:rFonts w:ascii="Arial" w:hAnsi="Arial" w:cs="Arial"/>
          <w:b/>
          <w:bCs/>
          <w:color w:val="000000"/>
          <w:sz w:val="22"/>
          <w:szCs w:val="22"/>
        </w:rPr>
        <w:t>/g) in four CNS regions.</w:t>
      </w:r>
      <w:r>
        <w:rPr>
          <w:rFonts w:ascii="Arial" w:hAnsi="Arial" w:cs="Arial"/>
          <w:b/>
          <w:bCs/>
          <w:color w:val="000000"/>
          <w:sz w:val="22"/>
          <w:szCs w:val="22"/>
        </w:rPr>
        <w:t>*</w:t>
      </w:r>
    </w:p>
    <w:p w:rsidR="00584907" w:rsidRPr="00513090" w:rsidRDefault="00584907" w:rsidP="00584907">
      <w:pPr>
        <w:rPr>
          <w:b/>
          <w:bCs/>
        </w:rPr>
      </w:pPr>
    </w:p>
    <w:tbl>
      <w:tblPr>
        <w:tblStyle w:val="TableGrid"/>
        <w:tblW w:w="0" w:type="auto"/>
        <w:jc w:val="center"/>
        <w:tblLook w:val="04A0"/>
      </w:tblPr>
      <w:tblGrid>
        <w:gridCol w:w="994"/>
        <w:gridCol w:w="1036"/>
        <w:gridCol w:w="1195"/>
        <w:gridCol w:w="1271"/>
        <w:gridCol w:w="1321"/>
        <w:gridCol w:w="1265"/>
        <w:gridCol w:w="1229"/>
        <w:gridCol w:w="1265"/>
      </w:tblGrid>
      <w:tr w:rsidR="00584907" w:rsidRPr="00480FEC" w:rsidTr="001660DC">
        <w:trPr>
          <w:jc w:val="center"/>
        </w:trPr>
        <w:tc>
          <w:tcPr>
            <w:tcW w:w="1435" w:type="dxa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sz w:val="20"/>
                <w:szCs w:val="20"/>
              </w:rPr>
              <w:t>CNS Region</w:t>
            </w:r>
          </w:p>
        </w:tc>
        <w:tc>
          <w:tcPr>
            <w:tcW w:w="1170" w:type="dxa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sz w:val="20"/>
                <w:szCs w:val="20"/>
              </w:rPr>
              <w:t>Lipids (nm/mg)</w:t>
            </w:r>
          </w:p>
        </w:tc>
        <w:tc>
          <w:tcPr>
            <w:tcW w:w="1440" w:type="dxa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sz w:val="20"/>
                <w:szCs w:val="20"/>
              </w:rPr>
              <w:t>Genotype</w:t>
            </w:r>
          </w:p>
        </w:tc>
        <w:tc>
          <w:tcPr>
            <w:tcW w:w="1890" w:type="dxa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sz w:val="20"/>
                <w:szCs w:val="20"/>
              </w:rPr>
              <w:t xml:space="preserve">Vehicle treatment </w:t>
            </w: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sz w:val="20"/>
                <w:szCs w:val="20"/>
              </w:rPr>
              <w:t>mean ± SEM</w:t>
            </w:r>
          </w:p>
        </w:tc>
        <w:tc>
          <w:tcPr>
            <w:tcW w:w="2158" w:type="dxa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sz w:val="20"/>
                <w:szCs w:val="20"/>
              </w:rPr>
              <w:t>ABX1431 treatment</w:t>
            </w: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sz w:val="20"/>
                <w:szCs w:val="20"/>
              </w:rPr>
              <w:t>mean ± SEM</w:t>
            </w:r>
          </w:p>
        </w:tc>
        <w:tc>
          <w:tcPr>
            <w:tcW w:w="1619" w:type="dxa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sz w:val="20"/>
                <w:szCs w:val="20"/>
              </w:rPr>
              <w:t>Treatment effect</w:t>
            </w: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1619" w:type="dxa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sz w:val="20"/>
                <w:szCs w:val="20"/>
              </w:rPr>
              <w:t>Genotype</w:t>
            </w: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sz w:val="20"/>
                <w:szCs w:val="20"/>
              </w:rPr>
              <w:t xml:space="preserve"> effect</w:t>
            </w: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1619" w:type="dxa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sz w:val="20"/>
                <w:szCs w:val="20"/>
              </w:rPr>
              <w:t>Treatment x Genotype</w:t>
            </w: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i/>
                <w:sz w:val="20"/>
                <w:szCs w:val="20"/>
              </w:rPr>
              <w:t>p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AEA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0.262 ± 0.035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0.339 ± 0.052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0.341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0.222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0.399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0.356 ± 0.027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0.356 ± 0.027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2-AG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2.620 ± 0.791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4.517 ± 1.252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0.080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0.488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0.944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1.787 ± 0.444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3.836 ± 1.083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PEA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1.106 ± 0.130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1.114 ± 0.166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0.582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0.665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0.630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0.987 ± 0.088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1.121 ± 0.035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OEA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1.002 ± 0.102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1.071 ± 0.144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0.598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0.776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0.939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1.043 ± 0.100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1.095 ± 0.046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AA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471.16 ± 29.118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588.03 ± 99.00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0.194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0.562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0.818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532.18 ± 43.581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614.52 ± 60.47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2950" w:type="dxa"/>
            <w:gridSpan w:val="8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 w:val="restart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80FEC">
              <w:rPr>
                <w:rFonts w:ascii="Arial" w:hAnsi="Arial" w:cs="Arial"/>
                <w:sz w:val="20"/>
                <w:szCs w:val="20"/>
              </w:rPr>
              <w:t>Str</w:t>
            </w:r>
            <w:proofErr w:type="spellEnd"/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AEA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0.185 ± 0.017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0.174 ± 0.013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0.701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0.171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0.684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0.199 ± 0.014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0.199 ± 0.009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2-AG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5.392 ± 1.901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11.870 ± 2.932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color w:val="C00000"/>
                <w:sz w:val="20"/>
                <w:szCs w:val="20"/>
              </w:rPr>
              <w:t>0.011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0.270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0.778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3.602 ± 0.618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8.874 ± 1.993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PEA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2.345 ± 0.289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1.942 ± 0.085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0.599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0.068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0.081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1.706 ± 0.083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1.927 ± 0.108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OEA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1.887 ± 0.169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1.624 ± 0.058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0.523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0.336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0.090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1.587 ± 0.069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1.710 ± 0.089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AA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543.44 ± 56.67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673.55 ± 33.048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0.299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color w:val="C00000"/>
                <w:sz w:val="20"/>
                <w:szCs w:val="20"/>
              </w:rPr>
              <w:t>0.005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color w:val="C00000"/>
                <w:sz w:val="20"/>
                <w:szCs w:val="20"/>
              </w:rPr>
              <w:t>0.053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756.53 ± 41.93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715.80 ± 28.371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2950" w:type="dxa"/>
            <w:gridSpan w:val="8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 w:val="restart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80FEC">
              <w:rPr>
                <w:rFonts w:ascii="Arial" w:hAnsi="Arial" w:cs="Arial"/>
                <w:sz w:val="20"/>
                <w:szCs w:val="20"/>
              </w:rPr>
              <w:t>Crb</w:t>
            </w:r>
            <w:proofErr w:type="spellEnd"/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lastRenderedPageBreak/>
              <w:t>AEA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0.130 ± 0.012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0.134 ± 0.016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0.533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0.881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0.717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 xml:space="preserve">0.127 ± </w:t>
            </w:r>
            <w:r w:rsidRPr="00480FEC">
              <w:rPr>
                <w:rFonts w:ascii="Arial" w:hAnsi="Arial" w:cs="Arial"/>
                <w:sz w:val="20"/>
                <w:szCs w:val="20"/>
              </w:rPr>
              <w:lastRenderedPageBreak/>
              <w:t xml:space="preserve">0.013 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lastRenderedPageBreak/>
              <w:t xml:space="preserve">0.142 ± </w:t>
            </w:r>
            <w:r w:rsidRPr="00480FEC">
              <w:rPr>
                <w:rFonts w:ascii="Arial" w:hAnsi="Arial" w:cs="Arial"/>
                <w:sz w:val="20"/>
                <w:szCs w:val="20"/>
              </w:rPr>
              <w:lastRenderedPageBreak/>
              <w:t>0.015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2-AG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8.635 ± 0.866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24.79 ± 4.402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color w:val="C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0.671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0.707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8.490 ± 1.153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22.414 ± 2.563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PEA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1.148 ± 0.085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1.334 ± 0.169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0.322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0.122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0.604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1.018 ± 0.065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1.076 ± 0.095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OEA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1.107 ± 0.085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1.219 ± 0.174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0.495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0.303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0.844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1.000 ± 0.047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1.062 ± 0.112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AA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795.73 ± 61.95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876.38 ± 140.91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0.408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0.767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0.932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754.63 ± 69.33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853.59 ± 105.77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2950" w:type="dxa"/>
            <w:gridSpan w:val="8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 w:val="restart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SC</w:t>
            </w: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AEA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0.041 ± 0.005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0.046 ± 0.008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0.791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0.304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0.808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0.055 ± 0.010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0.055 ± 0.016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2-AG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16.978 ± 2.145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76.473 ± 22.755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FEC">
              <w:rPr>
                <w:rFonts w:ascii="Arial" w:hAnsi="Arial" w:cs="Arial"/>
                <w:b/>
                <w:color w:val="C00000"/>
                <w:sz w:val="20"/>
                <w:szCs w:val="20"/>
              </w:rPr>
              <w:t>0.013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0.907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0.984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14.837 ± 2.417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73.412 ± 35.087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PEA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1.518 ± 0.247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1.928 ± 0.483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0.376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0.819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0.976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1.634 ± 0.214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2.016 ± 0.590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OEA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1.048 ± 0.166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1.312 ± 0.302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0.426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0.657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0.932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1.206 ± 0.188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1.419 ± 0.411</w:t>
            </w: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AA</w:t>
            </w: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(-)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799.51 ± 111.14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989.67 ± 253.56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0.987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0.754</w:t>
            </w:r>
          </w:p>
        </w:tc>
        <w:tc>
          <w:tcPr>
            <w:tcW w:w="1619" w:type="dxa"/>
            <w:vMerge w:val="restart"/>
            <w:vAlign w:val="center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0.334</w:t>
            </w:r>
          </w:p>
        </w:tc>
      </w:tr>
      <w:tr w:rsidR="00584907" w:rsidRPr="00480FEC" w:rsidTr="001660DC">
        <w:trPr>
          <w:jc w:val="center"/>
        </w:trPr>
        <w:tc>
          <w:tcPr>
            <w:tcW w:w="1435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Tat (+)</w:t>
            </w:r>
          </w:p>
        </w:tc>
        <w:tc>
          <w:tcPr>
            <w:tcW w:w="1890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930.76 ± 189.26</w:t>
            </w:r>
          </w:p>
        </w:tc>
        <w:tc>
          <w:tcPr>
            <w:tcW w:w="2158" w:type="dxa"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FEC">
              <w:rPr>
                <w:rFonts w:ascii="Arial" w:hAnsi="Arial" w:cs="Arial"/>
                <w:sz w:val="20"/>
                <w:szCs w:val="20"/>
              </w:rPr>
              <w:t>734.28 ± 171.48</w:t>
            </w:r>
          </w:p>
        </w:tc>
        <w:tc>
          <w:tcPr>
            <w:tcW w:w="1619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9" w:type="dxa"/>
            <w:vMerge/>
          </w:tcPr>
          <w:p w:rsidR="00584907" w:rsidRPr="00480FEC" w:rsidRDefault="00584907" w:rsidP="00166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84907" w:rsidRDefault="00584907" w:rsidP="00584907"/>
    <w:p w:rsidR="00584907" w:rsidRDefault="00584907" w:rsidP="00584907">
      <w:pPr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*</w:t>
      </w:r>
      <w:r w:rsidRPr="00513090">
        <w:rPr>
          <w:rFonts w:ascii="Arial" w:hAnsi="Arial" w:cs="Arial"/>
          <w:color w:val="000000"/>
          <w:sz w:val="22"/>
          <w:szCs w:val="22"/>
        </w:rPr>
        <w:t xml:space="preserve">Levels of </w:t>
      </w:r>
      <w:proofErr w:type="spellStart"/>
      <w:r w:rsidRPr="00513090">
        <w:rPr>
          <w:rFonts w:ascii="Arial" w:hAnsi="Arial" w:cs="Arial"/>
          <w:color w:val="000000"/>
          <w:sz w:val="22"/>
          <w:szCs w:val="22"/>
        </w:rPr>
        <w:t>endocannabinoid</w:t>
      </w:r>
      <w:proofErr w:type="spellEnd"/>
      <w:r w:rsidRPr="0051309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13090">
        <w:rPr>
          <w:rFonts w:ascii="Arial" w:hAnsi="Arial" w:cs="Arial"/>
          <w:color w:val="000000"/>
          <w:sz w:val="22"/>
          <w:szCs w:val="22"/>
        </w:rPr>
        <w:t>ligands</w:t>
      </w:r>
      <w:proofErr w:type="spellEnd"/>
      <w:r w:rsidRPr="00513090">
        <w:rPr>
          <w:rFonts w:ascii="Arial" w:hAnsi="Arial" w:cs="Arial"/>
          <w:color w:val="000000"/>
          <w:sz w:val="22"/>
          <w:szCs w:val="22"/>
        </w:rPr>
        <w:t xml:space="preserve"> and related lipids the prefrontal cortex, striatum, cerebellum, and spinal cord of </w:t>
      </w:r>
      <w:proofErr w:type="gramStart"/>
      <w:r w:rsidRPr="00513090">
        <w:rPr>
          <w:rFonts w:ascii="Arial" w:hAnsi="Arial" w:cs="Arial"/>
          <w:color w:val="000000"/>
          <w:sz w:val="22"/>
          <w:szCs w:val="22"/>
        </w:rPr>
        <w:t>Tat</w:t>
      </w:r>
      <w:r>
        <w:rPr>
          <w:rFonts w:ascii="Arial" w:hAnsi="Arial" w:cs="Arial"/>
          <w:color w:val="000000"/>
          <w:sz w:val="22"/>
          <w:szCs w:val="22"/>
        </w:rPr>
        <w:t>(</w:t>
      </w:r>
      <w:proofErr w:type="gramEnd"/>
      <w:r>
        <w:rPr>
          <w:rFonts w:ascii="Arial" w:hAnsi="Arial" w:cs="Arial"/>
          <w:color w:val="000000"/>
          <w:sz w:val="22"/>
          <w:szCs w:val="22"/>
        </w:rPr>
        <w:t>-</w:t>
      </w:r>
      <w:r w:rsidRPr="00513090">
        <w:rPr>
          <w:rFonts w:ascii="Arial" w:hAnsi="Arial" w:cs="Arial"/>
          <w:color w:val="000000"/>
          <w:sz w:val="22"/>
          <w:szCs w:val="22"/>
        </w:rPr>
        <w:t>) and Tat(+)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513090">
        <w:rPr>
          <w:rFonts w:ascii="Arial" w:hAnsi="Arial" w:cs="Arial"/>
          <w:color w:val="000000"/>
          <w:sz w:val="22"/>
          <w:szCs w:val="22"/>
        </w:rPr>
        <w:t xml:space="preserve">male mice exposed to acute 4 mg/kg CBD or vehicle expressed as mean ± SEM in </w:t>
      </w:r>
      <w:proofErr w:type="spellStart"/>
      <w:r w:rsidRPr="00513090">
        <w:rPr>
          <w:rFonts w:ascii="Arial" w:hAnsi="Arial" w:cs="Arial"/>
          <w:color w:val="000000"/>
          <w:sz w:val="22"/>
          <w:szCs w:val="22"/>
        </w:rPr>
        <w:t>nmol</w:t>
      </w:r>
      <w:proofErr w:type="spellEnd"/>
      <w:r w:rsidRPr="00513090">
        <w:rPr>
          <w:rFonts w:ascii="Arial" w:hAnsi="Arial" w:cs="Arial"/>
          <w:color w:val="000000"/>
          <w:sz w:val="22"/>
          <w:szCs w:val="22"/>
        </w:rPr>
        <w:t xml:space="preserve">/g. A two-way analysis of variance (ANOVA) for each lipid molecule was conducted with treatment and genotype as between-subjects factors. </w:t>
      </w:r>
      <w:proofErr w:type="gramStart"/>
      <w:r w:rsidRPr="00513090">
        <w:rPr>
          <w:rFonts w:ascii="Arial" w:hAnsi="Arial" w:cs="Arial"/>
          <w:i/>
          <w:iCs/>
          <w:color w:val="000000"/>
          <w:sz w:val="22"/>
          <w:szCs w:val="22"/>
        </w:rPr>
        <w:t>p</w:t>
      </w:r>
      <w:r w:rsidRPr="00513090">
        <w:rPr>
          <w:rFonts w:ascii="Arial" w:hAnsi="Arial" w:cs="Arial"/>
          <w:color w:val="000000"/>
          <w:sz w:val="22"/>
          <w:szCs w:val="22"/>
        </w:rPr>
        <w:t>-values</w:t>
      </w:r>
      <w:proofErr w:type="gramEnd"/>
      <w:r w:rsidRPr="00513090">
        <w:rPr>
          <w:rFonts w:ascii="Arial" w:hAnsi="Arial" w:cs="Arial"/>
          <w:color w:val="000000"/>
          <w:sz w:val="22"/>
          <w:szCs w:val="22"/>
        </w:rPr>
        <w:t xml:space="preserve"> are presented from ANOVA results. Bolded and red font values denote significant differences at </w:t>
      </w:r>
      <w:r w:rsidRPr="00513090">
        <w:rPr>
          <w:rFonts w:ascii="Arial" w:hAnsi="Arial" w:cs="Arial"/>
          <w:i/>
          <w:iCs/>
          <w:color w:val="000000"/>
          <w:sz w:val="22"/>
          <w:szCs w:val="22"/>
        </w:rPr>
        <w:t>p</w:t>
      </w:r>
      <w:r w:rsidRPr="00513090">
        <w:rPr>
          <w:rFonts w:ascii="Arial" w:hAnsi="Arial" w:cs="Arial"/>
          <w:color w:val="000000"/>
          <w:sz w:val="22"/>
          <w:szCs w:val="22"/>
        </w:rPr>
        <w:t xml:space="preserve"> ≤ 0.05; mean ± SEM.</w:t>
      </w:r>
    </w:p>
    <w:p w:rsidR="00C743D5" w:rsidRDefault="00C743D5"/>
    <w:sectPr w:rsidR="00C743D5" w:rsidSect="00C743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584907"/>
    <w:rsid w:val="00584907"/>
    <w:rsid w:val="00C74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90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4907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xml</dc:creator>
  <cp:lastModifiedBy>xml</cp:lastModifiedBy>
  <cp:revision>1</cp:revision>
  <dcterms:created xsi:type="dcterms:W3CDTF">2024-02-23T06:21:00Z</dcterms:created>
  <dcterms:modified xsi:type="dcterms:W3CDTF">2024-02-23T06:21:00Z</dcterms:modified>
</cp:coreProperties>
</file>