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233" w:rsidRPr="002969CC" w:rsidRDefault="00896233" w:rsidP="00896233">
      <w:pPr>
        <w:spacing w:line="480" w:lineRule="auto"/>
        <w:jc w:val="both"/>
        <w:rPr>
          <w:b/>
          <w:lang w:val="en-US"/>
        </w:rPr>
      </w:pPr>
      <w:r>
        <w:rPr>
          <w:b/>
          <w:lang w:val="en-US"/>
        </w:rPr>
        <w:t>Supplementary Figure Legends</w:t>
      </w:r>
    </w:p>
    <w:p w:rsidR="00896233" w:rsidRPr="002969CC" w:rsidRDefault="00896233" w:rsidP="00896233">
      <w:pPr>
        <w:spacing w:line="480" w:lineRule="auto"/>
        <w:jc w:val="both"/>
        <w:rPr>
          <w:lang w:val="en-US"/>
        </w:rPr>
      </w:pPr>
      <w:r>
        <w:rPr>
          <w:b/>
          <w:lang w:val="en-US"/>
        </w:rPr>
        <w:t xml:space="preserve">Figure E1. The endocannabinoid 2-AG enhances eotaxin-2/CCL24 induced CD11b upregulation. </w:t>
      </w:r>
      <w:r>
        <w:rPr>
          <w:b/>
          <w:bCs/>
          <w:lang w:val="en-US"/>
        </w:rPr>
        <w:t>A</w:t>
      </w:r>
      <w:r>
        <w:rPr>
          <w:lang w:val="en-US"/>
        </w:rPr>
        <w:t>: Human PMNL were stained with anti-CD11b-PE Ab and anti-CD16-PE-Cy5 Ab and were pretreated with 2-AG (250 nM) or vehicle and then stimulated with eotaxin-2/CCL24. Data are shown as mean ± SEM, n= 5.</w:t>
      </w:r>
    </w:p>
    <w:p w:rsidR="00896233" w:rsidRPr="002969CC" w:rsidRDefault="00896233" w:rsidP="00896233">
      <w:pPr>
        <w:spacing w:line="480" w:lineRule="auto"/>
        <w:jc w:val="both"/>
        <w:rPr>
          <w:lang w:val="en-US"/>
        </w:rPr>
      </w:pPr>
      <w:r>
        <w:rPr>
          <w:b/>
          <w:lang w:val="en-US"/>
        </w:rPr>
        <w:t>Figure E2. JWH-133</w:t>
      </w:r>
      <w:r w:rsidRPr="006F1A11">
        <w:rPr>
          <w:b/>
          <w:lang w:val="en-US"/>
        </w:rPr>
        <w:t xml:space="preserve"> does not induce </w:t>
      </w:r>
      <w:r>
        <w:rPr>
          <w:b/>
          <w:lang w:val="en-US"/>
        </w:rPr>
        <w:t>chemotaxis in mouse eosinophils</w:t>
      </w:r>
      <w:r w:rsidRPr="006F1A11">
        <w:rPr>
          <w:b/>
          <w:lang w:val="en-US"/>
        </w:rPr>
        <w:t xml:space="preserve">. </w:t>
      </w:r>
      <w:r>
        <w:rPr>
          <w:lang w:val="en-US"/>
        </w:rPr>
        <w:t>BmEos were allowed to migrate towards serial dilutions of JWH-133 in a</w:t>
      </w:r>
      <w:r w:rsidRPr="006F1A11">
        <w:rPr>
          <w:lang w:val="en-US"/>
        </w:rPr>
        <w:t xml:space="preserve"> </w:t>
      </w:r>
      <w:r w:rsidRPr="002969CC">
        <w:rPr>
          <w:lang w:val="en-US"/>
        </w:rPr>
        <w:t>microBoyden chamber. Data are shown as mean ± SEM, n= 3</w:t>
      </w:r>
      <w:r>
        <w:rPr>
          <w:lang w:val="en-US"/>
        </w:rPr>
        <w:t>.</w:t>
      </w:r>
    </w:p>
    <w:p w:rsidR="00896233" w:rsidRPr="002969CC" w:rsidRDefault="00896233" w:rsidP="00896233">
      <w:pPr>
        <w:spacing w:line="480" w:lineRule="auto"/>
        <w:jc w:val="both"/>
        <w:rPr>
          <w:b/>
          <w:lang w:val="en-US"/>
        </w:rPr>
      </w:pPr>
      <w:r>
        <w:rPr>
          <w:b/>
          <w:lang w:val="en-US"/>
        </w:rPr>
        <w:t>Figure E3. CB</w:t>
      </w:r>
      <w:r>
        <w:rPr>
          <w:b/>
          <w:vertAlign w:val="subscript"/>
          <w:lang w:val="en-US"/>
        </w:rPr>
        <w:t>2</w:t>
      </w:r>
      <w:r>
        <w:rPr>
          <w:b/>
          <w:lang w:val="en-US"/>
        </w:rPr>
        <w:t xml:space="preserve"> desensitization and the effect on eotaxin-2/CCL24 induced Ca</w:t>
      </w:r>
      <w:r>
        <w:rPr>
          <w:b/>
          <w:vertAlign w:val="superscript"/>
          <w:lang w:val="en-US"/>
        </w:rPr>
        <w:t xml:space="preserve">2+ </w:t>
      </w:r>
      <w:r>
        <w:rPr>
          <w:b/>
          <w:lang w:val="en-US"/>
        </w:rPr>
        <w:t>flux.</w:t>
      </w:r>
    </w:p>
    <w:p w:rsidR="00896233" w:rsidRPr="002969CC" w:rsidRDefault="00896233" w:rsidP="00896233">
      <w:pPr>
        <w:spacing w:line="480" w:lineRule="auto"/>
        <w:jc w:val="both"/>
        <w:rPr>
          <w:lang w:val="en-US"/>
        </w:rPr>
      </w:pPr>
      <w:r>
        <w:rPr>
          <w:b/>
          <w:lang w:val="en-US"/>
        </w:rPr>
        <w:t>A</w:t>
      </w:r>
      <w:r>
        <w:rPr>
          <w:lang w:val="en-US"/>
        </w:rPr>
        <w:t>: Stimulation with JWH-133 (100 nM) desensitizes the CB</w:t>
      </w:r>
      <w:r>
        <w:rPr>
          <w:vertAlign w:val="subscript"/>
          <w:lang w:val="en-US"/>
        </w:rPr>
        <w:t>2</w:t>
      </w:r>
      <w:r>
        <w:rPr>
          <w:lang w:val="en-US"/>
        </w:rPr>
        <w:t xml:space="preserve"> receptor for further 2-AG (100 nM) responses. </w:t>
      </w:r>
      <w:r>
        <w:rPr>
          <w:b/>
          <w:lang w:val="en-US"/>
        </w:rPr>
        <w:t>B:</w:t>
      </w:r>
      <w:r>
        <w:rPr>
          <w:lang w:val="en-US"/>
        </w:rPr>
        <w:t xml:space="preserve"> Pre-treatment with 100 nM JWH-133 or 100 nM 2-AG does not affect responses induced by eotaxin-2/CCL24 (1.5 nM). Data are shown as a representative of 3-5 independent experiments. </w:t>
      </w:r>
      <w:r>
        <w:rPr>
          <w:b/>
          <w:lang w:val="en-US"/>
        </w:rPr>
        <w:t xml:space="preserve">C: </w:t>
      </w:r>
      <w:r>
        <w:rPr>
          <w:lang w:val="en-US"/>
        </w:rPr>
        <w:t>Pre-treatment with 200 nM JWH-133 does not affect eotaxin-2/CCL24 induced responses. Data are shown as mean ± SEM, n= 5.</w:t>
      </w:r>
    </w:p>
    <w:p w:rsidR="00896233" w:rsidRPr="002969CC" w:rsidRDefault="00896233" w:rsidP="00896233">
      <w:pPr>
        <w:spacing w:line="480" w:lineRule="auto"/>
        <w:jc w:val="both"/>
        <w:rPr>
          <w:lang w:val="en-US"/>
        </w:rPr>
      </w:pPr>
      <w:r>
        <w:rPr>
          <w:b/>
          <w:bCs/>
          <w:color w:val="000000" w:themeColor="text1"/>
          <w:lang w:val="en-US"/>
        </w:rPr>
        <w:t>Figure E4. MEK1/2 and p160 ROCK are involved in the modulating effect of JWH-133.</w:t>
      </w:r>
      <w:r>
        <w:rPr>
          <w:b/>
          <w:bCs/>
          <w:lang w:val="en-US"/>
        </w:rPr>
        <w:t xml:space="preserve"> </w:t>
      </w:r>
      <w:r>
        <w:rPr>
          <w:bCs/>
          <w:lang w:val="en-US"/>
        </w:rPr>
        <w:t>E</w:t>
      </w:r>
      <w:r>
        <w:rPr>
          <w:lang w:val="en-US"/>
        </w:rPr>
        <w:t xml:space="preserve">osinophils were pre-treated with the protein kinase inhibitors LY-294002 (PI3K, 10 µM, </w:t>
      </w:r>
      <w:r>
        <w:rPr>
          <w:b/>
          <w:lang w:val="en-US"/>
        </w:rPr>
        <w:t>B</w:t>
      </w:r>
      <w:r>
        <w:rPr>
          <w:lang w:val="en-US"/>
        </w:rPr>
        <w:t xml:space="preserve">), U-0126 (MEK1/2, 10 µM, </w:t>
      </w:r>
      <w:r>
        <w:rPr>
          <w:b/>
          <w:lang w:val="en-US"/>
        </w:rPr>
        <w:t>C</w:t>
      </w:r>
      <w:r>
        <w:rPr>
          <w:lang w:val="en-US"/>
        </w:rPr>
        <w:t xml:space="preserve">), PD-184161 (MEK1/2, 18 µM, </w:t>
      </w:r>
      <w:r>
        <w:rPr>
          <w:b/>
          <w:lang w:val="en-US"/>
        </w:rPr>
        <w:t>D</w:t>
      </w:r>
      <w:r>
        <w:rPr>
          <w:lang w:val="en-US"/>
        </w:rPr>
        <w:t xml:space="preserve">), SB202190 (p38 MAPK, 50 µM, </w:t>
      </w:r>
      <w:r>
        <w:rPr>
          <w:b/>
          <w:lang w:val="en-US"/>
        </w:rPr>
        <w:t>E</w:t>
      </w:r>
      <w:r>
        <w:rPr>
          <w:lang w:val="en-US"/>
        </w:rPr>
        <w:t xml:space="preserve">) and Y-27632 (ROCK, 200 nM, </w:t>
      </w:r>
      <w:r>
        <w:rPr>
          <w:b/>
          <w:lang w:val="en-US"/>
        </w:rPr>
        <w:t>F</w:t>
      </w:r>
      <w:r>
        <w:rPr>
          <w:lang w:val="en-US"/>
        </w:rPr>
        <w:t>) or vehicle (</w:t>
      </w:r>
      <w:r>
        <w:rPr>
          <w:b/>
          <w:lang w:val="en-US"/>
        </w:rPr>
        <w:t>A</w:t>
      </w:r>
      <w:r>
        <w:rPr>
          <w:lang w:val="en-US"/>
        </w:rPr>
        <w:t xml:space="preserve">). Following incubation with JWH-133 (100 nM) or vehicle, eosinophils were stimulated with eotaxin-2/CCL24. In </w:t>
      </w:r>
      <w:r>
        <w:rPr>
          <w:b/>
          <w:lang w:val="en-US"/>
        </w:rPr>
        <w:t xml:space="preserve">G </w:t>
      </w:r>
      <w:r>
        <w:rPr>
          <w:lang w:val="en-US"/>
        </w:rPr>
        <w:t xml:space="preserve">and </w:t>
      </w:r>
      <w:r>
        <w:rPr>
          <w:b/>
          <w:lang w:val="en-US"/>
        </w:rPr>
        <w:t xml:space="preserve">H </w:t>
      </w:r>
      <w:r>
        <w:rPr>
          <w:lang w:val="en-US"/>
        </w:rPr>
        <w:t>eosinophils were pretreated with U-0126 and Y-27632 or vehicle and were allowed to migrate towards serial dilutions of JWH-133. Data are shown as mean ± SEM, * p&lt;0.05, n= 5-14.</w:t>
      </w:r>
    </w:p>
    <w:p w:rsidR="00896233" w:rsidRPr="002969CC" w:rsidRDefault="00896233" w:rsidP="00896233">
      <w:pPr>
        <w:spacing w:line="480" w:lineRule="auto"/>
        <w:jc w:val="both"/>
        <w:rPr>
          <w:lang w:val="en-US"/>
        </w:rPr>
      </w:pPr>
      <w:r w:rsidRPr="006F1A11">
        <w:rPr>
          <w:b/>
          <w:lang w:val="en-US"/>
        </w:rPr>
        <w:t>Figure E5. Representative images of eosinophil shape change assessed by flow cytometry. A:</w:t>
      </w:r>
      <w:r w:rsidRPr="002969CC">
        <w:rPr>
          <w:lang w:val="en-US"/>
        </w:rPr>
        <w:t xml:space="preserve"> FSC/SSC plot of unstimulated isolated human eosinophils</w:t>
      </w:r>
      <w:r w:rsidRPr="006F1A11">
        <w:rPr>
          <w:lang w:val="en-US"/>
        </w:rPr>
        <w:t xml:space="preserve">. </w:t>
      </w:r>
      <w:r w:rsidRPr="006F1A11">
        <w:rPr>
          <w:b/>
          <w:lang w:val="en-US"/>
        </w:rPr>
        <w:t>B:</w:t>
      </w:r>
      <w:r w:rsidRPr="002969CC">
        <w:rPr>
          <w:lang w:val="en-US"/>
        </w:rPr>
        <w:t xml:space="preserve"> </w:t>
      </w:r>
      <w:r w:rsidRPr="006F1A11">
        <w:rPr>
          <w:lang w:val="en-US"/>
        </w:rPr>
        <w:t xml:space="preserve">FSC/SSC plot of isolated human eosinophils stimulated with 0.6 nM eotaxin-2/CCL24. Due to the rearrangement of the cytoskeleton </w:t>
      </w:r>
      <w:r w:rsidRPr="006F1A11">
        <w:rPr>
          <w:lang w:val="en-US"/>
        </w:rPr>
        <w:lastRenderedPageBreak/>
        <w:t xml:space="preserve">upon activation, the cell size increases, </w:t>
      </w:r>
      <w:proofErr w:type="gramStart"/>
      <w:r w:rsidRPr="006F1A11">
        <w:rPr>
          <w:lang w:val="en-US"/>
        </w:rPr>
        <w:t>which is detectable as an increase of the FSC.</w:t>
      </w:r>
      <w:proofErr w:type="gramEnd"/>
      <w:r w:rsidRPr="006F1A11">
        <w:rPr>
          <w:lang w:val="en-US"/>
        </w:rPr>
        <w:t xml:space="preserve"> </w:t>
      </w:r>
      <w:r w:rsidRPr="006F1A11">
        <w:rPr>
          <w:b/>
          <w:lang w:val="en-US"/>
        </w:rPr>
        <w:t>C:</w:t>
      </w:r>
      <w:r w:rsidRPr="006F1A11">
        <w:rPr>
          <w:lang w:val="en-US"/>
        </w:rPr>
        <w:t xml:space="preserve"> Same as in </w:t>
      </w:r>
      <w:r w:rsidRPr="006F1A11">
        <w:rPr>
          <w:b/>
          <w:lang w:val="en-US"/>
        </w:rPr>
        <w:t>B</w:t>
      </w:r>
      <w:r w:rsidRPr="006F1A11">
        <w:rPr>
          <w:lang w:val="en-US"/>
        </w:rPr>
        <w:t>, but eosinophils were pretreated with 100 nM JWH-133, leading to a further increase of the FSC parameter.</w:t>
      </w:r>
    </w:p>
    <w:p w:rsidR="00896233" w:rsidRPr="002969CC" w:rsidRDefault="00896233" w:rsidP="00896233">
      <w:pPr>
        <w:spacing w:line="480" w:lineRule="auto"/>
        <w:jc w:val="both"/>
        <w:rPr>
          <w:lang w:val="en-US"/>
        </w:rPr>
      </w:pPr>
      <w:r w:rsidRPr="006F1A11">
        <w:rPr>
          <w:b/>
          <w:lang w:val="en-US"/>
        </w:rPr>
        <w:t xml:space="preserve">Figure E6. </w:t>
      </w:r>
      <w:proofErr w:type="gramStart"/>
      <w:r w:rsidRPr="006F1A11">
        <w:rPr>
          <w:b/>
          <w:lang w:val="en-US"/>
        </w:rPr>
        <w:t>Representative histological pictures of paraffin sections of lungs from OVA-challenged mice.</w:t>
      </w:r>
      <w:proofErr w:type="gramEnd"/>
      <w:r w:rsidRPr="006F1A11">
        <w:rPr>
          <w:b/>
          <w:lang w:val="en-US"/>
        </w:rPr>
        <w:t xml:space="preserve"> </w:t>
      </w:r>
      <w:r w:rsidRPr="006F1A11">
        <w:rPr>
          <w:lang w:val="en-US"/>
        </w:rPr>
        <w:t xml:space="preserve">Mice were treated as in </w:t>
      </w:r>
      <w:r w:rsidRPr="006F1A11">
        <w:rPr>
          <w:b/>
          <w:lang w:val="en-US"/>
        </w:rPr>
        <w:t>Fig. 7A</w:t>
      </w:r>
      <w:r w:rsidRPr="006F1A11">
        <w:rPr>
          <w:lang w:val="en-US"/>
        </w:rPr>
        <w:t xml:space="preserve"> and lung sections were fixed with 4% formaldehyde and embedded in paraffin.  Lung histopathology was evaluated by</w:t>
      </w:r>
      <w:r w:rsidRPr="002969CC">
        <w:rPr>
          <w:lang w:val="en-US"/>
        </w:rPr>
        <w:t xml:space="preserve"> H&amp;E and</w:t>
      </w:r>
      <w:r>
        <w:rPr>
          <w:lang w:val="en-US"/>
        </w:rPr>
        <w:t xml:space="preserve"> visually examined with an Olympus IX70 microscope; photographs were taken with an Olympus DP50 camera. </w:t>
      </w:r>
      <w:r>
        <w:rPr>
          <w:b/>
          <w:lang w:val="en-US"/>
        </w:rPr>
        <w:t>A</w:t>
      </w:r>
      <w:r w:rsidRPr="006F1A11">
        <w:rPr>
          <w:b/>
          <w:lang w:val="en-US"/>
        </w:rPr>
        <w:t xml:space="preserve">: </w:t>
      </w:r>
      <w:r w:rsidRPr="006F1A11">
        <w:rPr>
          <w:lang w:val="en-US"/>
        </w:rPr>
        <w:t>vehicle treated mice.</w:t>
      </w:r>
      <w:r>
        <w:rPr>
          <w:lang w:val="en-US"/>
        </w:rPr>
        <w:t xml:space="preserve"> </w:t>
      </w:r>
      <w:r>
        <w:rPr>
          <w:b/>
          <w:lang w:val="en-US"/>
        </w:rPr>
        <w:t>B</w:t>
      </w:r>
      <w:r w:rsidRPr="006F1A11">
        <w:rPr>
          <w:lang w:val="en-US"/>
        </w:rPr>
        <w:t>:</w:t>
      </w:r>
      <w:r>
        <w:rPr>
          <w:lang w:val="en-US"/>
        </w:rPr>
        <w:t xml:space="preserve"> JWH-133 treated mice.</w:t>
      </w:r>
    </w:p>
    <w:p w:rsidR="00896233" w:rsidRPr="002969CC" w:rsidRDefault="00896233" w:rsidP="00896233">
      <w:pPr>
        <w:spacing w:line="480" w:lineRule="auto"/>
        <w:jc w:val="both"/>
        <w:rPr>
          <w:lang w:val="en-US"/>
        </w:rPr>
      </w:pPr>
      <w:r>
        <w:rPr>
          <w:b/>
          <w:lang w:val="en-US"/>
        </w:rPr>
        <w:t>Figure E7. Eosinophils are required for JWH-133 induced aggravation</w:t>
      </w:r>
      <w:r w:rsidRPr="006F1A11">
        <w:rPr>
          <w:b/>
          <w:lang w:val="en-US"/>
        </w:rPr>
        <w:t xml:space="preserve"> of lung parameters. </w:t>
      </w:r>
      <w:r w:rsidRPr="006F1A11">
        <w:rPr>
          <w:lang w:val="en-US"/>
        </w:rPr>
        <w:t>Mice were treated as in (</w:t>
      </w:r>
      <w:r w:rsidRPr="006F1A11">
        <w:rPr>
          <w:b/>
          <w:lang w:val="en-US"/>
        </w:rPr>
        <w:t>Fig 7A</w:t>
      </w:r>
      <w:r w:rsidRPr="006F1A11">
        <w:rPr>
          <w:lang w:val="en-US"/>
        </w:rPr>
        <w:t xml:space="preserve">). </w:t>
      </w:r>
      <w:r w:rsidRPr="006F1A11">
        <w:rPr>
          <w:b/>
          <w:bCs/>
          <w:lang w:val="en-US" w:eastAsia="de-AT"/>
        </w:rPr>
        <w:t>A:</w:t>
      </w:r>
      <w:r w:rsidRPr="006F1A11">
        <w:rPr>
          <w:bCs/>
          <w:lang w:val="en-US" w:eastAsia="de-AT"/>
        </w:rPr>
        <w:t xml:space="preserve"> BALB/c WT mice. </w:t>
      </w:r>
      <w:r w:rsidRPr="006F1A11">
        <w:rPr>
          <w:b/>
          <w:bCs/>
          <w:lang w:val="it-IT" w:eastAsia="de-AT"/>
        </w:rPr>
        <w:t>B:</w:t>
      </w:r>
      <w:r w:rsidRPr="006F1A11">
        <w:rPr>
          <w:bCs/>
          <w:lang w:val="it-IT" w:eastAsia="de-AT"/>
        </w:rPr>
        <w:t xml:space="preserve"> ∆dblGATA mice. </w:t>
      </w:r>
      <w:r w:rsidRPr="002969CC">
        <w:rPr>
          <w:lang w:val="en-US"/>
        </w:rPr>
        <w:t>Data are shown as mean ± SEM, * p&lt; 0.05, n=3 - 6.</w:t>
      </w:r>
    </w:p>
    <w:p w:rsidR="00896233" w:rsidRDefault="00896233" w:rsidP="00896233">
      <w:pPr>
        <w:spacing w:line="480" w:lineRule="auto"/>
        <w:jc w:val="both"/>
        <w:rPr>
          <w:b/>
          <w:lang w:val="en-US"/>
        </w:rPr>
      </w:pPr>
    </w:p>
    <w:p w:rsidR="00896233" w:rsidRDefault="00896233" w:rsidP="00896233">
      <w:pPr>
        <w:spacing w:line="480" w:lineRule="auto"/>
        <w:jc w:val="both"/>
        <w:rPr>
          <w:b/>
          <w:lang w:val="en-US"/>
        </w:rPr>
      </w:pPr>
    </w:p>
    <w:p w:rsidR="00896233" w:rsidRPr="002969CC" w:rsidRDefault="00896233" w:rsidP="00896233">
      <w:pPr>
        <w:spacing w:line="480" w:lineRule="auto"/>
        <w:jc w:val="both"/>
        <w:rPr>
          <w:b/>
          <w:lang w:val="en-US"/>
        </w:rPr>
      </w:pPr>
      <w:r>
        <w:rPr>
          <w:b/>
          <w:lang w:val="en-US"/>
        </w:rPr>
        <w:t>Supplemental Material</w:t>
      </w:r>
    </w:p>
    <w:p w:rsidR="00896233" w:rsidRPr="002969CC" w:rsidRDefault="00896233" w:rsidP="00896233">
      <w:pPr>
        <w:spacing w:line="480" w:lineRule="auto"/>
        <w:jc w:val="both"/>
        <w:rPr>
          <w:b/>
          <w:bCs/>
          <w:lang w:val="en-GB" w:eastAsia="de-AT"/>
        </w:rPr>
      </w:pPr>
      <w:r>
        <w:rPr>
          <w:b/>
          <w:bCs/>
          <w:lang w:val="en-GB" w:eastAsia="de-AT"/>
        </w:rPr>
        <w:t>Materials</w:t>
      </w:r>
    </w:p>
    <w:p w:rsidR="00896233" w:rsidRDefault="00896233" w:rsidP="00896233">
      <w:pPr>
        <w:autoSpaceDE w:val="0"/>
        <w:autoSpaceDN w:val="0"/>
        <w:adjustRightInd w:val="0"/>
        <w:spacing w:line="480" w:lineRule="auto"/>
        <w:ind w:firstLine="340"/>
        <w:jc w:val="both"/>
        <w:rPr>
          <w:lang w:val="en-US"/>
        </w:rPr>
      </w:pPr>
      <w:r>
        <w:rPr>
          <w:bCs/>
          <w:lang w:val="en-GB" w:eastAsia="de-AT"/>
        </w:rPr>
        <w:t>All reagents were from Sigma (Vienna, Austria), unless speciﬁed. Assay buffer was made from Dulbecco`s modiﬁed PBS (with 0.9 mmol/L Ca</w:t>
      </w:r>
      <w:r>
        <w:rPr>
          <w:bCs/>
          <w:vertAlign w:val="superscript"/>
          <w:lang w:val="en-GB" w:eastAsia="de-AT"/>
        </w:rPr>
        <w:t xml:space="preserve">2+ </w:t>
      </w:r>
      <w:r>
        <w:rPr>
          <w:bCs/>
          <w:lang w:val="en-GB" w:eastAsia="de-AT"/>
        </w:rPr>
        <w:t>and 0.5 mmol/L Mg</w:t>
      </w:r>
      <w:r>
        <w:rPr>
          <w:bCs/>
          <w:vertAlign w:val="superscript"/>
          <w:lang w:val="en-GB" w:eastAsia="de-AT"/>
        </w:rPr>
        <w:t>2+</w:t>
      </w:r>
      <w:r>
        <w:rPr>
          <w:bCs/>
          <w:lang w:val="en-GB" w:eastAsia="de-AT"/>
        </w:rPr>
        <w:t>; Invitrogen, Vienna, Austria), 0.1% BSA, 10 mmol/L HEPES, and 10 mmol/L glucose, pH 7.4. Human eotaxin-2/CCL24 was from R&amp;D Systems (Minneapolis, USA). IL-8 was from Peprotech (London, United Kingdom). PGD</w:t>
      </w:r>
      <w:r>
        <w:rPr>
          <w:bCs/>
          <w:vertAlign w:val="subscript"/>
          <w:lang w:val="en-GB" w:eastAsia="de-AT"/>
        </w:rPr>
        <w:t>2</w:t>
      </w:r>
      <w:r>
        <w:rPr>
          <w:bCs/>
          <w:lang w:val="en-GB" w:eastAsia="de-AT"/>
        </w:rPr>
        <w:t>, SR144528, JWH-133, 2-APB, U-73122, U-73343 and 2-AG were purchased from Tocris (Bristol, UK). Anti-CD16-PE-Cy5, anti-HLA-DR-FITC, anti-CD123-PE and anti-CD11b-PE (ICRF44) were from Becton Dickinson (Vienna, Austria). Polyclonal rabbit anti-human CB</w:t>
      </w:r>
      <w:r>
        <w:rPr>
          <w:bCs/>
          <w:vertAlign w:val="subscript"/>
          <w:lang w:val="en-GB" w:eastAsia="de-AT"/>
        </w:rPr>
        <w:t>2</w:t>
      </w:r>
      <w:r>
        <w:rPr>
          <w:bCs/>
          <w:lang w:val="en-GB" w:eastAsia="de-AT"/>
        </w:rPr>
        <w:t xml:space="preserve"> Ab was from Abcam (Cambridge, United Kingdom) and </w:t>
      </w:r>
      <w:r>
        <w:rPr>
          <w:lang w:val="en-US"/>
        </w:rPr>
        <w:t xml:space="preserve">rabbit IgG isotype control was supplied from Santa Cruz Biotechnology (Heidelberg, </w:t>
      </w:r>
      <w:r>
        <w:rPr>
          <w:lang w:val="en-US"/>
        </w:rPr>
        <w:lastRenderedPageBreak/>
        <w:t>Germany). The PI3K inhibitor LY294002 was supplied from Biomol (Hamburg, Germany). The MEK1/2 inhibitor U-0126, the p38 MAPK inhibitor SB 202190 and the ROCK inhibitor Y-27632 were purchased from Tocris (Bristol, UK). The MEK1/2 inhibitor PD 184161 was from Cayman Chemicals (Ann Abor, MI). C</w:t>
      </w:r>
      <w:r>
        <w:rPr>
          <w:bCs/>
          <w:lang w:val="en-GB" w:eastAsia="de-AT"/>
        </w:rPr>
        <w:t>ellFix and FACS-Flow were from Becton Dickinson (Vienna, Austria)</w:t>
      </w:r>
      <w:r>
        <w:rPr>
          <w:lang w:val="en-US"/>
        </w:rPr>
        <w:t xml:space="preserve">. </w:t>
      </w:r>
      <w:r>
        <w:rPr>
          <w:rFonts w:eastAsia="Arial Unicode MS"/>
          <w:lang w:val="en-US"/>
        </w:rPr>
        <w:t xml:space="preserve">PVP-free polycarbonate filters were from NeuroProbe (Gaithersburg, USA) and </w:t>
      </w:r>
      <w:r>
        <w:rPr>
          <w:lang w:val="en-US"/>
        </w:rPr>
        <w:t>96-well chemotaxis plates were from Corning Life Sciences (Radnor, USA). Fluo-3-AM was supplied from Life Sciences (Vienna, Austria).</w:t>
      </w:r>
    </w:p>
    <w:p w:rsidR="00896233" w:rsidRPr="002969CC" w:rsidRDefault="00896233" w:rsidP="00896233">
      <w:pPr>
        <w:autoSpaceDE w:val="0"/>
        <w:autoSpaceDN w:val="0"/>
        <w:adjustRightInd w:val="0"/>
        <w:spacing w:line="480" w:lineRule="auto"/>
        <w:ind w:firstLine="284"/>
        <w:jc w:val="both"/>
        <w:rPr>
          <w:bCs/>
          <w:lang w:val="en-GB" w:eastAsia="de-AT"/>
        </w:rPr>
      </w:pPr>
      <w:r>
        <w:rPr>
          <w:bCs/>
          <w:lang w:val="en-GB" w:eastAsia="de-AT"/>
        </w:rPr>
        <w:t>Fixative solution was prepared by adding 9 ml of distilled water and 30 ml of FACS-Flow to 1 ml of CellFix.</w:t>
      </w:r>
    </w:p>
    <w:p w:rsidR="00896233" w:rsidRPr="002969CC" w:rsidRDefault="00896233" w:rsidP="00896233">
      <w:pPr>
        <w:autoSpaceDE w:val="0"/>
        <w:autoSpaceDN w:val="0"/>
        <w:adjustRightInd w:val="0"/>
        <w:spacing w:line="480" w:lineRule="auto"/>
        <w:ind w:firstLine="284"/>
        <w:jc w:val="both"/>
        <w:rPr>
          <w:bCs/>
          <w:lang w:val="en-GB" w:eastAsia="de-AT"/>
        </w:rPr>
      </w:pPr>
    </w:p>
    <w:p w:rsidR="00896233" w:rsidRPr="002969CC" w:rsidRDefault="00896233" w:rsidP="00896233">
      <w:pPr>
        <w:spacing w:line="480" w:lineRule="auto"/>
        <w:jc w:val="both"/>
        <w:rPr>
          <w:bCs/>
          <w:lang w:val="en-GB" w:eastAsia="de-AT"/>
        </w:rPr>
      </w:pPr>
      <w:r w:rsidRPr="006F1A11">
        <w:rPr>
          <w:b/>
          <w:bCs/>
          <w:lang w:val="en-GB" w:eastAsia="de-AT"/>
        </w:rPr>
        <w:t>Blood donors:</w:t>
      </w:r>
    </w:p>
    <w:p w:rsidR="00896233" w:rsidRPr="002969CC" w:rsidRDefault="00896233" w:rsidP="00896233">
      <w:pPr>
        <w:pStyle w:val="ListParagraph"/>
        <w:spacing w:after="0" w:line="480" w:lineRule="auto"/>
        <w:ind w:left="0" w:firstLine="284"/>
        <w:jc w:val="both"/>
        <w:rPr>
          <w:rFonts w:ascii="Times New Roman" w:hAnsi="Times New Roman"/>
          <w:bCs/>
          <w:color w:val="000000" w:themeColor="text1"/>
          <w:sz w:val="24"/>
          <w:szCs w:val="24"/>
          <w:lang w:val="en-GB" w:eastAsia="de-AT"/>
        </w:rPr>
      </w:pPr>
      <w:r w:rsidRPr="006F1A11">
        <w:rPr>
          <w:rFonts w:ascii="Times New Roman" w:eastAsia="Times New Roman" w:hAnsi="Times New Roman"/>
          <w:bCs/>
          <w:color w:val="000000" w:themeColor="text1"/>
          <w:sz w:val="24"/>
          <w:szCs w:val="24"/>
          <w:lang w:val="en-GB" w:eastAsia="de-AT"/>
        </w:rPr>
        <w:t>Blood was collected in- and off-season from healthy and allergic volunteers according to a protocol approved by the Ethics Committee of the Medical University of Graz</w:t>
      </w:r>
      <w:r w:rsidRPr="006F1A11">
        <w:rPr>
          <w:rFonts w:ascii="Times New Roman" w:hAnsi="Times New Roman"/>
          <w:bCs/>
          <w:color w:val="000000" w:themeColor="text1"/>
          <w:sz w:val="24"/>
          <w:szCs w:val="24"/>
          <w:lang w:val="en-GB" w:eastAsia="de-AT"/>
        </w:rPr>
        <w:t xml:space="preserve">. </w:t>
      </w:r>
      <w:r w:rsidRPr="006F1A11">
        <w:rPr>
          <w:rFonts w:ascii="Times New Roman" w:hAnsi="Times New Roman"/>
          <w:sz w:val="24"/>
          <w:szCs w:val="24"/>
          <w:lang w:val="en-US"/>
        </w:rPr>
        <w:t>Medical history and allergic symptoms were assessed using a standardized questionnaire</w:t>
      </w:r>
      <w:r w:rsidRPr="006F1A11">
        <w:rPr>
          <w:rFonts w:ascii="Times New Roman" w:hAnsi="Times New Roman"/>
          <w:bCs/>
          <w:color w:val="000000" w:themeColor="text1"/>
          <w:sz w:val="24"/>
          <w:szCs w:val="24"/>
          <w:lang w:val="en-GB" w:eastAsia="de-AT"/>
        </w:rPr>
        <w:t xml:space="preserve"> asking for </w:t>
      </w:r>
      <w:r w:rsidRPr="006F1A11">
        <w:rPr>
          <w:rFonts w:ascii="Times New Roman" w:hAnsi="Times New Roman"/>
          <w:color w:val="000000" w:themeColor="text1"/>
          <w:sz w:val="24"/>
          <w:szCs w:val="24"/>
          <w:lang w:val="en-US"/>
        </w:rPr>
        <w:t>physician-diagnosed allergies and the presence, nature and frequency of allergic symptoms. In this study, only healthy non-allergic subjects and subjects allergic to aeroallergens with respiratory symptoms were included</w:t>
      </w:r>
      <w:r w:rsidRPr="002969CC">
        <w:rPr>
          <w:rFonts w:ascii="Times New Roman" w:hAnsi="Times New Roman"/>
          <w:color w:val="000000" w:themeColor="text1"/>
          <w:sz w:val="24"/>
          <w:szCs w:val="24"/>
          <w:lang w:val="en-US"/>
        </w:rPr>
        <w:t>.</w:t>
      </w:r>
    </w:p>
    <w:p w:rsidR="00896233" w:rsidRPr="002969CC" w:rsidRDefault="00896233" w:rsidP="00896233">
      <w:pPr>
        <w:autoSpaceDE w:val="0"/>
        <w:autoSpaceDN w:val="0"/>
        <w:adjustRightInd w:val="0"/>
        <w:spacing w:line="480" w:lineRule="auto"/>
        <w:jc w:val="both"/>
        <w:rPr>
          <w:b/>
          <w:bCs/>
          <w:lang w:val="en-GB" w:eastAsia="de-AT"/>
        </w:rPr>
      </w:pPr>
    </w:p>
    <w:p w:rsidR="00896233" w:rsidRPr="002969CC" w:rsidRDefault="00896233" w:rsidP="00896233">
      <w:pPr>
        <w:autoSpaceDE w:val="0"/>
        <w:autoSpaceDN w:val="0"/>
        <w:adjustRightInd w:val="0"/>
        <w:spacing w:line="480" w:lineRule="auto"/>
        <w:jc w:val="both"/>
        <w:rPr>
          <w:b/>
          <w:bCs/>
          <w:lang w:val="en-GB" w:eastAsia="de-AT"/>
        </w:rPr>
      </w:pPr>
      <w:r w:rsidRPr="002969CC">
        <w:rPr>
          <w:b/>
          <w:bCs/>
          <w:lang w:val="en-GB" w:eastAsia="de-AT"/>
        </w:rPr>
        <w:t>Mouse strains</w:t>
      </w:r>
      <w:r w:rsidRPr="006F1A11">
        <w:rPr>
          <w:b/>
          <w:bCs/>
          <w:lang w:val="en-GB" w:eastAsia="de-AT"/>
        </w:rPr>
        <w:t>:</w:t>
      </w:r>
    </w:p>
    <w:p w:rsidR="00896233" w:rsidRPr="002969CC" w:rsidRDefault="00896233" w:rsidP="00896233">
      <w:pPr>
        <w:autoSpaceDE w:val="0"/>
        <w:autoSpaceDN w:val="0"/>
        <w:adjustRightInd w:val="0"/>
        <w:spacing w:line="480" w:lineRule="auto"/>
        <w:ind w:firstLine="284"/>
        <w:jc w:val="both"/>
        <w:rPr>
          <w:bCs/>
          <w:lang w:val="en-GB" w:eastAsia="de-AT"/>
        </w:rPr>
      </w:pPr>
      <w:r>
        <w:rPr>
          <w:bCs/>
          <w:lang w:val="en-GB" w:eastAsia="de-AT"/>
        </w:rPr>
        <w:t xml:space="preserve">Female C57Bl6/N mice were obtained from Charles River (Sulzfeld, Germany). Breeding pairs of the interleukin-5 transgenic (IL-5Tg) and eosinophil-deficient </w:t>
      </w:r>
      <w:r>
        <w:rPr>
          <w:bCs/>
          <w:i/>
          <w:lang w:val="en-GB" w:eastAsia="de-AT"/>
        </w:rPr>
        <w:t>Δdbl</w:t>
      </w:r>
      <w:r>
        <w:rPr>
          <w:bCs/>
          <w:lang w:val="en-GB" w:eastAsia="de-AT"/>
        </w:rPr>
        <w:t>GATA strains (</w:t>
      </w:r>
      <w:r>
        <w:rPr>
          <w:lang w:val="en-US"/>
        </w:rPr>
        <w:t xml:space="preserve">BALB/c </w:t>
      </w:r>
      <w:r>
        <w:rPr>
          <w:bCs/>
          <w:lang w:val="en-GB" w:eastAsia="de-AT"/>
        </w:rPr>
        <w:t xml:space="preserve">background) were a kind gift of Dr. Helene Rosenberg and maintained on-site. Mice were housed in individually ventilated cages (5 per cage) under controlled conditions of temperature (set point 21 °C), air humidity (set point 50%) and a 12 h light/dark cycle (lights on at 6:00 a.m.). Standard chow (altromin 1324 FORTI, Altromin, Lage, Germany) and water were provided ad libitum. The experimental </w:t>
      </w:r>
      <w:r>
        <w:rPr>
          <w:bCs/>
          <w:lang w:val="en-GB" w:eastAsia="de-AT"/>
        </w:rPr>
        <w:lastRenderedPageBreak/>
        <w:t xml:space="preserve">procedure used in this study was approved by the Austrian Federal Ministry of Science, Research and Economy </w:t>
      </w:r>
      <w:r>
        <w:rPr>
          <w:bCs/>
          <w:color w:val="000000" w:themeColor="text1"/>
          <w:lang w:val="en-GB" w:eastAsia="de-AT"/>
        </w:rPr>
        <w:t>(protocol numbers: BMWF-66.010/0094-II/3b/2013; BMWFW-66.010/0020-WF/V/3b/2015) conform to Directive 2010/63/EU, and was performed in accordance with national and international guidelines. Mice were</w:t>
      </w:r>
      <w:r>
        <w:rPr>
          <w:bCs/>
          <w:lang w:val="en-GB" w:eastAsia="de-AT"/>
        </w:rPr>
        <w:t xml:space="preserve"> randomly assigned before treatment. </w:t>
      </w:r>
    </w:p>
    <w:p w:rsidR="00896233" w:rsidRPr="002969CC" w:rsidRDefault="00896233" w:rsidP="00896233">
      <w:pPr>
        <w:spacing w:line="480" w:lineRule="auto"/>
        <w:jc w:val="both"/>
        <w:rPr>
          <w:b/>
          <w:bCs/>
          <w:lang w:val="en-GB" w:eastAsia="de-AT"/>
        </w:rPr>
      </w:pPr>
    </w:p>
    <w:p w:rsidR="00896233" w:rsidRDefault="00896233" w:rsidP="00896233">
      <w:pPr>
        <w:spacing w:line="480" w:lineRule="auto"/>
        <w:jc w:val="both"/>
        <w:rPr>
          <w:b/>
          <w:bCs/>
          <w:lang w:val="en-GB" w:eastAsia="de-AT"/>
        </w:rPr>
      </w:pPr>
    </w:p>
    <w:p w:rsidR="00896233" w:rsidRDefault="00896233" w:rsidP="00896233">
      <w:pPr>
        <w:spacing w:line="480" w:lineRule="auto"/>
        <w:jc w:val="both"/>
        <w:rPr>
          <w:b/>
          <w:bCs/>
          <w:lang w:val="en-GB" w:eastAsia="de-AT"/>
        </w:rPr>
      </w:pPr>
      <w:r>
        <w:rPr>
          <w:b/>
          <w:bCs/>
          <w:lang w:val="en-GB" w:eastAsia="de-AT"/>
        </w:rPr>
        <w:t>Methods</w:t>
      </w:r>
    </w:p>
    <w:p w:rsidR="00896233"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sidRPr="006F1A11">
        <w:rPr>
          <w:b/>
          <w:bCs/>
          <w:lang w:val="en-GB" w:eastAsia="de-AT"/>
        </w:rPr>
        <w:t>Preparation of human basophils and eosinophils:</w:t>
      </w:r>
    </w:p>
    <w:p w:rsidR="00896233" w:rsidRPr="002969CC" w:rsidRDefault="00896233" w:rsidP="00896233">
      <w:pPr>
        <w:pStyle w:val="ListParagraph"/>
        <w:spacing w:after="0" w:line="480" w:lineRule="auto"/>
        <w:ind w:left="0" w:firstLine="284"/>
        <w:jc w:val="both"/>
        <w:rPr>
          <w:rFonts w:ascii="Times New Roman" w:hAnsi="Times New Roman"/>
          <w:sz w:val="24"/>
          <w:szCs w:val="24"/>
          <w:lang w:val="en-US"/>
        </w:rPr>
      </w:pPr>
      <w:r w:rsidRPr="006F1A11">
        <w:rPr>
          <w:rFonts w:ascii="Times New Roman" w:eastAsia="Times New Roman" w:hAnsi="Times New Roman"/>
          <w:bCs/>
          <w:sz w:val="24"/>
          <w:szCs w:val="24"/>
          <w:lang w:val="en-GB" w:eastAsia="de-AT"/>
        </w:rPr>
        <w:t>Basophils were identified as CD123</w:t>
      </w:r>
      <w:r w:rsidRPr="006F1A11">
        <w:rPr>
          <w:rFonts w:ascii="Times New Roman" w:eastAsia="Times New Roman" w:hAnsi="Times New Roman"/>
          <w:bCs/>
          <w:sz w:val="24"/>
          <w:szCs w:val="24"/>
          <w:vertAlign w:val="superscript"/>
          <w:lang w:val="en-GB" w:eastAsia="de-AT"/>
        </w:rPr>
        <w:t>+</w:t>
      </w:r>
      <w:r w:rsidRPr="006F1A11">
        <w:rPr>
          <w:rFonts w:ascii="Times New Roman" w:eastAsia="Times New Roman" w:hAnsi="Times New Roman"/>
          <w:bCs/>
          <w:sz w:val="24"/>
          <w:szCs w:val="24"/>
          <w:lang w:val="en-GB" w:eastAsia="de-AT"/>
        </w:rPr>
        <w:t>/HLA-DR</w:t>
      </w:r>
      <w:r w:rsidRPr="006F1A11">
        <w:rPr>
          <w:rFonts w:ascii="Times New Roman" w:eastAsia="Times New Roman" w:hAnsi="Times New Roman"/>
          <w:bCs/>
          <w:sz w:val="24"/>
          <w:szCs w:val="24"/>
          <w:vertAlign w:val="superscript"/>
          <w:lang w:val="en-GB" w:eastAsia="de-AT"/>
        </w:rPr>
        <w:t>-</w:t>
      </w:r>
      <w:r w:rsidRPr="006F1A11">
        <w:rPr>
          <w:rFonts w:ascii="Times New Roman" w:eastAsia="Times New Roman" w:hAnsi="Times New Roman"/>
          <w:bCs/>
          <w:sz w:val="24"/>
          <w:szCs w:val="24"/>
          <w:lang w:val="en-GB" w:eastAsia="de-AT"/>
        </w:rPr>
        <w:t xml:space="preserve"> cells in PBMC preparations and eosinophils were isolated from PMNL by negative magnetic selection as described previously </w:t>
      </w:r>
      <w:r w:rsidR="00F86D96" w:rsidRPr="006F1A11">
        <w:rPr>
          <w:rFonts w:ascii="Times New Roman" w:eastAsia="Times New Roman" w:hAnsi="Times New Roman"/>
          <w:bCs/>
          <w:sz w:val="24"/>
          <w:szCs w:val="24"/>
          <w:lang w:val="en-GB" w:eastAsia="de-AT"/>
        </w:rPr>
        <w:fldChar w:fldCharType="begin"/>
      </w:r>
      <w:r w:rsidRPr="006F1A11">
        <w:rPr>
          <w:rFonts w:ascii="Times New Roman" w:eastAsia="Times New Roman" w:hAnsi="Times New Roman"/>
          <w:bCs/>
          <w:sz w:val="24"/>
          <w:szCs w:val="24"/>
          <w:lang w:val="en-GB" w:eastAsia="de-AT"/>
        </w:rPr>
        <w:instrText xml:space="preserve"> ADDIN ZOTERO_ITEM CSL_CITATION {"citationID":"Rl5ip6jl","properties":{"formattedCitation":"(56,57)","plainCitation":"(56,57)"},"citationItems":[{"id":258,"uris":["http://zotero.org/users/681408/items/MRMBJEUG"],"uri":["http://zotero.org/users/681408/items/MRMBJEUG"],"itemData":{"id":258,"type":"article-journal","title":"Hierarchy of eosinophil chemoattractants: role of p38 mitogen-activated protein kinase","container-title":"European Journal of Immunology","page":"2401-2409","volume":"36","issue":"9","source":"NCBI PubMed","abstract":"Several chemoattractants can regulate the recruitment of eosinophils to sites of inflammation, but the hierarchy among them is unknown. We observed here that eosinophil chemotaxis towards eotaxin or 5-oxo-6,8,11,14-eicosatetraenoic acid (5-oxo-ETE) was amplified up to sixfold in the presence of prostaglandin (PG) D2. This effect was only seen in eosinophils, and not in neutrophils or basophils. Pretreatment with the chemoattractant receptor-homologous molecule expressed on TH2 cells (CRTH2) antagonist ramatroban prevented the PGD2 enhancement of eosinophil migrations. In contrast, eotaxin or 5-oxo-ETE inhibited the migration of eosinophils towards PGD2. 5-oxo-ETE enhanced the chemotaxis to eotaxin, while eotaxin had no effect on 5-oxo-ETE-induced migration. 5-oxo-ETE induced the phosphorylation of p38 mitogen-activated protein kinase, and inhibition of p38 mitogen-activated protein kinase by SB-202190 converted the effect of 5-oxo-ETE on the chemotaxis to PGD2 from inhibition to enhancement. The presence of blood or plasma markedly decreased the sensitivity of eosinophils to eotaxin or 5-oxo-ETE, while responses to PGD2 were unaltered. In conclusion, PGD2 might be an initial chemoattractant, since it maintains its potency in the circulation and augments the responsiveness of eosinophils to other chemoattractants. In contrast, eotaxin seems to be an end-point chemoattractant, since it has reduced efficacy in blood and is capable of down-modulating eosinophil responsiveness to other chemoattractants.","DOI":"10.1002/eji.200535672","ISSN":"0014-2980","note":"PMID: 16906532","shortTitle":"Hierarchy of eosinophil chemoattractants","journalAbbreviation":"Eur. J. Immunol.","language":"eng","author":[{"family":"Schratl","given":"Petra"},{"family":"Sturm","given":"Eva M."},{"family":"Royer","given":"Julia F."},{"family":"Sturm","given":"Gunter J."},{"family":"Lippe","given":"Irmgard T."},{"family":"Peskar","given":"Bernhard A."},{"family":"Heinemann","given":"Akos"}],"issued":{"date-parts":[["2006",9]]},"PMID":"16906532"}},{"id":468,"uris":["http://zotero.org/users/681408/items/QBFAJAWI"],"uri":["http://zotero.org/users/681408/items/QBFAJAWI"],"itemData":{"id":468,"type":"article-journal","title":"A novel assay to measure the calcium flux in human basophils: effects of chemokines and nerve growth factor","container-title":"Pharmacology","page":"49-54","volume":"67","issue":"1","source":"PubMed","abstract":"The calcium flux in human basophils was measured by flow cytometry. Peripheral blood mononuclear cells were labeled with anti-CD123 and anti-HLA-DR antibodies, loaded with fluo-3 acetoxymethyl ester (2 micromol/l) in the presence of probenecid (2.5 micromol/l) and Pluronic F-127 (0.02%) for 20 min, and equilibrated with Ca(2+) (1.8 mmol/l) and Mg(2+) (1 mmol/l) for 5 min. The levels of intracellular free calcium were monitored as changes in fluorescence. Cross-linking of surface IgE on basophils with anti-IgE antibodies caused effective calcium flux in atopic, but not in healthy, donors. Concentration-dependent responses to monocyte chemoattractant protein 1 (MCP-1), eotaxin, macrophage inflammatory protein 1 alpha (MIP-1alpha), and C5a (0.3-10 nmol/l) were observed in all subjects, with a rank order of potency of C5a = MCP-1 &gt; eotaxin &gt; MIP-1alpha. In contrast, the rank order of potency in causing basophil shape change (i.e., increase in forward scatter) was eotaxin &gt; C5a &gt; MCP-1 &gt; MIP-1alpha. Nerve growth factor (NGF; 15 nmol/l) did not induce calcium flux in basophils, and pretreatment of cells with a low concentration of NGF (0.3 nmol/l), which has previously been shown to prime basophils for mediator release, had no effect on the calcium response to subsequent stimulation with C5a. We conclude that calcium mobilization is differentially involved in signaling to chemoattractants in basophils and that it is correlated with the agonist's efficacy to induce mediator release. The data also suggest that priming of basophil responses by NGF does not rely on enhanced calcium mobilization.","ISSN":"0031-7012","note":"PMID: 12444303","shortTitle":"A novel assay to measure the calcium flux in human basophils","journalAbbreviation":"Pharmacology","language":"eng","author":[{"family":"Heinemann","given":"Akos"},{"family":"Ofner","given":"Martina"},{"family":"Amann","given":"Rainer"},{"family":"Peskar","given":"Bernhard A."}],"issued":{"date-parts":[["2003",1]]},"PMID":"12444303"}}],"schema":"https://github.com/citation-style-language/schema/raw/master/csl-citation.json"} </w:instrText>
      </w:r>
      <w:r w:rsidR="00F86D96" w:rsidRPr="006F1A11">
        <w:rPr>
          <w:rFonts w:ascii="Times New Roman" w:eastAsia="Times New Roman" w:hAnsi="Times New Roman"/>
          <w:bCs/>
          <w:sz w:val="24"/>
          <w:szCs w:val="24"/>
          <w:lang w:val="en-GB" w:eastAsia="de-AT"/>
        </w:rPr>
        <w:fldChar w:fldCharType="separate"/>
      </w:r>
      <w:r w:rsidRPr="006F1A11">
        <w:rPr>
          <w:rFonts w:ascii="Times New Roman" w:hAnsi="Times New Roman"/>
          <w:sz w:val="24"/>
          <w:lang w:val="en-US"/>
        </w:rPr>
        <w:t>(56,57)</w:t>
      </w:r>
      <w:r w:rsidR="00F86D96" w:rsidRPr="006F1A11">
        <w:rPr>
          <w:rFonts w:ascii="Times New Roman" w:eastAsia="Times New Roman" w:hAnsi="Times New Roman"/>
          <w:bCs/>
          <w:sz w:val="24"/>
          <w:szCs w:val="24"/>
          <w:lang w:val="en-GB" w:eastAsia="de-AT"/>
        </w:rPr>
        <w:fldChar w:fldCharType="end"/>
      </w:r>
      <w:r w:rsidRPr="006F1A11">
        <w:rPr>
          <w:rFonts w:ascii="Times New Roman" w:eastAsia="Times New Roman" w:hAnsi="Times New Roman"/>
          <w:bCs/>
          <w:sz w:val="24"/>
          <w:szCs w:val="24"/>
          <w:lang w:val="en-GB" w:eastAsia="de-AT"/>
        </w:rPr>
        <w:t>. Purity of the isolated eosinophils was typically greater than 97%</w:t>
      </w:r>
      <w:r w:rsidRPr="002969CC">
        <w:rPr>
          <w:rFonts w:ascii="Times New Roman" w:eastAsia="Times New Roman" w:hAnsi="Times New Roman"/>
          <w:bCs/>
          <w:sz w:val="24"/>
          <w:szCs w:val="24"/>
          <w:lang w:val="en-GB" w:eastAsia="de-AT"/>
        </w:rPr>
        <w:t xml:space="preserve">. </w:t>
      </w:r>
      <w:r>
        <w:rPr>
          <w:rFonts w:ascii="Times New Roman" w:eastAsia="Times New Roman" w:hAnsi="Times New Roman"/>
          <w:bCs/>
          <w:sz w:val="24"/>
          <w:szCs w:val="24"/>
          <w:lang w:val="en-GB" w:eastAsia="de-AT"/>
        </w:rPr>
        <w:t xml:space="preserve"> </w:t>
      </w:r>
    </w:p>
    <w:p w:rsidR="00896233" w:rsidRPr="002969CC" w:rsidRDefault="00896233" w:rsidP="00896233">
      <w:pPr>
        <w:spacing w:line="480" w:lineRule="auto"/>
        <w:jc w:val="both"/>
        <w:rPr>
          <w:b/>
          <w:bCs/>
          <w:lang w:val="en-US" w:eastAsia="de-AT"/>
        </w:rPr>
      </w:pPr>
    </w:p>
    <w:p w:rsidR="00896233"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Preparation of mouse eosinophils:</w:t>
      </w:r>
    </w:p>
    <w:p w:rsidR="00896233" w:rsidRPr="002969CC" w:rsidRDefault="00896233" w:rsidP="00896233">
      <w:pPr>
        <w:autoSpaceDE w:val="0"/>
        <w:autoSpaceDN w:val="0"/>
        <w:adjustRightInd w:val="0"/>
        <w:spacing w:line="480" w:lineRule="auto"/>
        <w:ind w:firstLine="284"/>
        <w:jc w:val="both"/>
        <w:rPr>
          <w:lang w:val="en-US" w:eastAsia="de-AT"/>
        </w:rPr>
      </w:pPr>
      <w:r>
        <w:rPr>
          <w:rFonts w:eastAsia="Arial Unicode MS"/>
          <w:lang w:val="en-US"/>
        </w:rPr>
        <w:t xml:space="preserve">Bone marrow-derived eosinophils (bmEos) were differentiated </w:t>
      </w:r>
      <w:r>
        <w:rPr>
          <w:rFonts w:eastAsia="Arial Unicode MS"/>
          <w:i/>
          <w:lang w:val="en-US"/>
        </w:rPr>
        <w:t>ex vivo</w:t>
      </w:r>
      <w:r>
        <w:rPr>
          <w:rFonts w:eastAsia="Arial Unicode MS"/>
          <w:lang w:val="en-US"/>
        </w:rPr>
        <w:t xml:space="preserve"> from unselected bone marrow progenitors using a well-defined cytokine regimen </w:t>
      </w:r>
      <w:r w:rsidR="00F86D96" w:rsidRPr="002969CC">
        <w:rPr>
          <w:rFonts w:eastAsia="Arial Unicode MS"/>
          <w:lang w:val="en-US"/>
        </w:rPr>
        <w:fldChar w:fldCharType="begin"/>
      </w:r>
      <w:r>
        <w:rPr>
          <w:rFonts w:eastAsia="Arial Unicode MS"/>
          <w:lang w:val="en-US"/>
        </w:rPr>
        <w:instrText xml:space="preserve"> ADDIN ZOTERO_ITEM CSL_CITATION {"citationID":"qcXD3WF8","properties":{"formattedCitation":"(25)","plainCitation":"(25)"},"citationItems":[{"id":260,"uris":["http://zotero.org/users/681408/items/TXM8A2E5"],"uri":["http://zotero.org/users/681408/items/TXM8A2E5"],"itemData":{"id":260,"type":"article-journal","title":"Functionally competent eosinophils differentiated ex vivo in high purity from normal mouse bone marrow","container-title":"Journal of Immunology (Baltimore, Md.: 1950)","page":"4004-4009","volume":"181","issue":"6","source":"NCBI PubMed","abstract":"We have devised an ex vivo culture system which generates large numbers of eosinophils at high purity (&gt;90%) from unselected mouse bone marrow progenitors. In response to 4 days of culture with recombinant mouse FLT3-L and recombinant mouse stem cell factor followed by recombinant mouse IL-5 alone thereafter, the resulting bone marrow-derived eosinophils (bmEos) express immunoreactive major basic protein, Siglec F, IL-5R alpha-chain, and transcripts encoding mouse eosinophil peroxidase, CCR3, the IL-3/IL-5/GM-CSF receptor common beta-chain, and the transcription factor GATA-1. BmEos are functionally competent: they undergo chemotaxis toward mouse eotaxin-1 and produce characteristic cytokines, including IFN-gamma, IL-4, MIP-1alpha, and IL-6. The rodent pathogen pneumonia virus of mice replicates in bmEos and elevated levels of IL-6 are detected in supernatants of bmEos cultures in response to active infection. Finally, differentiating bmEos are readily transfected with lentiviral vectors, suggesting a means for rapid production of genetically manipulated cells.","ISSN":"1550-6606","note":"PMID: 18768855 \nPMCID: PMC2680436","journalAbbreviation":"J. Immunol.","language":"eng","author":[{"family":"Dyer","given":"Kimberly D."},{"family":"Moser","given":"Jennifer M."},{"family":"Czapiga","given":"Meggan"},{"family":"Siegel","given":"Steven J."},{"family":"Percopo","given":"Caroline M."},{"family":"Rosenberg","given":"Helene F."}],"issued":{"date-parts":[["2008",9,15]]},"PMID":"18768855","PMCID":"PMC2680436"}}],"schema":"https://github.com/citation-style-language/schema/raw/master/csl-citation.json"} </w:instrText>
      </w:r>
      <w:r w:rsidR="00F86D96" w:rsidRPr="002969CC">
        <w:rPr>
          <w:rFonts w:eastAsia="Arial Unicode MS"/>
          <w:lang w:val="en-US"/>
        </w:rPr>
        <w:fldChar w:fldCharType="separate"/>
      </w:r>
      <w:r w:rsidRPr="006F1A11">
        <w:rPr>
          <w:lang w:val="en-US"/>
        </w:rPr>
        <w:t>(25)</w:t>
      </w:r>
      <w:r w:rsidR="00F86D96" w:rsidRPr="002969CC">
        <w:rPr>
          <w:rFonts w:eastAsia="Arial Unicode MS"/>
          <w:lang w:val="en-US"/>
        </w:rPr>
        <w:fldChar w:fldCharType="end"/>
      </w:r>
      <w:r w:rsidRPr="002969CC">
        <w:rPr>
          <w:rFonts w:eastAsia="Arial Unicode MS"/>
          <w:color w:val="000000" w:themeColor="text1"/>
          <w:lang w:val="en-US"/>
        </w:rPr>
        <w:t>.</w:t>
      </w:r>
      <w:r>
        <w:rPr>
          <w:rFonts w:eastAsia="Arial Unicode MS"/>
          <w:b/>
          <w:color w:val="000000" w:themeColor="text1"/>
          <w:lang w:val="en-US"/>
        </w:rPr>
        <w:t xml:space="preserve"> </w:t>
      </w:r>
      <w:r>
        <w:rPr>
          <w:lang w:val="en-US" w:eastAsia="de-AT"/>
        </w:rPr>
        <w:t xml:space="preserve">Our cultures yielded high-purity (90-100%) bmEos by day 10-12 of culture as estimated </w:t>
      </w:r>
      <w:r>
        <w:rPr>
          <w:lang w:val="en-US"/>
        </w:rPr>
        <w:t>by visual inspection of Diff-Quik stained cytospin slides</w:t>
      </w:r>
      <w:r>
        <w:rPr>
          <w:lang w:val="en-US" w:eastAsia="de-AT"/>
        </w:rPr>
        <w:t xml:space="preserve">. </w:t>
      </w:r>
    </w:p>
    <w:p w:rsidR="00896233" w:rsidRPr="002969CC" w:rsidRDefault="00896233" w:rsidP="00896233">
      <w:pPr>
        <w:spacing w:line="480" w:lineRule="auto"/>
        <w:jc w:val="both"/>
        <w:outlineLvl w:val="2"/>
        <w:rPr>
          <w:b/>
          <w:lang w:val="en-US"/>
        </w:rPr>
      </w:pPr>
    </w:p>
    <w:p w:rsidR="00896233" w:rsidRPr="002969CC" w:rsidRDefault="00896233" w:rsidP="00896233">
      <w:pPr>
        <w:spacing w:line="480" w:lineRule="auto"/>
        <w:jc w:val="both"/>
        <w:outlineLvl w:val="2"/>
        <w:rPr>
          <w:b/>
          <w:lang w:val="en-US"/>
        </w:rPr>
      </w:pPr>
      <w:r>
        <w:rPr>
          <w:b/>
          <w:lang w:val="en-US"/>
        </w:rPr>
        <w:t>Flow cytometric staining of CB</w:t>
      </w:r>
      <w:r>
        <w:rPr>
          <w:b/>
          <w:vertAlign w:val="subscript"/>
          <w:lang w:val="en-US"/>
        </w:rPr>
        <w:t>2</w:t>
      </w:r>
      <w:r>
        <w:rPr>
          <w:b/>
          <w:lang w:val="en-US"/>
        </w:rPr>
        <w:t xml:space="preserve"> receptors on eosinophils</w:t>
      </w:r>
    </w:p>
    <w:p w:rsidR="00896233" w:rsidRPr="002969CC" w:rsidRDefault="00896233" w:rsidP="00896233">
      <w:pPr>
        <w:spacing w:line="480" w:lineRule="auto"/>
        <w:ind w:firstLine="284"/>
        <w:jc w:val="both"/>
        <w:outlineLvl w:val="2"/>
        <w:rPr>
          <w:rFonts w:eastAsia="Arial Unicode MS"/>
          <w:lang w:val="en-US"/>
        </w:rPr>
      </w:pPr>
      <w:r>
        <w:rPr>
          <w:lang w:val="en-US"/>
        </w:rPr>
        <w:lastRenderedPageBreak/>
        <w:t>Purified human eosinophils were stained with a polyclonal rabbit anti-human CB</w:t>
      </w:r>
      <w:r>
        <w:rPr>
          <w:vertAlign w:val="subscript"/>
          <w:lang w:val="en-US"/>
        </w:rPr>
        <w:t>2</w:t>
      </w:r>
      <w:r>
        <w:rPr>
          <w:lang w:val="en-US"/>
        </w:rPr>
        <w:t xml:space="preserve"> primary Ab or isotype control, followed by a goat anti-rabbit secondary Ab (AF-647).</w:t>
      </w:r>
      <w:r>
        <w:rPr>
          <w:rFonts w:eastAsia="Arial Unicode MS"/>
          <w:lang w:val="en-US"/>
        </w:rPr>
        <w:t xml:space="preserve"> CB</w:t>
      </w:r>
      <w:r>
        <w:rPr>
          <w:rFonts w:eastAsia="Arial Unicode MS"/>
          <w:vertAlign w:val="subscript"/>
          <w:lang w:val="en-US"/>
        </w:rPr>
        <w:t>2</w:t>
      </w:r>
      <w:r>
        <w:rPr>
          <w:rFonts w:eastAsia="Arial Unicode MS"/>
          <w:lang w:val="en-US"/>
        </w:rPr>
        <w:t xml:space="preserve"> expression was quantified by flow cytometry.</w:t>
      </w:r>
    </w:p>
    <w:p w:rsidR="00896233" w:rsidRPr="002969CC" w:rsidRDefault="00896233" w:rsidP="00896233">
      <w:pPr>
        <w:spacing w:line="480" w:lineRule="auto"/>
        <w:ind w:firstLine="284"/>
        <w:jc w:val="both"/>
        <w:outlineLvl w:val="2"/>
        <w:rPr>
          <w:rFonts w:eastAsia="Arial Unicode MS"/>
          <w:lang w:val="en-US"/>
        </w:rPr>
      </w:pPr>
    </w:p>
    <w:p w:rsidR="00896233" w:rsidRPr="002969CC" w:rsidRDefault="00896233" w:rsidP="00896233">
      <w:pPr>
        <w:spacing w:line="480" w:lineRule="auto"/>
        <w:jc w:val="both"/>
        <w:rPr>
          <w:b/>
          <w:bCs/>
          <w:lang w:val="en-GB" w:eastAsia="de-AT"/>
        </w:rPr>
      </w:pPr>
      <w:r>
        <w:rPr>
          <w:b/>
          <w:bCs/>
          <w:lang w:val="en-GB" w:eastAsia="de-AT"/>
        </w:rPr>
        <w:t>Shape change assay:</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color w:val="000000"/>
          <w:sz w:val="24"/>
          <w:szCs w:val="24"/>
          <w:lang w:val="en-GB" w:eastAsia="de-AT"/>
        </w:rPr>
        <w:t xml:space="preserve">Isolated eosinophils, PMNL or PBMC were </w:t>
      </w:r>
      <w:r>
        <w:rPr>
          <w:rFonts w:ascii="Times New Roman" w:eastAsia="Times New Roman" w:hAnsi="Times New Roman"/>
          <w:bCs/>
          <w:sz w:val="24"/>
          <w:szCs w:val="24"/>
          <w:lang w:val="en-GB" w:eastAsia="de-AT"/>
        </w:rPr>
        <w:t xml:space="preserve">pre-treated as indicated and stimulated with serial dilutions of agonists for 4 min at 37 °C. </w:t>
      </w:r>
      <w:r>
        <w:rPr>
          <w:rFonts w:ascii="Times New Roman" w:hAnsi="Times New Roman"/>
          <w:sz w:val="24"/>
          <w:szCs w:val="24"/>
          <w:lang w:val="en-US"/>
        </w:rPr>
        <w:t>Shape change was estimated by flow cytometry as the increase of forward scatter and was</w:t>
      </w:r>
      <w:r>
        <w:rPr>
          <w:rFonts w:ascii="Times New Roman" w:eastAsia="Times New Roman" w:hAnsi="Times New Roman"/>
          <w:bCs/>
          <w:sz w:val="24"/>
          <w:szCs w:val="24"/>
          <w:lang w:val="en-GB" w:eastAsia="de-AT"/>
        </w:rPr>
        <w:t xml:space="preserve"> expressed as percent of the vehicle response. Neutrophils were identified as CD16</w:t>
      </w:r>
      <w:r>
        <w:rPr>
          <w:rFonts w:ascii="Times New Roman" w:eastAsia="Times New Roman" w:hAnsi="Times New Roman"/>
          <w:bCs/>
          <w:sz w:val="24"/>
          <w:szCs w:val="24"/>
          <w:vertAlign w:val="superscript"/>
          <w:lang w:val="en-GB" w:eastAsia="de-AT"/>
        </w:rPr>
        <w:t>+</w:t>
      </w:r>
      <w:r>
        <w:rPr>
          <w:rFonts w:ascii="Times New Roman" w:eastAsia="Times New Roman" w:hAnsi="Times New Roman"/>
          <w:bCs/>
          <w:sz w:val="24"/>
          <w:szCs w:val="24"/>
          <w:lang w:val="en-GB" w:eastAsia="de-AT"/>
        </w:rPr>
        <w:t xml:space="preserve"> cells in PMNL preparations. Basophils were identified as CD123</w:t>
      </w:r>
      <w:r>
        <w:rPr>
          <w:rFonts w:ascii="Times New Roman" w:eastAsia="Times New Roman" w:hAnsi="Times New Roman"/>
          <w:bCs/>
          <w:sz w:val="24"/>
          <w:szCs w:val="24"/>
          <w:vertAlign w:val="superscript"/>
          <w:lang w:val="en-GB" w:eastAsia="de-AT"/>
        </w:rPr>
        <w:t>+</w:t>
      </w:r>
      <w:r>
        <w:rPr>
          <w:rFonts w:ascii="Times New Roman" w:eastAsia="Times New Roman" w:hAnsi="Times New Roman"/>
          <w:bCs/>
          <w:sz w:val="24"/>
          <w:szCs w:val="24"/>
          <w:lang w:val="en-GB" w:eastAsia="de-AT"/>
        </w:rPr>
        <w:t>/HLA-DR</w:t>
      </w:r>
      <w:r>
        <w:rPr>
          <w:rFonts w:ascii="Times New Roman" w:eastAsia="Times New Roman" w:hAnsi="Times New Roman"/>
          <w:bCs/>
          <w:sz w:val="24"/>
          <w:szCs w:val="24"/>
          <w:vertAlign w:val="superscript"/>
          <w:lang w:val="en-GB" w:eastAsia="de-AT"/>
        </w:rPr>
        <w:t>-</w:t>
      </w:r>
      <w:r>
        <w:rPr>
          <w:rFonts w:ascii="Times New Roman" w:eastAsia="Times New Roman" w:hAnsi="Times New Roman"/>
          <w:bCs/>
          <w:sz w:val="24"/>
          <w:szCs w:val="24"/>
          <w:lang w:val="en-GB" w:eastAsia="de-AT"/>
        </w:rPr>
        <w:t xml:space="preserve"> cells in PBMC preparations.</w:t>
      </w:r>
    </w:p>
    <w:p w:rsidR="00896233" w:rsidRPr="002969CC" w:rsidRDefault="00896233" w:rsidP="00896233">
      <w:pPr>
        <w:spacing w:line="480" w:lineRule="auto"/>
        <w:jc w:val="both"/>
        <w:rPr>
          <w:b/>
          <w:bCs/>
          <w:lang w:val="en-GB" w:eastAsia="de-AT"/>
        </w:rPr>
      </w:pPr>
      <w:r>
        <w:rPr>
          <w:b/>
          <w:bCs/>
          <w:lang w:val="en-GB" w:eastAsia="de-AT"/>
        </w:rPr>
        <w:t>Migration:</w:t>
      </w:r>
    </w:p>
    <w:p w:rsidR="00896233" w:rsidRPr="002969CC" w:rsidRDefault="00896233" w:rsidP="00896233">
      <w:pPr>
        <w:pStyle w:val="ListParagraph"/>
        <w:spacing w:after="0" w:line="480" w:lineRule="auto"/>
        <w:ind w:left="0" w:firstLine="284"/>
        <w:jc w:val="both"/>
        <w:rPr>
          <w:rFonts w:ascii="Times New Roman" w:eastAsia="Arial Unicode MS" w:hAnsi="Times New Roman"/>
          <w:sz w:val="24"/>
          <w:szCs w:val="24"/>
          <w:lang w:val="en-US"/>
        </w:rPr>
      </w:pPr>
      <w:r>
        <w:rPr>
          <w:rFonts w:ascii="Times New Roman" w:eastAsia="Arial Unicode MS" w:hAnsi="Times New Roman"/>
          <w:sz w:val="24"/>
          <w:szCs w:val="24"/>
          <w:u w:val="single"/>
          <w:lang w:val="en-US"/>
        </w:rPr>
        <w:t>Chemotaxis</w:t>
      </w:r>
      <w:r>
        <w:rPr>
          <w:rFonts w:ascii="Times New Roman" w:eastAsia="Arial Unicode MS" w:hAnsi="Times New Roman"/>
          <w:sz w:val="24"/>
          <w:szCs w:val="24"/>
          <w:lang w:val="en-US"/>
        </w:rPr>
        <w:t xml:space="preserve">: </w:t>
      </w:r>
      <w:r>
        <w:rPr>
          <w:rFonts w:ascii="Times New Roman" w:eastAsia="Times New Roman" w:hAnsi="Times New Roman"/>
          <w:bCs/>
          <w:sz w:val="24"/>
          <w:szCs w:val="24"/>
          <w:lang w:val="en-GB" w:eastAsia="de-AT"/>
        </w:rPr>
        <w:t xml:space="preserve">Purified human eosinophils or bmEos were pre-treated as indicated, placed into the top of a </w:t>
      </w:r>
      <w:r>
        <w:rPr>
          <w:rFonts w:ascii="Times New Roman" w:eastAsia="Arial Unicode MS" w:hAnsi="Times New Roman"/>
          <w:sz w:val="24"/>
          <w:szCs w:val="24"/>
          <w:lang w:val="en-US"/>
        </w:rPr>
        <w:t xml:space="preserve">48-well micro-Boyden chamber (human) or a </w:t>
      </w:r>
      <w:r>
        <w:rPr>
          <w:rFonts w:ascii="Times New Roman" w:hAnsi="Times New Roman"/>
          <w:sz w:val="24"/>
          <w:szCs w:val="24"/>
          <w:lang w:val="en-US"/>
        </w:rPr>
        <w:t xml:space="preserve">96-well chemotaxis plate (bmEos) </w:t>
      </w:r>
      <w:r>
        <w:rPr>
          <w:rFonts w:ascii="Times New Roman" w:eastAsia="Times New Roman" w:hAnsi="Times New Roman"/>
          <w:bCs/>
          <w:sz w:val="24"/>
          <w:szCs w:val="24"/>
          <w:lang w:val="en-GB" w:eastAsia="de-AT"/>
        </w:rPr>
        <w:t xml:space="preserve">and were allowed to migrate towards the indicated chemoattractant </w:t>
      </w:r>
      <w:r>
        <w:rPr>
          <w:rFonts w:ascii="Times New Roman" w:eastAsia="Arial Unicode MS" w:hAnsi="Times New Roman"/>
          <w:sz w:val="24"/>
          <w:szCs w:val="24"/>
          <w:lang w:val="en-US"/>
        </w:rPr>
        <w:t xml:space="preserve">for 1 hour (human) or 3 hours (bmEos) at 37 °C </w:t>
      </w:r>
      <w:r w:rsidR="00F86D96" w:rsidRPr="002969CC">
        <w:rPr>
          <w:rFonts w:ascii="Times New Roman" w:eastAsia="Arial Unicode MS" w:hAnsi="Times New Roman"/>
          <w:sz w:val="24"/>
          <w:szCs w:val="24"/>
          <w:lang w:val="en-US"/>
        </w:rPr>
        <w:fldChar w:fldCharType="begin"/>
      </w:r>
      <w:r>
        <w:rPr>
          <w:rFonts w:ascii="Times New Roman" w:eastAsia="Arial Unicode MS" w:hAnsi="Times New Roman"/>
          <w:sz w:val="24"/>
          <w:szCs w:val="24"/>
          <w:lang w:val="en-US"/>
        </w:rPr>
        <w:instrText xml:space="preserve"> ADDIN ZOTERO_ITEM CSL_CITATION {"citationID":"mUYcoznb","properties":{"formattedCitation":"(25,26)","plainCitation":"(25,26)"},"citationItems":[{"id":260,"uris":["http://zotero.org/users/681408/items/TXM8A2E5"],"uri":["http://zotero.org/users/681408/items/TXM8A2E5"],"itemData":{"id":260,"type":"article-journal","title":"Functionally competent eosinophils differentiated ex vivo in high purity from normal mouse bone marrow","container-title":"Journal of Immunology (Baltimore, Md.: 1950)","page":"4004-4009","volume":"181","issue":"6","source":"NCBI PubMed","abstract":"We have devised an ex vivo culture system which generates large numbers of eosinophils at high purity (&gt;90%) from unselected mouse bone marrow progenitors. In response to 4 days of culture with recombinant mouse FLT3-L and recombinant mouse stem cell factor followed by recombinant mouse IL-5 alone thereafter, the resulting bone marrow-derived eosinophils (bmEos) express immunoreactive major basic protein, Siglec F, IL-5R alpha-chain, and transcripts encoding mouse eosinophil peroxidase, CCR3, the IL-3/IL-5/GM-CSF receptor common beta-chain, and the transcription factor GATA-1. BmEos are functionally competent: they undergo chemotaxis toward mouse eotaxin-1 and produce characteristic cytokines, including IFN-gamma, IL-4, MIP-1alpha, and IL-6. The rodent pathogen pneumonia virus of mice replicates in bmEos and elevated levels of IL-6 are detected in supernatants of bmEos cultures in response to active infection. Finally, differentiating bmEos are readily transfected with lentiviral vectors, suggesting a means for rapid production of genetically manipulated cells.","ISSN":"1550-6606","note":"PMID: 18768855 \nPMCID: PMC2680436","journalAbbreviation":"J. Immunol.","language":"eng","author":[{"family":"Dyer","given":"Kimberly D."},{"family":"Moser","given":"Jennifer M."},{"family":"Czapiga","given":"Meggan"},{"family":"Siegel","given":"Steven J."},{"family":"Percopo","given":"Caroline M."},{"family":"Rosenberg","given":"Helene F."}],"issued":{"date-parts":[["2008",9,15]]},"PMID":"18768855","PMCID":"PMC2680436"}},{"id":29,"uris":["http://zotero.org/users/681408/items/ENUATEAP"],"uri":["http://zotero.org/users/681408/items/ENUATEAP"],"itemData":{"id":29,"type":"article-journal","title":"Delta 12-prostaglandin J2, a plasma metabolite of prostaglandin D2, causes eosinophil mobilization from the bone marrow and primes eosinophils for chemotaxis","container-title":"Journal of Immunology (Baltimore, Md.: 1950)","page":"4752-4758","volume":"170","issue":"9","source":"NCBI PubMed","abstract":"PGD(2), a major mast cell mediator, is a potent eosinophil chemoattractant and is thought to be involved in eosinophil recruitment to sites of allergic inflammation. In plasma, PGD(2) is rapidly transformed into its major metabolite delta(12)-PGJ(2), the effect of which on eosinophil migration has not yet been characterized. In this study we found that delta(12)-PGJ(2) was a highly effective chemoattractant and inducer of respiratory burst in human eosinophils, with the same efficacy as PGD(2), PGJ(2), or 15-deoxy-delta(12,14)-PGJ(2). Moreover, pretreatment of eosinophils with delta(12)-PGJ(2) markedly enhanced the chemotactic response to eotaxin, and in this respect delta(12)-PGJ(2) was more effective than PGD(2). delta(12)-PGJ(2)-induced facilitation of eosinophil migration toward eotaxin was not altered by specific inhibitors of intracellular signaling pathways relevant to the chemotactic response, phosphatidylinositol 3-kinase (LY-294002), mitogen-activated protein kinase/extracellular signal-regulated kinase kinase (U-0126), or p38 mitogen-activated protein kinase (SB-202190). Desensitization studies using calcium flux suggested that delta(12)-PGJ(2) signaled through the same receptor, CRTH2, as PGD(2). Finally, delta(12)-PGJ(2) was able to mobilize mature eosinophils from the bone marrow of the guinea pig isolated perfused hind limb. Given that delta(12)-PGJ(2) is present in the systemic circulation at relevant levels, a role for this PGD(2) metabolite in eosinophil release from the bone marrow and in driving eosinophil recruitment to sites of inflammation appears conceivable.","ISSN":"0022-1767","note":"PMID: 12707356","journalAbbreviation":"J. Immunol","author":[{"family":"Heinemann","given":"Akos"},{"family":"Schuligoi","given":"Rufina"},{"family":"Sabroe","given":"Ian"},{"family":"Hartnell","given":"Adele"},{"family":"Peskar","given":"Bernhard A"}],"issued":{"date-parts":[["2003",5,1]]},"PMID":"12707356"}}],"schema":"https://github.com/citation-style-language/schema/raw/master/csl-citation.json"} </w:instrText>
      </w:r>
      <w:r w:rsidR="00F86D96" w:rsidRPr="002969CC">
        <w:rPr>
          <w:rFonts w:ascii="Times New Roman" w:eastAsia="Arial Unicode MS" w:hAnsi="Times New Roman"/>
          <w:sz w:val="24"/>
          <w:szCs w:val="24"/>
          <w:lang w:val="en-US"/>
        </w:rPr>
        <w:fldChar w:fldCharType="separate"/>
      </w:r>
      <w:r w:rsidRPr="006F1A11">
        <w:rPr>
          <w:rFonts w:ascii="Times New Roman" w:hAnsi="Times New Roman"/>
          <w:sz w:val="24"/>
          <w:lang w:val="en-US"/>
        </w:rPr>
        <w:t>(25,26)</w:t>
      </w:r>
      <w:r w:rsidR="00F86D96" w:rsidRPr="002969CC">
        <w:rPr>
          <w:rFonts w:ascii="Times New Roman" w:eastAsia="Arial Unicode MS" w:hAnsi="Times New Roman"/>
          <w:sz w:val="24"/>
          <w:szCs w:val="24"/>
          <w:lang w:val="en-US"/>
        </w:rPr>
        <w:fldChar w:fldCharType="end"/>
      </w:r>
      <w:r>
        <w:rPr>
          <w:rFonts w:ascii="Times New Roman" w:eastAsia="Times New Roman" w:hAnsi="Times New Roman"/>
          <w:bCs/>
          <w:sz w:val="24"/>
          <w:szCs w:val="24"/>
          <w:lang w:val="en-GB" w:eastAsia="de-AT"/>
        </w:rPr>
        <w:t xml:space="preserve">. </w:t>
      </w:r>
      <w:r>
        <w:rPr>
          <w:rFonts w:ascii="Times New Roman" w:eastAsia="Times New Roman" w:hAnsi="Times New Roman"/>
          <w:bCs/>
          <w:sz w:val="24"/>
          <w:szCs w:val="24"/>
          <w:u w:val="single"/>
          <w:lang w:val="en-GB" w:eastAsia="de-AT"/>
        </w:rPr>
        <w:t>Chemokinesis:</w:t>
      </w:r>
      <w:r>
        <w:rPr>
          <w:rFonts w:ascii="Times New Roman" w:eastAsia="Times New Roman" w:hAnsi="Times New Roman"/>
          <w:bCs/>
          <w:sz w:val="24"/>
          <w:szCs w:val="24"/>
          <w:lang w:val="en-GB" w:eastAsia="de-AT"/>
        </w:rPr>
        <w:t xml:space="preserve"> human eosinophils were pre-treated as indicated and were allowed to migrate towards assay buffer. </w:t>
      </w:r>
      <w:r>
        <w:rPr>
          <w:rFonts w:ascii="Times New Roman" w:eastAsia="Arial Unicode MS" w:hAnsi="Times New Roman"/>
          <w:sz w:val="24"/>
          <w:szCs w:val="24"/>
          <w:lang w:val="en-US"/>
        </w:rPr>
        <w:t xml:space="preserve">Migrated cells in the bottom wells were enumerated by flow cytometry. </w:t>
      </w:r>
    </w:p>
    <w:p w:rsidR="00896233" w:rsidRPr="002969CC" w:rsidRDefault="00896233" w:rsidP="00896233">
      <w:pPr>
        <w:pStyle w:val="ListParagraph"/>
        <w:spacing w:after="0" w:line="480" w:lineRule="auto"/>
        <w:ind w:left="0" w:firstLine="284"/>
        <w:jc w:val="both"/>
        <w:rPr>
          <w:rFonts w:ascii="Times New Roman" w:eastAsia="Arial Unicode MS" w:hAnsi="Times New Roman"/>
          <w:sz w:val="24"/>
          <w:szCs w:val="24"/>
          <w:lang w:val="en-US"/>
        </w:rPr>
      </w:pPr>
    </w:p>
    <w:p w:rsidR="00896233"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Calcium flux:</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color w:val="000000"/>
          <w:sz w:val="24"/>
          <w:szCs w:val="24"/>
          <w:lang w:val="en-GB" w:eastAsia="de-AT"/>
        </w:rPr>
        <w:t>Isolated human eosinophils or bmEos (10</w:t>
      </w:r>
      <w:r>
        <w:rPr>
          <w:rFonts w:ascii="Times New Roman" w:eastAsia="Times New Roman" w:hAnsi="Times New Roman"/>
          <w:bCs/>
          <w:color w:val="000000"/>
          <w:sz w:val="24"/>
          <w:szCs w:val="24"/>
          <w:vertAlign w:val="superscript"/>
          <w:lang w:val="en-GB" w:eastAsia="de-AT"/>
        </w:rPr>
        <w:t>7</w:t>
      </w:r>
      <w:r>
        <w:rPr>
          <w:rFonts w:ascii="Times New Roman" w:eastAsia="Times New Roman" w:hAnsi="Times New Roman"/>
          <w:bCs/>
          <w:color w:val="000000"/>
          <w:sz w:val="24"/>
          <w:szCs w:val="24"/>
          <w:lang w:val="en-GB" w:eastAsia="de-AT"/>
        </w:rPr>
        <w:t xml:space="preserve">cells/ml) were treated with 2 µM of Fluo-3-AM in the presence of 0.02% pluronic F-127 </w:t>
      </w:r>
      <w:r w:rsidR="00F86D96" w:rsidRPr="002969CC">
        <w:rPr>
          <w:rFonts w:ascii="Times New Roman" w:eastAsia="Times New Roman" w:hAnsi="Times New Roman"/>
          <w:bCs/>
          <w:sz w:val="24"/>
          <w:szCs w:val="24"/>
          <w:lang w:val="en-GB" w:eastAsia="de-AT"/>
        </w:rPr>
        <w:fldChar w:fldCharType="begin"/>
      </w:r>
      <w:r>
        <w:rPr>
          <w:rFonts w:ascii="Times New Roman" w:eastAsia="Times New Roman" w:hAnsi="Times New Roman"/>
          <w:bCs/>
          <w:sz w:val="24"/>
          <w:szCs w:val="24"/>
          <w:lang w:val="en-GB" w:eastAsia="de-AT"/>
        </w:rPr>
        <w:instrText xml:space="preserve"> ADDIN ZOTERO_ITEM CSL_CITATION {"citationID":"AsxlQh8A","properties":{"formattedCitation":"(26)","plainCitation":"(26)"},"citationItems":[{"id":29,"uris":["http://zotero.org/users/681408/items/ENUATEAP"],"uri":["http://zotero.org/users/681408/items/ENUATEAP"],"itemData":{"id":29,"type":"article-journal","title":"Delta 12-prostaglandin J2, a plasma metabolite of prostaglandin D2, causes eosinophil mobilization from the bone marrow and primes eosinophils for chemotaxis","container-title":"Journal of Immunology (Baltimore, Md.: 1950)","page":"4752-4758","volume":"170","issue":"9","source":"NCBI PubMed","abstract":"PGD(2), a major mast cell mediator, is a potent eosinophil chemoattractant and is thought to be involved in eosinophil recruitment to sites of allergic inflammation. In plasma, PGD(2) is rapidly transformed into its major metabolite delta(12)-PGJ(2), the effect of which on eosinophil migration has not yet been characterized. In this study we found that delta(12)-PGJ(2) was a highly effective chemoattractant and inducer of respiratory burst in human eosinophils, with the same efficacy as PGD(2), PGJ(2), or 15-deoxy-delta(12,14)-PGJ(2). Moreover, pretreatment of eosinophils with delta(12)-PGJ(2) markedly enhanced the chemotactic response to eotaxin, and in this respect delta(12)-PGJ(2) was more effective than PGD(2). delta(12)-PGJ(2)-induced facilitation of eosinophil migration toward eotaxin was not altered by specific inhibitors of intracellular signaling pathways relevant to the chemotactic response, phosphatidylinositol 3-kinase (LY-294002), mitogen-activated protein kinase/extracellular signal-regulated kinase kinase (U-0126), or p38 mitogen-activated protein kinase (SB-202190). Desensitization studies using calcium flux suggested that delta(12)-PGJ(2) signaled through the same receptor, CRTH2, as PGD(2). Finally, delta(12)-PGJ(2) was able to mobilize mature eosinophils from the bone marrow of the guinea pig isolated perfused hind limb. Given that delta(12)-PGJ(2) is present in the systemic circulation at relevant levels, a role for this PGD(2) metabolite in eosinophil release from the bone marrow and in driving eosinophil recruitment to sites of inflammation appears conceivable.","ISSN":"0022-1767","note":"PMID: 12707356","journalAbbreviation":"J. Immunol","author":[{"family":"Heinemann","given":"Akos"},{"family":"Schuligoi","given":"Rufina"},{"family":"Sabroe","given":"Ian"},{"family":"Hartnell","given":"Adele"},{"family":"Peskar","given":"Bernhard A"}],"issued":{"date-parts":[["2003",5,1]]},"PMID":"12707356"}}],"schema":"https://github.com/citation-style-language/schema/raw/master/csl-citation.json"} </w:instrText>
      </w:r>
      <w:r w:rsidR="00F86D96" w:rsidRPr="002969CC">
        <w:rPr>
          <w:rFonts w:ascii="Times New Roman" w:eastAsia="Times New Roman" w:hAnsi="Times New Roman"/>
          <w:bCs/>
          <w:sz w:val="24"/>
          <w:szCs w:val="24"/>
          <w:lang w:val="en-GB" w:eastAsia="de-AT"/>
        </w:rPr>
        <w:fldChar w:fldCharType="separate"/>
      </w:r>
      <w:r w:rsidRPr="006F1A11">
        <w:rPr>
          <w:rFonts w:ascii="Times New Roman" w:hAnsi="Times New Roman"/>
          <w:sz w:val="24"/>
          <w:lang w:val="en-US"/>
        </w:rPr>
        <w:t>(26)</w:t>
      </w:r>
      <w:r w:rsidR="00F86D96" w:rsidRPr="002969CC">
        <w:rPr>
          <w:rFonts w:ascii="Times New Roman" w:eastAsia="Times New Roman" w:hAnsi="Times New Roman"/>
          <w:bCs/>
          <w:sz w:val="24"/>
          <w:szCs w:val="24"/>
          <w:lang w:val="en-GB" w:eastAsia="de-AT"/>
        </w:rPr>
        <w:fldChar w:fldCharType="end"/>
      </w:r>
      <w:r>
        <w:rPr>
          <w:rFonts w:ascii="Times New Roman" w:eastAsia="Times New Roman" w:hAnsi="Times New Roman"/>
          <w:bCs/>
          <w:sz w:val="24"/>
          <w:szCs w:val="24"/>
          <w:lang w:val="en-GB" w:eastAsia="de-AT"/>
        </w:rPr>
        <w:t>.</w:t>
      </w:r>
      <w:r>
        <w:rPr>
          <w:rFonts w:ascii="Times New Roman" w:eastAsia="Times New Roman" w:hAnsi="Times New Roman"/>
          <w:bCs/>
          <w:color w:val="000000"/>
          <w:sz w:val="24"/>
          <w:szCs w:val="24"/>
          <w:lang w:val="en-GB" w:eastAsia="de-AT"/>
        </w:rPr>
        <w:t xml:space="preserve"> </w:t>
      </w:r>
      <w:r>
        <w:rPr>
          <w:rFonts w:ascii="Times New Roman" w:eastAsia="Times New Roman" w:hAnsi="Times New Roman"/>
          <w:bCs/>
          <w:sz w:val="24"/>
          <w:szCs w:val="24"/>
          <w:lang w:val="en-GB" w:eastAsia="de-AT"/>
        </w:rPr>
        <w:t>Changes in intracellular Ca</w:t>
      </w:r>
      <w:r>
        <w:rPr>
          <w:rFonts w:ascii="Times New Roman" w:eastAsia="Times New Roman" w:hAnsi="Times New Roman"/>
          <w:bCs/>
          <w:sz w:val="24"/>
          <w:szCs w:val="24"/>
          <w:vertAlign w:val="superscript"/>
          <w:lang w:val="en-GB" w:eastAsia="de-AT"/>
        </w:rPr>
        <w:t>2+</w:t>
      </w:r>
      <w:r>
        <w:rPr>
          <w:rFonts w:ascii="Times New Roman" w:eastAsia="Times New Roman" w:hAnsi="Times New Roman"/>
          <w:bCs/>
          <w:sz w:val="24"/>
          <w:szCs w:val="24"/>
          <w:lang w:val="en-GB" w:eastAsia="de-AT"/>
        </w:rPr>
        <w:t xml:space="preserve"> were detected </w:t>
      </w:r>
      <w:r>
        <w:rPr>
          <w:rFonts w:ascii="Times New Roman" w:hAnsi="Times New Roman"/>
          <w:sz w:val="24"/>
          <w:szCs w:val="24"/>
          <w:lang w:val="en-US"/>
        </w:rPr>
        <w:t xml:space="preserve">as </w:t>
      </w:r>
      <w:r>
        <w:rPr>
          <w:rFonts w:ascii="Times New Roman" w:hAnsi="Times New Roman"/>
          <w:sz w:val="24"/>
          <w:szCs w:val="24"/>
          <w:lang w:val="en-US"/>
        </w:rPr>
        <w:lastRenderedPageBreak/>
        <w:t xml:space="preserve">the increase of the fluorescence of the </w:t>
      </w:r>
      <w:r>
        <w:rPr>
          <w:rFonts w:ascii="Times New Roman" w:eastAsia="Times New Roman" w:hAnsi="Times New Roman"/>
          <w:bCs/>
          <w:sz w:val="24"/>
          <w:szCs w:val="24"/>
          <w:lang w:val="en-GB" w:eastAsia="de-AT"/>
        </w:rPr>
        <w:t>Ca</w:t>
      </w:r>
      <w:r>
        <w:rPr>
          <w:rFonts w:ascii="Times New Roman" w:eastAsia="Times New Roman" w:hAnsi="Times New Roman"/>
          <w:bCs/>
          <w:sz w:val="24"/>
          <w:szCs w:val="24"/>
          <w:vertAlign w:val="superscript"/>
          <w:lang w:val="en-GB" w:eastAsia="de-AT"/>
        </w:rPr>
        <w:t xml:space="preserve">2+ </w:t>
      </w:r>
      <w:r>
        <w:rPr>
          <w:rFonts w:ascii="Times New Roman" w:hAnsi="Times New Roman"/>
          <w:sz w:val="24"/>
          <w:szCs w:val="24"/>
          <w:lang w:val="en-US"/>
        </w:rPr>
        <w:t>sensitive dye Fluo-3 in the FL1-(530/30nm) channel</w:t>
      </w:r>
      <w:r>
        <w:rPr>
          <w:rFonts w:ascii="Times New Roman" w:eastAsia="Times New Roman" w:hAnsi="Times New Roman"/>
          <w:bCs/>
          <w:sz w:val="24"/>
          <w:szCs w:val="24"/>
          <w:lang w:val="en-GB" w:eastAsia="de-AT"/>
        </w:rPr>
        <w:t xml:space="preserve">.  </w:t>
      </w:r>
    </w:p>
    <w:p w:rsidR="00896233" w:rsidRPr="002969CC"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Adhesion assay under flow:</w:t>
      </w:r>
    </w:p>
    <w:p w:rsidR="00896233" w:rsidRPr="002969CC" w:rsidRDefault="00896233" w:rsidP="00896233">
      <w:pPr>
        <w:pStyle w:val="ListParagraph"/>
        <w:spacing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sz w:val="24"/>
          <w:szCs w:val="24"/>
          <w:lang w:val="en-GB" w:eastAsia="de-AT"/>
        </w:rPr>
        <w:t>Vena8</w:t>
      </w:r>
      <w:r>
        <w:rPr>
          <w:rFonts w:ascii="Times New Roman" w:eastAsia="Times New Roman" w:hAnsi="Times New Roman"/>
          <w:bCs/>
          <w:sz w:val="24"/>
          <w:szCs w:val="24"/>
          <w:vertAlign w:val="superscript"/>
          <w:lang w:val="en-GB" w:eastAsia="de-AT"/>
        </w:rPr>
        <w:t>TM</w:t>
      </w:r>
      <w:r>
        <w:rPr>
          <w:rFonts w:ascii="Times New Roman" w:eastAsia="Times New Roman" w:hAnsi="Times New Roman"/>
          <w:bCs/>
          <w:sz w:val="24"/>
          <w:szCs w:val="24"/>
          <w:lang w:val="en-GB" w:eastAsia="de-AT"/>
        </w:rPr>
        <w:t xml:space="preserve"> biochips (Cellix Ltd., Dublin, Ireland) were coated </w:t>
      </w:r>
      <w:proofErr w:type="gramStart"/>
      <w:r>
        <w:rPr>
          <w:rFonts w:ascii="Times New Roman" w:eastAsia="Times New Roman" w:hAnsi="Times New Roman"/>
          <w:bCs/>
          <w:sz w:val="24"/>
          <w:szCs w:val="24"/>
          <w:lang w:val="en-GB" w:eastAsia="de-AT"/>
        </w:rPr>
        <w:t>with 10 µg/ml ICAM-1</w:t>
      </w:r>
      <w:proofErr w:type="gramEnd"/>
      <w:r>
        <w:rPr>
          <w:rFonts w:ascii="Times New Roman" w:eastAsia="Times New Roman" w:hAnsi="Times New Roman"/>
          <w:bCs/>
          <w:sz w:val="24"/>
          <w:szCs w:val="24"/>
          <w:lang w:val="en-GB" w:eastAsia="de-AT"/>
        </w:rPr>
        <w:t xml:space="preserve"> and coated channels were superfused with 2x 10</w:t>
      </w:r>
      <w:r>
        <w:rPr>
          <w:rFonts w:ascii="Times New Roman" w:eastAsia="Times New Roman" w:hAnsi="Times New Roman"/>
          <w:bCs/>
          <w:sz w:val="24"/>
          <w:szCs w:val="24"/>
          <w:vertAlign w:val="superscript"/>
          <w:lang w:val="en-GB" w:eastAsia="de-AT"/>
        </w:rPr>
        <w:t>6</w:t>
      </w:r>
      <w:r>
        <w:rPr>
          <w:rFonts w:ascii="Times New Roman" w:eastAsia="Times New Roman" w:hAnsi="Times New Roman"/>
          <w:bCs/>
          <w:sz w:val="24"/>
          <w:szCs w:val="24"/>
          <w:lang w:val="en-GB" w:eastAsia="de-AT"/>
        </w:rPr>
        <w:t xml:space="preserve"> purified eosinophils at 0.5 dyne/cm</w:t>
      </w:r>
      <w:r>
        <w:rPr>
          <w:rFonts w:ascii="Times New Roman" w:eastAsia="Times New Roman" w:hAnsi="Times New Roman"/>
          <w:bCs/>
          <w:sz w:val="24"/>
          <w:szCs w:val="24"/>
          <w:vertAlign w:val="superscript"/>
          <w:lang w:val="en-GB" w:eastAsia="de-AT"/>
        </w:rPr>
        <w:t>2</w:t>
      </w:r>
      <w:r>
        <w:rPr>
          <w:rFonts w:ascii="Times New Roman" w:eastAsia="Times New Roman" w:hAnsi="Times New Roman"/>
          <w:bCs/>
          <w:sz w:val="24"/>
          <w:szCs w:val="24"/>
          <w:lang w:val="en-GB" w:eastAsia="de-AT"/>
        </w:rPr>
        <w:t xml:space="preserve"> for 5 min at 37 °C in a heated cage. Adhesion was monitored using a Hamamatsu ORCA-03G digital camera and CellixVenaFlux software. Cell adhesion was quantiﬁed by computerized image analysis using DucoCell analysis software (Cellix Ltd, Dublin, Ireland).</w:t>
      </w:r>
    </w:p>
    <w:p w:rsidR="00896233" w:rsidRPr="002969CC" w:rsidRDefault="00896233" w:rsidP="00896233">
      <w:pPr>
        <w:pStyle w:val="ListParagraph"/>
        <w:spacing w:line="480" w:lineRule="auto"/>
        <w:ind w:left="0" w:firstLine="284"/>
        <w:jc w:val="both"/>
        <w:rPr>
          <w:rFonts w:ascii="Times New Roman" w:eastAsia="Times New Roman" w:hAnsi="Times New Roman"/>
          <w:bCs/>
          <w:sz w:val="24"/>
          <w:szCs w:val="24"/>
          <w:lang w:val="en-GB" w:eastAsia="de-AT"/>
        </w:rPr>
      </w:pPr>
    </w:p>
    <w:p w:rsidR="00896233" w:rsidRPr="002969CC" w:rsidRDefault="00896233" w:rsidP="00896233">
      <w:pPr>
        <w:spacing w:line="480" w:lineRule="auto"/>
        <w:jc w:val="both"/>
        <w:rPr>
          <w:b/>
          <w:bCs/>
          <w:lang w:val="en-GB" w:eastAsia="de-AT"/>
        </w:rPr>
      </w:pPr>
      <w:r>
        <w:rPr>
          <w:b/>
          <w:bCs/>
          <w:lang w:val="en-GB" w:eastAsia="de-AT"/>
        </w:rPr>
        <w:t>CD11b-upregulation:</w:t>
      </w:r>
    </w:p>
    <w:p w:rsidR="00896233" w:rsidRPr="002969CC" w:rsidRDefault="00896233" w:rsidP="00896233">
      <w:pPr>
        <w:pStyle w:val="ListParagraph"/>
        <w:spacing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sz w:val="24"/>
          <w:szCs w:val="24"/>
          <w:lang w:val="en-GB" w:eastAsia="de-AT"/>
        </w:rPr>
        <w:t xml:space="preserve">Whole blood samples or PMNL were pre-treated as indicated and incubated with agonists for 30 min at 37 °C </w:t>
      </w:r>
      <w:r w:rsidR="00F86D96" w:rsidRPr="002969CC">
        <w:rPr>
          <w:rFonts w:ascii="Times New Roman" w:eastAsia="Times New Roman" w:hAnsi="Times New Roman"/>
          <w:bCs/>
          <w:sz w:val="24"/>
          <w:szCs w:val="24"/>
          <w:lang w:val="en-GB" w:eastAsia="de-AT"/>
        </w:rPr>
        <w:fldChar w:fldCharType="begin"/>
      </w:r>
      <w:r>
        <w:rPr>
          <w:rFonts w:ascii="Times New Roman" w:eastAsia="Times New Roman" w:hAnsi="Times New Roman"/>
          <w:bCs/>
          <w:sz w:val="24"/>
          <w:szCs w:val="24"/>
          <w:lang w:val="en-GB" w:eastAsia="de-AT"/>
        </w:rPr>
        <w:instrText xml:space="preserve"> ADDIN ZOTERO_ITEM CSL_CITATION {"citationID":"dzQ8jlMV","properties":{"formattedCitation":"(27)","plainCitation":"(27)"},"citationItems":[{"id":378,"uris":["http://zotero.org/users/681408/items/J55HR6M5"],"uri":["http://zotero.org/users/681408/items/J55HR6M5"],"itemData":{"id":378,"type":"article-journal","title":"Endothelium-derived prostaglandin I2 controls the migration of eosinophils","container-title":"Journal of Allergy and Clinical Immunology","page":"1105-1113","volume":"125","issue":"5","source":"ScienceDirect","abstract":"Background\nEnhanced eosinophil migration from the blood into the tissue is a hallmark of allergic diseases. Prostaglandin (PG) I2 is the major prostanoid released by endothelial cells. Mice deficient in PGI2 receptors (IPs) show exaggerated eosinophilic inflammation in response to allergen.\nObjective\nWe set out to determine the role of PGI2 in eosinophil trafficking.\nMethods\nHuman lung microvascular endothelial cells and purified human eosinophils were used to study adhesion and transendothelial migration. Morphologic studies were performed with fluorescence microscopy.\nResults\nPGI2 markedly attenuated the migration of eosinophils through cell-free filters but had no effect on neutrophil migration. The inhibitory effect of PGI2 on eosinophils was prevented by the IP antagonist Cay10441 and the adenylyl cyclase inhibitor SQ22536. Similarly, PGI2 prevented the adhesion of eosinophils to fibronectin and the rapid upregulation and activation of the adhesion molecule CD11b. IP expression on eosinophils was confirmed by means of flow cytometry and Western blotting. Furthermore, when endothelial cells were treated with the COX inhibitor diclofenac to abolish PGI2 production, adhesion of eosinophils to endothelial monolayers and subsequent transendothelial migration were markedly enhanced. Similarly, the IP antagonist enhanced eosinophil adhesion to endothelial cells. Inhibition of PGI2 biosynthesis decreased the electrical resistance of endothelial monolayers and compromised the texture of adherent junctions, as visualized by means of VE-cadherin and F-actin staining.\nConclusion\nWe propose that endothelium-derived PGI2 might be fundamental for the maintenance of the endothelial barrier function against infiltrating cells. These results suggest that selective IP agonists might have beneficial effects in allergic inflammation.","DOI":"10.1016/j.jaci.2009.12.002","ISSN":"0091-6749","journalAbbreviation":"Journal of Allergy and Clinical Immunology","author":[{"family":"Konya","given":"Viktoria"},{"family":"Sturm","given":"Eva M."},{"family":"Schratl","given":"Petra"},{"family":"Beubler","given":"Eckhard"},{"family":"Marsche","given":"Gunther"},{"family":"Schuligoi","given":"Rufina"},{"family":"Lippe","given":"Irmgard Th."},{"family":"Peskar","given":"Bernhard A."},{"family":"Heinemann","given":"Akos"}],"issued":{"date-parts":[["2010",5]]}}}],"schema":"https://github.com/citation-style-language/schema/raw/master/csl-citation.json"} </w:instrText>
      </w:r>
      <w:r w:rsidR="00F86D96" w:rsidRPr="002969CC">
        <w:rPr>
          <w:rFonts w:ascii="Times New Roman" w:eastAsia="Times New Roman" w:hAnsi="Times New Roman"/>
          <w:bCs/>
          <w:sz w:val="24"/>
          <w:szCs w:val="24"/>
          <w:lang w:val="en-GB" w:eastAsia="de-AT"/>
        </w:rPr>
        <w:fldChar w:fldCharType="separate"/>
      </w:r>
      <w:r w:rsidRPr="006F1A11">
        <w:rPr>
          <w:rFonts w:ascii="Times New Roman" w:hAnsi="Times New Roman"/>
          <w:sz w:val="24"/>
          <w:lang w:val="en-US"/>
        </w:rPr>
        <w:t>(27)</w:t>
      </w:r>
      <w:r w:rsidR="00F86D96" w:rsidRPr="002969CC">
        <w:rPr>
          <w:rFonts w:ascii="Times New Roman" w:eastAsia="Times New Roman" w:hAnsi="Times New Roman"/>
          <w:bCs/>
          <w:sz w:val="24"/>
          <w:szCs w:val="24"/>
          <w:lang w:val="en-GB" w:eastAsia="de-AT"/>
        </w:rPr>
        <w:fldChar w:fldCharType="end"/>
      </w:r>
      <w:r>
        <w:rPr>
          <w:rFonts w:ascii="Times New Roman" w:eastAsia="Times New Roman" w:hAnsi="Times New Roman"/>
          <w:bCs/>
          <w:sz w:val="24"/>
          <w:szCs w:val="24"/>
          <w:lang w:val="en-GB" w:eastAsia="de-AT"/>
        </w:rPr>
        <w:t>. Samples were stained with anti-CD16-PE-Cy5 and anti-CD11b-PE (ICRF44) Ab. CD11b upregulation was</w:t>
      </w:r>
      <w:r>
        <w:rPr>
          <w:rFonts w:ascii="Times New Roman" w:eastAsia="Times New Roman" w:hAnsi="Times New Roman"/>
          <w:bCs/>
          <w:sz w:val="24"/>
          <w:szCs w:val="24"/>
          <w:lang w:val="en-US" w:eastAsia="de-AT"/>
        </w:rPr>
        <w:t xml:space="preserve"> analyzed</w:t>
      </w:r>
      <w:r>
        <w:rPr>
          <w:rFonts w:ascii="Times New Roman" w:eastAsia="Times New Roman" w:hAnsi="Times New Roman"/>
          <w:bCs/>
          <w:sz w:val="24"/>
          <w:szCs w:val="24"/>
          <w:lang w:val="en-GB" w:eastAsia="de-AT"/>
        </w:rPr>
        <w:t xml:space="preserve"> by flow cytometry and expressed as percent of the vehicle response. Eosinophils were identified as CD16</w:t>
      </w:r>
      <w:r>
        <w:rPr>
          <w:rFonts w:ascii="Times New Roman" w:eastAsia="Times New Roman" w:hAnsi="Times New Roman"/>
          <w:bCs/>
          <w:sz w:val="24"/>
          <w:szCs w:val="24"/>
          <w:vertAlign w:val="superscript"/>
          <w:lang w:val="en-GB" w:eastAsia="de-AT"/>
        </w:rPr>
        <w:t>-</w:t>
      </w:r>
      <w:r>
        <w:rPr>
          <w:rFonts w:ascii="Times New Roman" w:eastAsia="Times New Roman" w:hAnsi="Times New Roman"/>
          <w:bCs/>
          <w:sz w:val="24"/>
          <w:szCs w:val="24"/>
          <w:lang w:val="en-GB" w:eastAsia="de-AT"/>
        </w:rPr>
        <w:t xml:space="preserve"> cells in the granulocyte forward scatter /side scatter region. </w:t>
      </w:r>
    </w:p>
    <w:p w:rsidR="00896233" w:rsidRPr="002969CC"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Respiratory burst:</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sz w:val="24"/>
          <w:szCs w:val="24"/>
          <w:lang w:val="en-GB" w:eastAsia="de-AT"/>
        </w:rPr>
        <w:t xml:space="preserve">Purified human eosinophils were pre-treated as indicated. Cells were stimulated with serial dilutions of eotaxin-2/CCL24 in the presence of 50 µM DCFDA for 20 min at 37 °C. Respiratory burst was immediately quantified by flow cytometry as the increase in the FL-1 channel due to the conversion of DCFDA into DCF by reactive oxygen. </w:t>
      </w:r>
      <w:r>
        <w:rPr>
          <w:rFonts w:ascii="Times New Roman" w:hAnsi="Times New Roman"/>
          <w:sz w:val="24"/>
          <w:szCs w:val="24"/>
          <w:lang w:val="en-US"/>
        </w:rPr>
        <w:t xml:space="preserve">Responses were expressed as </w:t>
      </w:r>
      <w:r>
        <w:rPr>
          <w:rFonts w:ascii="Times New Roman" w:eastAsia="Times New Roman" w:hAnsi="Times New Roman"/>
          <w:bCs/>
          <w:sz w:val="24"/>
          <w:szCs w:val="24"/>
          <w:lang w:val="en-GB" w:eastAsia="de-AT"/>
        </w:rPr>
        <w:t>percent of the vehicle response.</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p>
    <w:p w:rsidR="00896233" w:rsidRPr="002969CC" w:rsidRDefault="00896233" w:rsidP="00896233">
      <w:pPr>
        <w:spacing w:line="480" w:lineRule="auto"/>
        <w:jc w:val="both"/>
        <w:rPr>
          <w:b/>
          <w:bCs/>
          <w:lang w:val="en-GB" w:eastAsia="de-AT"/>
        </w:rPr>
      </w:pPr>
      <w:r>
        <w:rPr>
          <w:b/>
          <w:bCs/>
          <w:lang w:val="en-GB" w:eastAsia="de-AT"/>
        </w:rPr>
        <w:t>CD63 expression:</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sz w:val="24"/>
          <w:szCs w:val="24"/>
          <w:lang w:val="en-GB" w:eastAsia="de-AT"/>
        </w:rPr>
        <w:t xml:space="preserve">Purified human eosinophils were pre-treated for 5 min at RT as indicated and labelled with anti-CD63-FITC Ab </w:t>
      </w:r>
      <w:r w:rsidR="00F86D96" w:rsidRPr="002969CC">
        <w:rPr>
          <w:rFonts w:ascii="Times New Roman" w:eastAsia="Times New Roman" w:hAnsi="Times New Roman"/>
          <w:bCs/>
          <w:sz w:val="24"/>
          <w:szCs w:val="24"/>
          <w:lang w:val="en-GB" w:eastAsia="de-AT"/>
        </w:rPr>
        <w:fldChar w:fldCharType="begin"/>
      </w:r>
      <w:r>
        <w:rPr>
          <w:rFonts w:ascii="Times New Roman" w:eastAsia="Times New Roman" w:hAnsi="Times New Roman"/>
          <w:bCs/>
          <w:sz w:val="24"/>
          <w:szCs w:val="24"/>
          <w:lang w:val="en-GB" w:eastAsia="de-AT"/>
        </w:rPr>
        <w:instrText xml:space="preserve"> ADDIN ZOTERO_ITEM CSL_CITATION {"citationID":"ufbic4oba","properties":{"formattedCitation":"(26)","plainCitation":"(26)"},"citationItems":[{"id":29,"uris":["http://zotero.org/users/681408/items/ENUATEAP"],"uri":["http://zotero.org/users/681408/items/ENUATEAP"],"itemData":{"id":29,"type":"article-journal","title":"Delta 12-prostaglandin J2, a plasma metabolite of prostaglandin D2, causes eosinophil mobilization from the bone marrow and primes eosinophils for chemotaxis","container-title":"Journal of Immunology (Baltimore, Md.: 1950)","page":"4752-4758","volume":"170","issue":"9","source":"NCBI PubMed","abstract":"PGD(2), a major mast cell mediator, is a potent eosinophil chemoattractant and is thought to be involved in eosinophil recruitment to sites of allergic inflammation. In plasma, PGD(2) is rapidly transformed into its major metabolite delta(12)-PGJ(2), the effect of which on eosinophil migration has not yet been characterized. In this study we found that delta(12)-PGJ(2) was a highly effective chemoattractant and inducer of respiratory burst in human eosinophils, with the same efficacy as PGD(2), PGJ(2), or 15-deoxy-delta(12,14)-PGJ(2). Moreover, pretreatment of eosinophils with delta(12)-PGJ(2) markedly enhanced the chemotactic response to eotaxin, and in this respect delta(12)-PGJ(2) was more effective than PGD(2). delta(12)-PGJ(2)-induced facilitation of eosinophil migration toward eotaxin was not altered by specific inhibitors of intracellular signaling pathways relevant to the chemotactic response, phosphatidylinositol 3-kinase (LY-294002), mitogen-activated protein kinase/extracellular signal-regulated kinase kinase (U-0126), or p38 mitogen-activated protein kinase (SB-202190). Desensitization studies using calcium flux suggested that delta(12)-PGJ(2) signaled through the same receptor, CRTH2, as PGD(2). Finally, delta(12)-PGJ(2) was able to mobilize mature eosinophils from the bone marrow of the guinea pig isolated perfused hind limb. Given that delta(12)-PGJ(2) is present in the systemic circulation at relevant levels, a role for this PGD(2) metabolite in eosinophil release from the bone marrow and in driving eosinophil recruitment to sites of inflammation appears conceivable.","ISSN":"0022-1767","note":"PMID: 12707356","journalAbbreviation":"J. Immunol","author":[{"family":"Heinemann","given":"Akos"},{"family":"Schuligoi","given":"Rufina"},{"family":"Sabroe","given":"Ian"},{"family":"Hartnell","given":"Adele"},{"family":"Peskar","given":"Bernhard A"}],"issued":{"date-parts":[["2003",5,1]]},"PMID":"12707356"}}],"schema":"https://github.com/citation-style-language/schema/raw/master/csl-citation.json"} </w:instrText>
      </w:r>
      <w:r w:rsidR="00F86D96" w:rsidRPr="002969CC">
        <w:rPr>
          <w:rFonts w:ascii="Times New Roman" w:eastAsia="Times New Roman" w:hAnsi="Times New Roman"/>
          <w:bCs/>
          <w:sz w:val="24"/>
          <w:szCs w:val="24"/>
          <w:lang w:val="en-GB" w:eastAsia="de-AT"/>
        </w:rPr>
        <w:fldChar w:fldCharType="separate"/>
      </w:r>
      <w:r w:rsidRPr="006F1A11">
        <w:rPr>
          <w:rFonts w:ascii="Times New Roman" w:hAnsi="Times New Roman"/>
          <w:sz w:val="24"/>
          <w:lang w:val="en-US"/>
        </w:rPr>
        <w:t>(26)</w:t>
      </w:r>
      <w:r w:rsidR="00F86D96" w:rsidRPr="002969CC">
        <w:rPr>
          <w:rFonts w:ascii="Times New Roman" w:eastAsia="Times New Roman" w:hAnsi="Times New Roman"/>
          <w:bCs/>
          <w:sz w:val="24"/>
          <w:szCs w:val="24"/>
          <w:lang w:val="en-GB" w:eastAsia="de-AT"/>
        </w:rPr>
        <w:fldChar w:fldCharType="end"/>
      </w:r>
      <w:r>
        <w:rPr>
          <w:rFonts w:ascii="Times New Roman" w:eastAsia="Times New Roman" w:hAnsi="Times New Roman"/>
          <w:bCs/>
          <w:sz w:val="24"/>
          <w:szCs w:val="24"/>
          <w:lang w:val="en-GB" w:eastAsia="de-AT"/>
        </w:rPr>
        <w:t>. Samples were treated with cytochalasin B (5 µg/ml) for 5 min at 37 °C and degranulation was induced with serial dilutions of complement component 5a (C5a) for 20 min at 37 °C. CD63 expression was detected by flow cytometry and expressed as percent of the respective control responses.</w:t>
      </w:r>
    </w:p>
    <w:p w:rsidR="00896233" w:rsidRPr="002969CC"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EPO release:</w:t>
      </w:r>
    </w:p>
    <w:p w:rsidR="00896233" w:rsidRPr="002969CC" w:rsidRDefault="00896233" w:rsidP="00896233">
      <w:pPr>
        <w:pStyle w:val="ListParagraph"/>
        <w:spacing w:after="0" w:line="480" w:lineRule="auto"/>
        <w:ind w:left="0" w:firstLine="284"/>
        <w:jc w:val="both"/>
        <w:rPr>
          <w:rFonts w:ascii="Times New Roman" w:eastAsia="Times New Roman" w:hAnsi="Times New Roman"/>
          <w:bCs/>
          <w:sz w:val="24"/>
          <w:szCs w:val="24"/>
          <w:lang w:val="en-GB" w:eastAsia="de-AT"/>
        </w:rPr>
      </w:pPr>
      <w:r>
        <w:rPr>
          <w:rFonts w:ascii="Times New Roman" w:eastAsia="Times New Roman" w:hAnsi="Times New Roman"/>
          <w:bCs/>
          <w:sz w:val="24"/>
          <w:szCs w:val="24"/>
          <w:lang w:val="en-GB" w:eastAsia="de-AT"/>
        </w:rPr>
        <w:t xml:space="preserve">Purified eosinophils were treated with cytochalasin B (10 µg/ml) and aliquots were transferred into the wells of a 96-well microplate </w:t>
      </w:r>
      <w:r w:rsidR="00F86D96" w:rsidRPr="002969CC">
        <w:rPr>
          <w:rFonts w:ascii="Times New Roman" w:eastAsia="Times New Roman" w:hAnsi="Times New Roman"/>
          <w:bCs/>
          <w:sz w:val="24"/>
          <w:szCs w:val="24"/>
          <w:lang w:val="en-GB" w:eastAsia="de-AT"/>
        </w:rPr>
        <w:fldChar w:fldCharType="begin"/>
      </w:r>
      <w:r>
        <w:rPr>
          <w:rFonts w:ascii="Times New Roman" w:eastAsia="Times New Roman" w:hAnsi="Times New Roman"/>
          <w:bCs/>
          <w:sz w:val="24"/>
          <w:szCs w:val="24"/>
          <w:lang w:val="en-GB" w:eastAsia="de-AT"/>
        </w:rPr>
        <w:instrText xml:space="preserve"> ADDIN ZOTERO_ITEM CSL_CITATION {"citationID":"jr15prro5","properties":{"formattedCitation":"(58)","plainCitation":"(58)"},"citationItems":[{"id":389,"uris":["http://zotero.org/users/681408/items/9GMAZXKW"],"uri":["http://zotero.org/users/681408/items/9GMAZXKW"],"itemData":{"id":389,"type":"article-journal","title":"Prostaglandin H2 induces the migration of human eosinophils through the chemoattractant receptor homologous molecule of Th2 cells, CRTH2","container-title":"Journal of Leukocyte Biology","page":"136-145","volume":"85","issue":"1","source":"www.jleukbio.org","abstract":"The major mast cell product PGD2 is released during the allergic response and stimulates the chemotaxis of eosinophils, basophils, and Th2-type T lymphocytes. The chemoattractant receptor homologous molecule of Th2 cells (CRTH2) has been shown to mediate the chemotactic effect of PGD2. PGH2 is the common precursor of all PGs and is produced by several cells that express cyclooxygenases. In this study, we show that PGH2 selectively stimulates human peripheral blood eosinophils and basophils but not neutrophils, and this effect is prevented by the CRTH2 receptor antagonist (+)-3-[[(4-fluorophenyl)sulfonyl] methyl amino]-1,2,3,4-tetrahydro-9H-carbazole-9-acetic acid (Cay10471) but not by the hematopoietic PGD synthase inhibitor 4-benzhydryloxy-1-[3-(1H-tetrazol-5-yl)-propyl]piperidine (HQL79). In chemotaxis assays, eosinophils showed a pronounced migratory response toward PGH2, but eosinophil degranulation was inhibited by PGH2. Moreover, collagen-induced platelet aggregation was inhibited by PGH2 in platelet-rich plasma, which was abrogated in the presence of the D-type prostanoid (DP) receptor antagonist 3-[(2-cyclohexyl-2-hydroxyethyl)amino]-2,5-dioxo-1-(phenylmethyl)-4-imidazolidine-heptanoic acid (BWA868c). Each of these effects of PGH2 was enhanced in the presence of plasma and/or albumin. In eosinophils, PGH2-induced calcium ion (Ca2+) flux was subject to homologous desensitization with PGD2. Human embryo kidney (HEK)293 cells transfected with human CRTH2 or DP likewise responded with Ca2+ flux, and untransfected HEK293 cells showed no response. These data indicate that PGH2 causes activation of the PGD2 receptors CRTH2 and DP via a dual mechanism: by interacting directly with the receptors and/or by giving rise to PGD2 after catalytic conversion by plasma proteins.","DOI":"10.1189/jlb.0608387","ISSN":"0741-5400, 1938-3673","note":"PMID: 18835884","journalAbbreviation":"J Leukoc Biol","language":"en","author":[{"family":"Schuligoi","given":"Rufina"},{"family":"Sedej","given":"Miriam"},{"family":"Waldhoer","given":"Maria"},{"family":"Vukoja","given":"Anela"},{"family":"Sturm","given":"Eva M."},{"family":"Lippe","given":"Irmgard T."},{"family":"Peskar","given":"Bernhard A."},{"family":"Heinemann","given":"Akos"}],"issued":{"date-parts":[["2009",1,1]]},"PMID":"18835884"}}],"schema":"https://github.com/citation-style-language/schema/raw/master/csl-citation.json"} </w:instrText>
      </w:r>
      <w:r w:rsidR="00F86D96" w:rsidRPr="002969CC">
        <w:rPr>
          <w:rFonts w:ascii="Times New Roman" w:eastAsia="Times New Roman" w:hAnsi="Times New Roman"/>
          <w:bCs/>
          <w:sz w:val="24"/>
          <w:szCs w:val="24"/>
          <w:lang w:val="en-GB" w:eastAsia="de-AT"/>
        </w:rPr>
        <w:fldChar w:fldCharType="separate"/>
      </w:r>
      <w:r w:rsidRPr="006F1A11">
        <w:rPr>
          <w:rFonts w:ascii="Times New Roman" w:hAnsi="Times New Roman"/>
          <w:sz w:val="24"/>
          <w:lang w:val="en-US"/>
        </w:rPr>
        <w:t>(58)</w:t>
      </w:r>
      <w:r w:rsidR="00F86D96" w:rsidRPr="002969CC">
        <w:rPr>
          <w:rFonts w:ascii="Times New Roman" w:eastAsia="Times New Roman" w:hAnsi="Times New Roman"/>
          <w:bCs/>
          <w:sz w:val="24"/>
          <w:szCs w:val="24"/>
          <w:lang w:val="en-GB" w:eastAsia="de-AT"/>
        </w:rPr>
        <w:fldChar w:fldCharType="end"/>
      </w:r>
      <w:r>
        <w:rPr>
          <w:rFonts w:ascii="Times New Roman" w:eastAsia="Times New Roman" w:hAnsi="Times New Roman"/>
          <w:bCs/>
          <w:sz w:val="24"/>
          <w:szCs w:val="24"/>
          <w:lang w:val="en-GB" w:eastAsia="de-AT"/>
        </w:rPr>
        <w:t>. After stimulation with serial dilutions of C5a for 20 min at 37 °C, H</w:t>
      </w:r>
      <w:r>
        <w:rPr>
          <w:rFonts w:ascii="Times New Roman" w:eastAsia="Times New Roman" w:hAnsi="Times New Roman"/>
          <w:bCs/>
          <w:sz w:val="24"/>
          <w:szCs w:val="24"/>
          <w:vertAlign w:val="subscript"/>
          <w:lang w:val="en-GB" w:eastAsia="de-AT"/>
        </w:rPr>
        <w:t>2</w:t>
      </w:r>
      <w:r>
        <w:rPr>
          <w:rFonts w:ascii="Times New Roman" w:eastAsia="Times New Roman" w:hAnsi="Times New Roman"/>
          <w:bCs/>
          <w:sz w:val="24"/>
          <w:szCs w:val="24"/>
          <w:lang w:val="en-GB" w:eastAsia="de-AT"/>
        </w:rPr>
        <w:t>O</w:t>
      </w:r>
      <w:r>
        <w:rPr>
          <w:rFonts w:ascii="Times New Roman" w:eastAsia="Times New Roman" w:hAnsi="Times New Roman"/>
          <w:bCs/>
          <w:sz w:val="24"/>
          <w:szCs w:val="24"/>
          <w:vertAlign w:val="subscript"/>
          <w:lang w:val="en-GB" w:eastAsia="de-AT"/>
        </w:rPr>
        <w:t>2</w:t>
      </w:r>
      <w:r>
        <w:rPr>
          <w:rFonts w:ascii="Times New Roman" w:eastAsia="Times New Roman" w:hAnsi="Times New Roman"/>
          <w:bCs/>
          <w:sz w:val="24"/>
          <w:szCs w:val="24"/>
          <w:lang w:val="en-GB" w:eastAsia="de-AT"/>
        </w:rPr>
        <w:t xml:space="preserve"> (1 mM) was added to start the peroxidase reaction. Tetramethylbenzidine (2.8 mM) was added to detect the reaction and colour development was terminated by addition of 4 M acetic acid. EPO release was quantified on a bench reader at a wavelength of 630 nm.</w:t>
      </w:r>
    </w:p>
    <w:p w:rsidR="00896233" w:rsidRPr="002969CC" w:rsidRDefault="00896233" w:rsidP="00896233">
      <w:pPr>
        <w:spacing w:line="480" w:lineRule="auto"/>
        <w:jc w:val="both"/>
        <w:rPr>
          <w:b/>
          <w:bCs/>
          <w:i/>
          <w:lang w:val="en-GB" w:eastAsia="de-AT"/>
        </w:rPr>
      </w:pPr>
    </w:p>
    <w:p w:rsidR="00896233" w:rsidRPr="002969CC" w:rsidRDefault="00896233" w:rsidP="00896233">
      <w:pPr>
        <w:spacing w:line="480" w:lineRule="auto"/>
        <w:jc w:val="both"/>
        <w:rPr>
          <w:b/>
          <w:bCs/>
          <w:lang w:val="en-GB" w:eastAsia="de-AT"/>
        </w:rPr>
      </w:pPr>
      <w:r>
        <w:rPr>
          <w:b/>
          <w:bCs/>
          <w:i/>
          <w:lang w:val="en-GB" w:eastAsia="de-AT"/>
        </w:rPr>
        <w:t>In vivo</w:t>
      </w:r>
      <w:r>
        <w:rPr>
          <w:b/>
          <w:bCs/>
          <w:lang w:val="en-GB" w:eastAsia="de-AT"/>
        </w:rPr>
        <w:t xml:space="preserve"> chemotaxis: </w:t>
      </w:r>
    </w:p>
    <w:p w:rsidR="00896233" w:rsidRPr="002969CC" w:rsidRDefault="00896233" w:rsidP="00896233">
      <w:pPr>
        <w:spacing w:line="480" w:lineRule="auto"/>
        <w:ind w:firstLine="284"/>
        <w:jc w:val="both"/>
        <w:rPr>
          <w:lang w:val="en-US"/>
        </w:rPr>
      </w:pPr>
      <w:r>
        <w:rPr>
          <w:bCs/>
          <w:lang w:val="en-GB" w:eastAsia="de-AT"/>
        </w:rPr>
        <w:t xml:space="preserve">Eight week-old IL-5Tg mice were treated i.p. with JWH-133 (5 mg/kg/d) or vehicle for three consecutive days. </w:t>
      </w:r>
      <w:r>
        <w:rPr>
          <w:bCs/>
          <w:i/>
          <w:lang w:val="en-GB" w:eastAsia="de-AT"/>
        </w:rPr>
        <w:t>In vivo</w:t>
      </w:r>
      <w:r>
        <w:rPr>
          <w:bCs/>
          <w:lang w:val="en-GB" w:eastAsia="de-AT"/>
        </w:rPr>
        <w:t xml:space="preserve"> chemotaxis of eosinophils was induced by intranasal instillation of 4µg eotaxin-2/CCL24. Bronchoalveolar lavage fluid (BALF) was collected 5 h post-instillation, and migration was evaluated by flow cytometric counting of </w:t>
      </w:r>
      <w:r>
        <w:rPr>
          <w:lang w:val="en-US"/>
        </w:rPr>
        <w:t>highly granular (high side scatter) CD11c</w:t>
      </w:r>
      <w:r>
        <w:rPr>
          <w:vertAlign w:val="superscript"/>
          <w:lang w:val="en-US"/>
        </w:rPr>
        <w:t>-</w:t>
      </w:r>
      <w:r>
        <w:rPr>
          <w:lang w:val="en-US"/>
        </w:rPr>
        <w:t>/Siglec F</w:t>
      </w:r>
      <w:r>
        <w:rPr>
          <w:vertAlign w:val="superscript"/>
          <w:lang w:val="en-US"/>
        </w:rPr>
        <w:t>+</w:t>
      </w:r>
      <w:r>
        <w:rPr>
          <w:lang w:val="en-US"/>
        </w:rPr>
        <w:t xml:space="preserve"> cells.</w:t>
      </w:r>
    </w:p>
    <w:p w:rsidR="00896233" w:rsidRPr="002969CC" w:rsidRDefault="00896233" w:rsidP="00896233">
      <w:pPr>
        <w:spacing w:line="480" w:lineRule="auto"/>
        <w:jc w:val="both"/>
        <w:rPr>
          <w:b/>
          <w:bCs/>
          <w:lang w:val="en-GB" w:eastAsia="de-AT"/>
        </w:rPr>
      </w:pPr>
    </w:p>
    <w:p w:rsidR="00896233" w:rsidRDefault="00896233" w:rsidP="00896233">
      <w:pPr>
        <w:spacing w:line="480" w:lineRule="auto"/>
        <w:jc w:val="both"/>
        <w:rPr>
          <w:b/>
          <w:bCs/>
          <w:lang w:val="en-GB" w:eastAsia="de-AT"/>
        </w:rPr>
      </w:pPr>
    </w:p>
    <w:p w:rsidR="00896233" w:rsidRPr="002969CC" w:rsidRDefault="00896233" w:rsidP="00896233">
      <w:pPr>
        <w:spacing w:line="480" w:lineRule="auto"/>
        <w:jc w:val="both"/>
        <w:rPr>
          <w:b/>
          <w:bCs/>
          <w:lang w:val="en-GB" w:eastAsia="de-AT"/>
        </w:rPr>
      </w:pPr>
      <w:r>
        <w:rPr>
          <w:b/>
          <w:bCs/>
          <w:lang w:val="en-GB" w:eastAsia="de-AT"/>
        </w:rPr>
        <w:t>Mouse model of allergic lung inflammation:</w:t>
      </w:r>
    </w:p>
    <w:p w:rsidR="00896233" w:rsidRPr="002969CC" w:rsidRDefault="00896233" w:rsidP="00896233">
      <w:pPr>
        <w:spacing w:line="480" w:lineRule="auto"/>
        <w:ind w:firstLine="284"/>
        <w:jc w:val="both"/>
        <w:rPr>
          <w:lang w:val="en-US"/>
        </w:rPr>
      </w:pPr>
      <w:r>
        <w:rPr>
          <w:bCs/>
          <w:lang w:val="en-GB" w:eastAsia="de-AT"/>
        </w:rPr>
        <w:t xml:space="preserve">Eight week old female C57Bl6/N mice were immunized by i.p. injections of 10 µg of OVA adsorbed to </w:t>
      </w:r>
      <w:proofErr w:type="gramStart"/>
      <w:r>
        <w:rPr>
          <w:bCs/>
          <w:lang w:val="en-GB" w:eastAsia="de-AT"/>
        </w:rPr>
        <w:t>Al(</w:t>
      </w:r>
      <w:proofErr w:type="gramEnd"/>
      <w:r>
        <w:rPr>
          <w:bCs/>
          <w:lang w:val="en-GB" w:eastAsia="de-AT"/>
        </w:rPr>
        <w:t>OH)</w:t>
      </w:r>
      <w:r>
        <w:rPr>
          <w:bCs/>
          <w:vertAlign w:val="subscript"/>
          <w:lang w:val="en-GB" w:eastAsia="de-AT"/>
        </w:rPr>
        <w:t>3</w:t>
      </w:r>
      <w:r>
        <w:rPr>
          <w:bCs/>
          <w:lang w:val="en-GB" w:eastAsia="de-AT"/>
        </w:rPr>
        <w:t xml:space="preserve"> on days 0 and 7. Mice were </w:t>
      </w:r>
      <w:r>
        <w:rPr>
          <w:lang w:val="en-US"/>
        </w:rPr>
        <w:t xml:space="preserve">challenged by an aerosol of 0.5% (w/v) of OVA in saline for 30 min on days 14 and 16. Additionally, mice received a daily i.p. injection of </w:t>
      </w:r>
      <w:r>
        <w:rPr>
          <w:bCs/>
          <w:lang w:val="en-GB" w:eastAsia="de-AT"/>
        </w:rPr>
        <w:t>CB</w:t>
      </w:r>
      <w:r>
        <w:rPr>
          <w:bCs/>
          <w:vertAlign w:val="subscript"/>
          <w:lang w:val="en-GB" w:eastAsia="de-AT"/>
        </w:rPr>
        <w:t xml:space="preserve">2 </w:t>
      </w:r>
      <w:r>
        <w:rPr>
          <w:bCs/>
          <w:lang w:val="en-GB" w:eastAsia="de-AT"/>
        </w:rPr>
        <w:t>agonist/antagonist (10 mg/kg) or vehicle on day 9 to day 16. On day 17 either airway hyperresponsiveness to methacholine was recorded with the FlexiVent system (Scireq, Montreal</w:t>
      </w:r>
      <w:proofErr w:type="gramStart"/>
      <w:r>
        <w:rPr>
          <w:bCs/>
          <w:lang w:val="en-GB" w:eastAsia="de-AT"/>
        </w:rPr>
        <w:t>,CA</w:t>
      </w:r>
      <w:proofErr w:type="gramEnd"/>
      <w:r>
        <w:rPr>
          <w:bCs/>
          <w:lang w:val="en-GB" w:eastAsia="de-AT"/>
        </w:rPr>
        <w:t xml:space="preserve">) or BALF was taken using 3ml PBS/EDTA (1mM), and analyzed by flow cytometry. </w:t>
      </w:r>
      <w:r>
        <w:rPr>
          <w:lang w:val="en-US"/>
        </w:rPr>
        <w:t>Eosinophils in BALF were identified as highly granular (high side scatter) CD11c</w:t>
      </w:r>
      <w:r>
        <w:rPr>
          <w:vertAlign w:val="superscript"/>
          <w:lang w:val="en-US"/>
        </w:rPr>
        <w:t>-</w:t>
      </w:r>
      <w:r>
        <w:rPr>
          <w:lang w:val="en-US"/>
        </w:rPr>
        <w:t>/Siglec F</w:t>
      </w:r>
      <w:r>
        <w:rPr>
          <w:vertAlign w:val="superscript"/>
          <w:lang w:val="en-US"/>
        </w:rPr>
        <w:t>+</w:t>
      </w:r>
      <w:r>
        <w:rPr>
          <w:lang w:val="en-US"/>
        </w:rPr>
        <w:t xml:space="preserve"> cells, T-Cells as CD3e</w:t>
      </w:r>
      <w:r w:rsidRPr="006F1A11">
        <w:rPr>
          <w:vertAlign w:val="superscript"/>
          <w:lang w:val="en-US"/>
        </w:rPr>
        <w:t>+</w:t>
      </w:r>
      <w:r w:rsidRPr="006F1A11">
        <w:rPr>
          <w:lang w:val="en-US"/>
        </w:rPr>
        <w:t>, B-Cells as I-A/I-E</w:t>
      </w:r>
      <w:r w:rsidRPr="006F1A11">
        <w:rPr>
          <w:vertAlign w:val="superscript"/>
          <w:lang w:val="en-US"/>
        </w:rPr>
        <w:t>+</w:t>
      </w:r>
      <w:r w:rsidRPr="006F1A11">
        <w:rPr>
          <w:lang w:val="en-US"/>
        </w:rPr>
        <w:t>/B220</w:t>
      </w:r>
      <w:r w:rsidRPr="006F1A11">
        <w:rPr>
          <w:vertAlign w:val="superscript"/>
          <w:lang w:val="en-US"/>
        </w:rPr>
        <w:t>+</w:t>
      </w:r>
      <w:r w:rsidRPr="006F1A11">
        <w:rPr>
          <w:lang w:val="en-US"/>
        </w:rPr>
        <w:t>, macrophages as CD11c</w:t>
      </w:r>
      <w:r w:rsidRPr="006F1A11">
        <w:rPr>
          <w:vertAlign w:val="superscript"/>
          <w:lang w:val="en-US"/>
        </w:rPr>
        <w:t>+</w:t>
      </w:r>
      <w:r w:rsidRPr="006F1A11">
        <w:rPr>
          <w:lang w:val="en-US"/>
        </w:rPr>
        <w:t>/Siglec F</w:t>
      </w:r>
      <w:r w:rsidRPr="006F1A11">
        <w:rPr>
          <w:vertAlign w:val="superscript"/>
          <w:lang w:val="en-US"/>
        </w:rPr>
        <w:t>+</w:t>
      </w:r>
      <w:r w:rsidRPr="006F1A11">
        <w:rPr>
          <w:lang w:val="en-US"/>
        </w:rPr>
        <w:t>, monocytes as I-A/I-E</w:t>
      </w:r>
      <w:r w:rsidRPr="006F1A11">
        <w:rPr>
          <w:vertAlign w:val="superscript"/>
          <w:lang w:val="en-US"/>
        </w:rPr>
        <w:t>+</w:t>
      </w:r>
      <w:r w:rsidRPr="006F1A11">
        <w:rPr>
          <w:lang w:val="en-US"/>
        </w:rPr>
        <w:t>/CD11c</w:t>
      </w:r>
      <w:r w:rsidRPr="006F1A11">
        <w:rPr>
          <w:vertAlign w:val="superscript"/>
          <w:lang w:val="en-US"/>
        </w:rPr>
        <w:t>-</w:t>
      </w:r>
      <w:r w:rsidRPr="006F1A11">
        <w:rPr>
          <w:lang w:val="en-US"/>
        </w:rPr>
        <w:t xml:space="preserve"> and neutrophils as Siglec F</w:t>
      </w:r>
      <w:r w:rsidRPr="006F1A11">
        <w:rPr>
          <w:vertAlign w:val="superscript"/>
          <w:lang w:val="en-US"/>
        </w:rPr>
        <w:t>-</w:t>
      </w:r>
      <w:r w:rsidRPr="006F1A11">
        <w:rPr>
          <w:lang w:val="en-US"/>
        </w:rPr>
        <w:t xml:space="preserve"> cells in the granulocyte region. For histological analysis, lung tissue was fixed in 4% formaldehyde and embedded in paraffin. Ten-µm sections were stained with H&amp;E and pictures were taken at a 100x magnification on an Olympus IX70 microscope with an Olympus DP50 camera.</w:t>
      </w:r>
      <w:r w:rsidRPr="002969CC">
        <w:rPr>
          <w:lang w:val="en-US"/>
        </w:rPr>
        <w:t xml:space="preserve"> </w:t>
      </w:r>
    </w:p>
    <w:p w:rsidR="00896233" w:rsidRPr="002969CC" w:rsidRDefault="00896233" w:rsidP="00896233">
      <w:pPr>
        <w:spacing w:line="480" w:lineRule="auto"/>
        <w:jc w:val="both"/>
        <w:rPr>
          <w:b/>
          <w:bCs/>
          <w:color w:val="000000" w:themeColor="text1"/>
          <w:lang w:val="en-GB" w:eastAsia="de-AT"/>
        </w:rPr>
      </w:pPr>
      <w:r>
        <w:rPr>
          <w:lang w:val="en-US"/>
        </w:rPr>
        <w:t xml:space="preserve"> </w:t>
      </w:r>
      <w:r>
        <w:rPr>
          <w:b/>
          <w:bCs/>
          <w:color w:val="000000" w:themeColor="text1"/>
          <w:lang w:val="en-GB" w:eastAsia="de-AT"/>
        </w:rPr>
        <w:t>LC-MS analysis of BALF metabolite:</w:t>
      </w:r>
    </w:p>
    <w:p w:rsidR="00896233" w:rsidRPr="002969CC" w:rsidRDefault="00896233" w:rsidP="00896233">
      <w:pPr>
        <w:pStyle w:val="EndNoteBibliography"/>
        <w:spacing w:line="480" w:lineRule="auto"/>
        <w:jc w:val="both"/>
        <w:rPr>
          <w:rFonts w:ascii="Times New Roman" w:eastAsia="Times New Roman" w:hAnsi="Times New Roman"/>
          <w:bCs/>
          <w:sz w:val="24"/>
          <w:szCs w:val="24"/>
          <w:lang w:val="en-GB" w:eastAsia="de-AT"/>
        </w:rPr>
      </w:pPr>
      <w:bookmarkStart w:id="0" w:name="OLE_LINK100"/>
      <w:r>
        <w:rPr>
          <w:rFonts w:ascii="Times New Roman" w:eastAsia="Times New Roman" w:hAnsi="Times New Roman"/>
          <w:bCs/>
          <w:sz w:val="24"/>
          <w:szCs w:val="24"/>
          <w:lang w:val="en-GB" w:eastAsia="de-AT"/>
        </w:rPr>
        <w:t xml:space="preserve">A stable isotope dilution liquid chromatography-mass spectrometry (LC-MS) method was used, previously reported elsewhere </w:t>
      </w:r>
      <w:r w:rsidR="00F86D96" w:rsidRPr="002969CC">
        <w:rPr>
          <w:rFonts w:ascii="Times New Roman" w:eastAsia="Times New Roman" w:hAnsi="Times New Roman"/>
          <w:bCs/>
          <w:sz w:val="24"/>
          <w:szCs w:val="24"/>
          <w:lang w:val="en-GB" w:eastAsia="de-AT"/>
        </w:rPr>
        <w:fldChar w:fldCharType="begin"/>
      </w:r>
      <w:r>
        <w:rPr>
          <w:rFonts w:ascii="Times New Roman" w:eastAsia="Times New Roman" w:hAnsi="Times New Roman"/>
          <w:bCs/>
          <w:sz w:val="24"/>
          <w:szCs w:val="24"/>
          <w:lang w:val="en-GB" w:eastAsia="de-AT"/>
        </w:rPr>
        <w:instrText xml:space="preserve"> ADDIN ZOTERO_ITEM CSL_CITATION {"citationID":"2o7d7m9qi0","properties":{"formattedCitation":"(59)","plainCitation":"(59)"},"citationItems":[{"id":463,"uris":["http://zotero.org/users/681408/items/XWJA2DEQ"],"uri":["http://zotero.org/users/681408/items/XWJA2DEQ"],"itemData":{"id":463,"type":"article-journal","title":"Quantification of Lipid Mediator Metabolites in Human Urine from Asthma Patients by Electrospray Ionization Mass Spectrometry: Controlling Matrix Effects","container-title":"Analytical Chemistry","page":"7866-7874","volume":"85","issue":"16","source":"ACS Publications","abstract":"Eicosanoids (e.g., prostaglandins and leukotrienes) are inflammatory signaling molecules that are metabolized and excreted in urine. The quantification of eicosanoid metabolites in human urine has been demonstrated to provide insight into the inflammatory and oxidative stress status of the individual. However, urine is a complex matrix that can exhibit profound matrix effects for quantification via liquid chromatography coupled to mass spectrometry (LC-MS/MS). This phenomenon can lead to impairment and biasing of results, because the sample background is dependent on the fluid intake and water?salt balance. Herein we describe an analytical methodology to address these limitations via the normalization of extracted urine volume by the ratio of absorbance at 300 nm to an optimized reference material. The platform is composed of 4 LC-MS/MS methods that collectively quantify 26 lipid mediators and their metabolites, with on-column limits of detection between 0.55 and 15 fmol. Prior to optimization, internal standards exhibited strong matrix effects with up to 50% loss of signal. Notably, the accuracy of exact deuterated structural analogues was found to vary based upon the number of incorporated deteurium. The platform was used to analyze urine from 16 atopic asthmatics under allergen provocation, showing increases in metabolites of prostaglandin D2, cysteinyl leukotrienes, and isoprostanes following the challenge. This method presents a functional and reproducible approach to addressing urine-specific matrix effects that can be readily formatted for quantifying large numbers of samples.","DOI":"10.1021/ac401461b","ISSN":"0003-2700","shortTitle":"Quantification of Lipid Mediator Metabolites in Human Urine from Asthma Patients by Electrospray Ionization Mass Spectrometry","journalAbbreviation":"Anal. Chem.","author":[{"family":"Balgoma","given":"David"},{"family":"Larsson","given":"Johan"},{"family":"Rokach","given":"Joshua"},{"family":"Lawson","given":"John A."},{"family":"Daham","given":"Kameran"},{"family":"Dahlén","given":"Barbro"},{"family":"Dahlén","given":"Sven-Erik"},{"family":"Wheelock","given":"Craig E."}],"issued":{"date-parts":[["2013",8,20]]}}}],"schema":"https://github.com/citation-style-language/schema/raw/master/csl-citation.json"} </w:instrText>
      </w:r>
      <w:r w:rsidR="00F86D96" w:rsidRPr="002969CC">
        <w:rPr>
          <w:rFonts w:ascii="Times New Roman" w:eastAsia="Times New Roman" w:hAnsi="Times New Roman"/>
          <w:bCs/>
          <w:sz w:val="24"/>
          <w:szCs w:val="24"/>
          <w:lang w:val="en-GB" w:eastAsia="de-AT"/>
        </w:rPr>
        <w:fldChar w:fldCharType="separate"/>
      </w:r>
      <w:r w:rsidRPr="006F1A11">
        <w:rPr>
          <w:rFonts w:ascii="Times New Roman" w:hAnsi="Times New Roman"/>
          <w:sz w:val="24"/>
        </w:rPr>
        <w:t>(59)</w:t>
      </w:r>
      <w:r w:rsidR="00F86D96" w:rsidRPr="002969CC">
        <w:rPr>
          <w:rFonts w:ascii="Times New Roman" w:eastAsia="Times New Roman" w:hAnsi="Times New Roman"/>
          <w:bCs/>
          <w:sz w:val="24"/>
          <w:szCs w:val="24"/>
          <w:lang w:val="en-GB" w:eastAsia="de-AT"/>
        </w:rPr>
        <w:fldChar w:fldCharType="end"/>
      </w:r>
      <w:r>
        <w:rPr>
          <w:rFonts w:ascii="Times New Roman" w:eastAsia="Times New Roman" w:hAnsi="Times New Roman"/>
          <w:bCs/>
          <w:sz w:val="24"/>
          <w:szCs w:val="24"/>
          <w:lang w:val="en-GB" w:eastAsia="de-AT"/>
        </w:rPr>
        <w:t xml:space="preserve">, with slight modification to quantify cysteinyl leukotrienes (CysLTs) </w:t>
      </w:r>
      <w:bookmarkStart w:id="1" w:name="OLE_LINK7"/>
      <w:bookmarkStart w:id="2" w:name="OLE_LINK8"/>
      <w:r>
        <w:rPr>
          <w:rFonts w:ascii="Times New Roman" w:eastAsia="Times New Roman" w:hAnsi="Times New Roman"/>
          <w:bCs/>
          <w:sz w:val="24"/>
          <w:szCs w:val="24"/>
          <w:lang w:val="en-GB" w:eastAsia="de-AT"/>
        </w:rPr>
        <w:t xml:space="preserve">LTC4, LTD4 </w:t>
      </w:r>
      <w:bookmarkEnd w:id="1"/>
      <w:bookmarkEnd w:id="2"/>
      <w:r>
        <w:rPr>
          <w:rFonts w:ascii="Times New Roman" w:eastAsia="Times New Roman" w:hAnsi="Times New Roman"/>
          <w:bCs/>
          <w:sz w:val="24"/>
          <w:szCs w:val="24"/>
          <w:lang w:val="en-GB" w:eastAsia="de-AT"/>
        </w:rPr>
        <w:t>and LTE4</w:t>
      </w:r>
      <w:bookmarkEnd w:id="0"/>
      <w:r>
        <w:rPr>
          <w:rFonts w:ascii="Times New Roman" w:eastAsia="Times New Roman" w:hAnsi="Times New Roman"/>
          <w:bCs/>
          <w:sz w:val="24"/>
          <w:szCs w:val="24"/>
          <w:lang w:val="en-GB" w:eastAsia="de-AT"/>
        </w:rPr>
        <w:t xml:space="preserve">. </w:t>
      </w:r>
      <w:r>
        <w:rPr>
          <w:rFonts w:ascii="Times New Roman" w:hAnsi="Times New Roman"/>
          <w:sz w:val="24"/>
          <w:szCs w:val="24"/>
        </w:rPr>
        <w:t>The complete method is described in the Supplemental Information, with lipid mediator nomenclature provided in Table E1.</w:t>
      </w:r>
    </w:p>
    <w:p w:rsidR="00896233" w:rsidRPr="002969CC" w:rsidRDefault="00896233" w:rsidP="00896233">
      <w:pPr>
        <w:spacing w:line="480" w:lineRule="auto"/>
        <w:jc w:val="both"/>
        <w:rPr>
          <w:b/>
          <w:lang w:val="en-US"/>
        </w:rPr>
      </w:pPr>
      <w:r>
        <w:rPr>
          <w:b/>
          <w:lang w:val="en-US"/>
        </w:rPr>
        <w:t>Statistical analysis:</w:t>
      </w:r>
    </w:p>
    <w:p w:rsidR="00896233" w:rsidRPr="002969CC" w:rsidRDefault="00896233" w:rsidP="00896233">
      <w:pPr>
        <w:spacing w:line="480" w:lineRule="auto"/>
        <w:ind w:firstLine="284"/>
        <w:jc w:val="both"/>
        <w:rPr>
          <w:lang w:val="en-US"/>
        </w:rPr>
      </w:pPr>
      <w:r>
        <w:rPr>
          <w:lang w:val="en-US"/>
        </w:rPr>
        <w:t>Data are shown as mean ± SEM for n observations, where n denotes independent experiments with cells from different donors. Comparisons of groups were performed using one-way ANOVA followed by Newman-Keuls´ post-hoc test or two-way ANOVA for repeated measurements followed by Bonferroni’s post-hoc test to determine the levels of significance for each group. Probability values of p &lt; 0.05 were considered as statistically significant.</w:t>
      </w:r>
    </w:p>
    <w:p w:rsidR="00896233" w:rsidRPr="002969CC" w:rsidRDefault="00896233" w:rsidP="00896233">
      <w:pPr>
        <w:spacing w:line="480" w:lineRule="auto"/>
        <w:jc w:val="both"/>
        <w:rPr>
          <w:b/>
          <w:lang w:val="en-US"/>
        </w:rPr>
      </w:pPr>
      <w:r>
        <w:rPr>
          <w:b/>
          <w:lang w:val="en-US"/>
        </w:rPr>
        <w:lastRenderedPageBreak/>
        <w:t>LC-MS measurement:</w:t>
      </w:r>
    </w:p>
    <w:p w:rsidR="00896233" w:rsidRPr="002969CC" w:rsidRDefault="00896233" w:rsidP="00896233">
      <w:pPr>
        <w:autoSpaceDE w:val="0"/>
        <w:autoSpaceDN w:val="0"/>
        <w:adjustRightInd w:val="0"/>
        <w:spacing w:line="480" w:lineRule="auto"/>
        <w:jc w:val="both"/>
        <w:rPr>
          <w:i/>
          <w:lang w:val="en-US"/>
        </w:rPr>
      </w:pPr>
      <w:r>
        <w:rPr>
          <w:i/>
          <w:lang w:val="en-US"/>
        </w:rPr>
        <w:t xml:space="preserve">SPE extraction </w:t>
      </w:r>
    </w:p>
    <w:p w:rsidR="00896233" w:rsidRPr="002969CC" w:rsidRDefault="00896233" w:rsidP="00896233">
      <w:pPr>
        <w:autoSpaceDE w:val="0"/>
        <w:autoSpaceDN w:val="0"/>
        <w:adjustRightInd w:val="0"/>
        <w:spacing w:line="480" w:lineRule="auto"/>
        <w:jc w:val="both"/>
        <w:rPr>
          <w:lang w:val="en-US"/>
        </w:rPr>
      </w:pPr>
      <w:r>
        <w:rPr>
          <w:lang w:val="en-US"/>
        </w:rPr>
        <w:t xml:space="preserve">Extraction of analytes was carried out in 3cc/60 mg HLB Oasis SPE cartridges (Waters). Cartridges were conditioned with 2 mL of methanol followed by 2 mL of water. A cocktail of deuterated internal standards (10 µL; Table E2) was added to 800 to 900 µL BALF sample, followed by 10 µL </w:t>
      </w:r>
      <w:r>
        <w:rPr>
          <w:lang w:val="en-US" w:eastAsia="sv-SE"/>
        </w:rPr>
        <w:t>BHT/EDTA solution (0.2 mg/ml, dissolved in methanol/water 50:50, v/v) and 900 µL extraction buffer (citric acid: 0.2 M Na</w:t>
      </w:r>
      <w:r>
        <w:rPr>
          <w:vertAlign w:val="subscript"/>
          <w:lang w:val="en-US" w:eastAsia="sv-SE"/>
        </w:rPr>
        <w:t>2</w:t>
      </w:r>
      <w:r>
        <w:rPr>
          <w:lang w:val="en-US" w:eastAsia="sv-SE"/>
        </w:rPr>
        <w:t>HPO</w:t>
      </w:r>
      <w:r>
        <w:rPr>
          <w:vertAlign w:val="subscript"/>
          <w:lang w:val="en-US" w:eastAsia="sv-SE"/>
        </w:rPr>
        <w:t>4</w:t>
      </w:r>
      <w:r>
        <w:rPr>
          <w:lang w:val="en-US" w:eastAsia="sv-SE"/>
        </w:rPr>
        <w:t xml:space="preserve">, pH5.6) </w:t>
      </w:r>
      <w:r>
        <w:rPr>
          <w:lang w:val="en-US"/>
        </w:rPr>
        <w:t>and loaded onto the SPE cartridge. Samples were washed with 2 mL of water/methanol (80:20, v/v) and the cartridges were dried in the manifold under vacuum-induced air stream at −30 kPa for 30 min. Analytes were eluted from the columns with 2.5 mL of methanol in cryotubes containing 10 µL of glycerol 30% in methanol. After evaporation of the eluates under vacuum, samples were resuspended in 60 µL of methanol. Additionally 10 µl of water was added to the samples. Solution was filtered by centrifugation in Amicon Ultrafree-MC, PVDF 0.1 µm (Millipore) and transferred to autosampler vials with inserts before injection.</w:t>
      </w:r>
    </w:p>
    <w:p w:rsidR="00896233" w:rsidRPr="002969CC" w:rsidRDefault="00896233" w:rsidP="00896233">
      <w:pPr>
        <w:autoSpaceDE w:val="0"/>
        <w:autoSpaceDN w:val="0"/>
        <w:adjustRightInd w:val="0"/>
        <w:spacing w:line="480" w:lineRule="auto"/>
        <w:jc w:val="both"/>
        <w:rPr>
          <w:lang w:val="en-US"/>
        </w:rPr>
      </w:pPr>
    </w:p>
    <w:p w:rsidR="00896233" w:rsidRPr="002969CC" w:rsidRDefault="00896233" w:rsidP="00896233">
      <w:pPr>
        <w:autoSpaceDE w:val="0"/>
        <w:autoSpaceDN w:val="0"/>
        <w:adjustRightInd w:val="0"/>
        <w:spacing w:line="480" w:lineRule="auto"/>
        <w:jc w:val="both"/>
        <w:rPr>
          <w:i/>
          <w:lang w:val="en-US"/>
        </w:rPr>
      </w:pPr>
      <w:r>
        <w:rPr>
          <w:i/>
          <w:lang w:val="en-US"/>
        </w:rPr>
        <w:t>UHLC-MS/MS measurement</w:t>
      </w:r>
    </w:p>
    <w:p w:rsidR="00896233" w:rsidRPr="002969CC" w:rsidRDefault="00896233" w:rsidP="00896233">
      <w:pPr>
        <w:autoSpaceDE w:val="0"/>
        <w:autoSpaceDN w:val="0"/>
        <w:adjustRightInd w:val="0"/>
        <w:spacing w:line="480" w:lineRule="auto"/>
        <w:jc w:val="both"/>
        <w:rPr>
          <w:lang w:val="en-US"/>
        </w:rPr>
      </w:pPr>
      <w:r>
        <w:rPr>
          <w:lang w:val="en-US"/>
        </w:rPr>
        <w:t>Liquid chromatography coupled to mass spectrometry (</w:t>
      </w:r>
      <w:bookmarkStart w:id="3" w:name="OLE_LINK33"/>
      <w:bookmarkStart w:id="4" w:name="OLE_LINK34"/>
      <w:bookmarkStart w:id="5" w:name="OLE_LINK35"/>
      <w:r>
        <w:rPr>
          <w:lang w:val="en-US"/>
        </w:rPr>
        <w:t>LC-MS/MS</w:t>
      </w:r>
      <w:bookmarkEnd w:id="3"/>
      <w:bookmarkEnd w:id="4"/>
      <w:bookmarkEnd w:id="5"/>
      <w:r>
        <w:rPr>
          <w:lang w:val="en-US"/>
        </w:rPr>
        <w:t xml:space="preserve">) separation and quantification was carried out on a UPLC Acquity-Xevo TQS mass spectrometer system (Waters, Milford, MA). The autosampler and column were kept at 5°C and 60°C, respectively. Injection volume was set to 7.5 </w:t>
      </w:r>
      <w:r>
        <w:t>μ</w:t>
      </w:r>
      <w:r>
        <w:rPr>
          <w:lang w:val="en-US"/>
        </w:rPr>
        <w:t>L. Separation was achieved with an Acquity UPLC BEH C18 (2.1 × 150 mm, 1.7 μm, Waters).</w:t>
      </w:r>
    </w:p>
    <w:p w:rsidR="00896233" w:rsidRPr="002969CC" w:rsidRDefault="00896233" w:rsidP="00896233">
      <w:pPr>
        <w:autoSpaceDE w:val="0"/>
        <w:autoSpaceDN w:val="0"/>
        <w:adjustRightInd w:val="0"/>
        <w:spacing w:line="480" w:lineRule="auto"/>
        <w:jc w:val="both"/>
        <w:rPr>
          <w:lang w:val="en-US"/>
        </w:rPr>
      </w:pPr>
      <w:r>
        <w:rPr>
          <w:lang w:val="en-US"/>
        </w:rPr>
        <w:t>For negative electrospray ionization (ESI) a gradient of solvents A (water with 0.1% of acetic acid) and B (acetonitrile/isopropanol 90:10, v/v) at a flow of 0.5 mL min</w:t>
      </w:r>
      <w:r>
        <w:rPr>
          <w:vertAlign w:val="superscript"/>
          <w:lang w:val="en-US"/>
        </w:rPr>
        <w:t>−1</w:t>
      </w:r>
      <w:r>
        <w:rPr>
          <w:lang w:val="en-US"/>
        </w:rPr>
        <w:t xml:space="preserve"> was used. The gradient initiated with 80% of A, which was decreased linearly to 65% at 2.5 min, to 60% at 4.5 min, to 58% at 6 min, </w:t>
      </w:r>
      <w:bookmarkStart w:id="6" w:name="OLE_LINK30"/>
      <w:bookmarkStart w:id="7" w:name="OLE_LINK31"/>
      <w:bookmarkStart w:id="8" w:name="OLE_LINK32"/>
      <w:r>
        <w:rPr>
          <w:lang w:val="en-US"/>
        </w:rPr>
        <w:t>to 50% at 8 min</w:t>
      </w:r>
      <w:bookmarkEnd w:id="6"/>
      <w:bookmarkEnd w:id="7"/>
      <w:bookmarkEnd w:id="8"/>
      <w:r>
        <w:rPr>
          <w:lang w:val="en-US"/>
        </w:rPr>
        <w:t xml:space="preserve">, to 35% at 14 min, to 27.5% at 15.50 min and to 0% at 16.60min. The column was then washed with solvent B for 0.9 min and equilibrated to initial conditions. For positive ESI a </w:t>
      </w:r>
      <w:r>
        <w:rPr>
          <w:lang w:val="en-US"/>
        </w:rPr>
        <w:lastRenderedPageBreak/>
        <w:t>gradient of solvents A (water with 0.2% of formic acid) and B (</w:t>
      </w:r>
      <w:bookmarkStart w:id="9" w:name="OLE_LINK88"/>
      <w:bookmarkStart w:id="10" w:name="OLE_LINK89"/>
      <w:bookmarkStart w:id="11" w:name="OLE_LINK90"/>
      <w:r>
        <w:rPr>
          <w:lang w:val="en-US"/>
        </w:rPr>
        <w:t>acetonitrile/isopropanol 90:10, v/v</w:t>
      </w:r>
      <w:bookmarkEnd w:id="9"/>
      <w:bookmarkEnd w:id="10"/>
      <w:bookmarkEnd w:id="11"/>
      <w:r>
        <w:rPr>
          <w:lang w:val="en-US"/>
        </w:rPr>
        <w:t xml:space="preserve"> + 0.2% formic acid) at a flow of 0.45 mL min</w:t>
      </w:r>
      <w:r>
        <w:rPr>
          <w:vertAlign w:val="superscript"/>
          <w:lang w:val="en-US"/>
        </w:rPr>
        <w:t>−1</w:t>
      </w:r>
      <w:r>
        <w:rPr>
          <w:lang w:val="en-US"/>
        </w:rPr>
        <w:t xml:space="preserve"> was used. The gradient initiated with 60% of A, which was decreased linearly to 50% at 4.25 min and to 5% at 4.5 min. The column was then washed with 95 % of solvent B for 3 min and equilibrated to initial conditions.</w:t>
      </w:r>
    </w:p>
    <w:p w:rsidR="00896233" w:rsidRPr="002969CC" w:rsidRDefault="00896233" w:rsidP="00896233">
      <w:pPr>
        <w:autoSpaceDE w:val="0"/>
        <w:autoSpaceDN w:val="0"/>
        <w:adjustRightInd w:val="0"/>
        <w:spacing w:line="480" w:lineRule="auto"/>
        <w:jc w:val="both"/>
        <w:rPr>
          <w:lang w:val="en-US"/>
        </w:rPr>
      </w:pPr>
    </w:p>
    <w:p w:rsidR="00896233" w:rsidRPr="002969CC" w:rsidRDefault="00896233" w:rsidP="00896233">
      <w:pPr>
        <w:autoSpaceDE w:val="0"/>
        <w:autoSpaceDN w:val="0"/>
        <w:adjustRightInd w:val="0"/>
        <w:spacing w:line="480" w:lineRule="auto"/>
        <w:jc w:val="both"/>
        <w:rPr>
          <w:lang w:val="en-US"/>
        </w:rPr>
      </w:pPr>
      <w:r>
        <w:rPr>
          <w:lang w:val="en-US"/>
        </w:rPr>
        <w:t xml:space="preserve">Data was collected on a Waters Xevo TQS-MS mass spectrometer using positive and negative electrospray ionization (ESI) and scheduled multiple </w:t>
      </w:r>
      <w:proofErr w:type="gramStart"/>
      <w:r>
        <w:rPr>
          <w:lang w:val="en-US"/>
        </w:rPr>
        <w:t>reaction</w:t>
      </w:r>
      <w:proofErr w:type="gramEnd"/>
      <w:r>
        <w:rPr>
          <w:lang w:val="en-US"/>
        </w:rPr>
        <w:t xml:space="preserve"> monitoring (MRM) mode. Dwell time was automatically adjusted in order to acquire 20 points per chromatographic peak; capillary voltage was 2.20 kV in positive and negative ESI. Desolvation temperature and gas flow were set according to the instrument recommendations for the chromatographic flow. Detailed MRM transition and chromatographic retention time for each compound is provided in Table E3.</w:t>
      </w:r>
    </w:p>
    <w:p w:rsidR="00896233" w:rsidRPr="002969CC" w:rsidRDefault="00896233" w:rsidP="00896233">
      <w:pPr>
        <w:spacing w:line="480" w:lineRule="auto"/>
        <w:ind w:firstLine="284"/>
        <w:jc w:val="both"/>
        <w:rPr>
          <w:b/>
          <w:lang w:val="en-US"/>
        </w:rPr>
      </w:pPr>
    </w:p>
    <w:p w:rsidR="00896233" w:rsidRPr="002969CC" w:rsidRDefault="00896233" w:rsidP="00896233">
      <w:pPr>
        <w:spacing w:line="480" w:lineRule="auto"/>
        <w:ind w:firstLine="284"/>
        <w:jc w:val="both"/>
        <w:rPr>
          <w:b/>
          <w:lang w:val="en-US"/>
        </w:rPr>
      </w:pPr>
    </w:p>
    <w:p w:rsidR="00896233" w:rsidRPr="002969CC" w:rsidRDefault="00896233" w:rsidP="00896233">
      <w:pPr>
        <w:spacing w:line="480" w:lineRule="auto"/>
        <w:ind w:firstLine="284"/>
        <w:jc w:val="both"/>
        <w:rPr>
          <w:b/>
          <w:lang w:val="en-US"/>
        </w:rPr>
      </w:pPr>
    </w:p>
    <w:p w:rsidR="00492564" w:rsidRDefault="00492564"/>
    <w:sectPr w:rsidR="00492564" w:rsidSect="004925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grammar="clean"/>
  <w:defaultTabStop w:val="720"/>
  <w:characterSpacingControl w:val="doNotCompress"/>
  <w:compat/>
  <w:docVars>
    <w:docVar w:name="SPSBackup" w:val="0"/>
  </w:docVars>
  <w:rsids>
    <w:rsidRoot w:val="00896233"/>
    <w:rsid w:val="00000F0C"/>
    <w:rsid w:val="00007800"/>
    <w:rsid w:val="000526C4"/>
    <w:rsid w:val="000635BA"/>
    <w:rsid w:val="00064F97"/>
    <w:rsid w:val="000854DC"/>
    <w:rsid w:val="00085C49"/>
    <w:rsid w:val="000A781C"/>
    <w:rsid w:val="000B137E"/>
    <w:rsid w:val="000C7D13"/>
    <w:rsid w:val="000D4691"/>
    <w:rsid w:val="000D62F1"/>
    <w:rsid w:val="0010557E"/>
    <w:rsid w:val="00126E20"/>
    <w:rsid w:val="0013292F"/>
    <w:rsid w:val="00137BD4"/>
    <w:rsid w:val="00145797"/>
    <w:rsid w:val="00145BCF"/>
    <w:rsid w:val="00165409"/>
    <w:rsid w:val="00166508"/>
    <w:rsid w:val="001672C3"/>
    <w:rsid w:val="001702DC"/>
    <w:rsid w:val="001A1942"/>
    <w:rsid w:val="001C5A2F"/>
    <w:rsid w:val="001C6890"/>
    <w:rsid w:val="001D3797"/>
    <w:rsid w:val="001E40F1"/>
    <w:rsid w:val="002036B1"/>
    <w:rsid w:val="002050E1"/>
    <w:rsid w:val="00217670"/>
    <w:rsid w:val="0022020C"/>
    <w:rsid w:val="002206BC"/>
    <w:rsid w:val="00221468"/>
    <w:rsid w:val="00221DB4"/>
    <w:rsid w:val="0022423B"/>
    <w:rsid w:val="00236BC6"/>
    <w:rsid w:val="00270793"/>
    <w:rsid w:val="0027424D"/>
    <w:rsid w:val="00291260"/>
    <w:rsid w:val="002B1632"/>
    <w:rsid w:val="002B499E"/>
    <w:rsid w:val="002C4E9D"/>
    <w:rsid w:val="002D5570"/>
    <w:rsid w:val="002D657C"/>
    <w:rsid w:val="002F3ED1"/>
    <w:rsid w:val="002F4E5E"/>
    <w:rsid w:val="00305E43"/>
    <w:rsid w:val="003063EE"/>
    <w:rsid w:val="00313DA2"/>
    <w:rsid w:val="00317748"/>
    <w:rsid w:val="00326AE8"/>
    <w:rsid w:val="00341871"/>
    <w:rsid w:val="00354081"/>
    <w:rsid w:val="00363688"/>
    <w:rsid w:val="0037001E"/>
    <w:rsid w:val="00374707"/>
    <w:rsid w:val="00393204"/>
    <w:rsid w:val="0039747D"/>
    <w:rsid w:val="003A5D3A"/>
    <w:rsid w:val="003B07BF"/>
    <w:rsid w:val="003B1772"/>
    <w:rsid w:val="003B722F"/>
    <w:rsid w:val="003C0B67"/>
    <w:rsid w:val="003C4F50"/>
    <w:rsid w:val="003F51C5"/>
    <w:rsid w:val="00441748"/>
    <w:rsid w:val="00492564"/>
    <w:rsid w:val="004A1FB0"/>
    <w:rsid w:val="004E2852"/>
    <w:rsid w:val="004F55A9"/>
    <w:rsid w:val="004F6AFF"/>
    <w:rsid w:val="0050275A"/>
    <w:rsid w:val="00502913"/>
    <w:rsid w:val="005053DC"/>
    <w:rsid w:val="00525843"/>
    <w:rsid w:val="00530442"/>
    <w:rsid w:val="005355DF"/>
    <w:rsid w:val="0056611B"/>
    <w:rsid w:val="00582471"/>
    <w:rsid w:val="00584F62"/>
    <w:rsid w:val="005A374F"/>
    <w:rsid w:val="005C301A"/>
    <w:rsid w:val="005D08F4"/>
    <w:rsid w:val="005E67E8"/>
    <w:rsid w:val="00621B84"/>
    <w:rsid w:val="006338B8"/>
    <w:rsid w:val="006338E1"/>
    <w:rsid w:val="00633C22"/>
    <w:rsid w:val="0064042E"/>
    <w:rsid w:val="00655EA8"/>
    <w:rsid w:val="00660B6D"/>
    <w:rsid w:val="006711C7"/>
    <w:rsid w:val="006926FA"/>
    <w:rsid w:val="006934E4"/>
    <w:rsid w:val="006954DB"/>
    <w:rsid w:val="006A024E"/>
    <w:rsid w:val="006A1D45"/>
    <w:rsid w:val="006C3B4E"/>
    <w:rsid w:val="006C3DF4"/>
    <w:rsid w:val="006E23BA"/>
    <w:rsid w:val="006E4692"/>
    <w:rsid w:val="006F1399"/>
    <w:rsid w:val="006F6626"/>
    <w:rsid w:val="00703D5C"/>
    <w:rsid w:val="00705746"/>
    <w:rsid w:val="00707C64"/>
    <w:rsid w:val="00746078"/>
    <w:rsid w:val="007507BC"/>
    <w:rsid w:val="00775F9A"/>
    <w:rsid w:val="007773CE"/>
    <w:rsid w:val="00785BD5"/>
    <w:rsid w:val="00787A6E"/>
    <w:rsid w:val="00790DF3"/>
    <w:rsid w:val="00791617"/>
    <w:rsid w:val="00795683"/>
    <w:rsid w:val="007D1367"/>
    <w:rsid w:val="007D64AB"/>
    <w:rsid w:val="007E2735"/>
    <w:rsid w:val="007E73C0"/>
    <w:rsid w:val="007F295D"/>
    <w:rsid w:val="00800F60"/>
    <w:rsid w:val="00804B40"/>
    <w:rsid w:val="00805555"/>
    <w:rsid w:val="00816E76"/>
    <w:rsid w:val="008207DE"/>
    <w:rsid w:val="008266D7"/>
    <w:rsid w:val="00852585"/>
    <w:rsid w:val="00880726"/>
    <w:rsid w:val="008949A0"/>
    <w:rsid w:val="00896233"/>
    <w:rsid w:val="008A097E"/>
    <w:rsid w:val="008A163D"/>
    <w:rsid w:val="008A7464"/>
    <w:rsid w:val="008C22AF"/>
    <w:rsid w:val="008C4E22"/>
    <w:rsid w:val="008C6AF7"/>
    <w:rsid w:val="008E4DFF"/>
    <w:rsid w:val="008E6059"/>
    <w:rsid w:val="008E707D"/>
    <w:rsid w:val="008F0911"/>
    <w:rsid w:val="008F1D63"/>
    <w:rsid w:val="00900FDD"/>
    <w:rsid w:val="00910E5A"/>
    <w:rsid w:val="00911A65"/>
    <w:rsid w:val="00915678"/>
    <w:rsid w:val="009158AE"/>
    <w:rsid w:val="009170E0"/>
    <w:rsid w:val="0093636C"/>
    <w:rsid w:val="00941341"/>
    <w:rsid w:val="009470B1"/>
    <w:rsid w:val="009838E1"/>
    <w:rsid w:val="009902AD"/>
    <w:rsid w:val="00991ABF"/>
    <w:rsid w:val="009A393F"/>
    <w:rsid w:val="009C2FAD"/>
    <w:rsid w:val="009D7F96"/>
    <w:rsid w:val="009E0BAB"/>
    <w:rsid w:val="00A02860"/>
    <w:rsid w:val="00A1000F"/>
    <w:rsid w:val="00A20122"/>
    <w:rsid w:val="00A32F24"/>
    <w:rsid w:val="00A33C19"/>
    <w:rsid w:val="00A40F50"/>
    <w:rsid w:val="00A5142C"/>
    <w:rsid w:val="00A640CF"/>
    <w:rsid w:val="00A70476"/>
    <w:rsid w:val="00AB7A2E"/>
    <w:rsid w:val="00AC7BAC"/>
    <w:rsid w:val="00AF352B"/>
    <w:rsid w:val="00AF482F"/>
    <w:rsid w:val="00AF4CDE"/>
    <w:rsid w:val="00B141F6"/>
    <w:rsid w:val="00B170A9"/>
    <w:rsid w:val="00B441D9"/>
    <w:rsid w:val="00B469A0"/>
    <w:rsid w:val="00B545AD"/>
    <w:rsid w:val="00B56B6A"/>
    <w:rsid w:val="00B57700"/>
    <w:rsid w:val="00B713DC"/>
    <w:rsid w:val="00BB0054"/>
    <w:rsid w:val="00BB12B3"/>
    <w:rsid w:val="00BB57C1"/>
    <w:rsid w:val="00BC2EE4"/>
    <w:rsid w:val="00BC783F"/>
    <w:rsid w:val="00BE6E6C"/>
    <w:rsid w:val="00C44F78"/>
    <w:rsid w:val="00C50635"/>
    <w:rsid w:val="00C57E66"/>
    <w:rsid w:val="00C71F38"/>
    <w:rsid w:val="00C82CD2"/>
    <w:rsid w:val="00C925B1"/>
    <w:rsid w:val="00C97A6E"/>
    <w:rsid w:val="00CB49C7"/>
    <w:rsid w:val="00CB51CC"/>
    <w:rsid w:val="00CB5CC0"/>
    <w:rsid w:val="00CB757F"/>
    <w:rsid w:val="00CB7633"/>
    <w:rsid w:val="00CD01AF"/>
    <w:rsid w:val="00D03096"/>
    <w:rsid w:val="00D0500C"/>
    <w:rsid w:val="00D06932"/>
    <w:rsid w:val="00D32846"/>
    <w:rsid w:val="00D53496"/>
    <w:rsid w:val="00D57D38"/>
    <w:rsid w:val="00D66A9F"/>
    <w:rsid w:val="00D95E6B"/>
    <w:rsid w:val="00DB427F"/>
    <w:rsid w:val="00DB5370"/>
    <w:rsid w:val="00DC52BF"/>
    <w:rsid w:val="00DC57E0"/>
    <w:rsid w:val="00DE7914"/>
    <w:rsid w:val="00DF7682"/>
    <w:rsid w:val="00DF7E75"/>
    <w:rsid w:val="00E061D5"/>
    <w:rsid w:val="00E06D75"/>
    <w:rsid w:val="00E335BD"/>
    <w:rsid w:val="00E35D6E"/>
    <w:rsid w:val="00E41DB5"/>
    <w:rsid w:val="00E535E4"/>
    <w:rsid w:val="00E55ACE"/>
    <w:rsid w:val="00E83F18"/>
    <w:rsid w:val="00E93140"/>
    <w:rsid w:val="00E94D37"/>
    <w:rsid w:val="00EA11A6"/>
    <w:rsid w:val="00EA7E64"/>
    <w:rsid w:val="00EB3E54"/>
    <w:rsid w:val="00EC09C3"/>
    <w:rsid w:val="00ED6F32"/>
    <w:rsid w:val="00EE2E42"/>
    <w:rsid w:val="00EF2BC8"/>
    <w:rsid w:val="00F032F3"/>
    <w:rsid w:val="00F20941"/>
    <w:rsid w:val="00F2796E"/>
    <w:rsid w:val="00F312A4"/>
    <w:rsid w:val="00F41C66"/>
    <w:rsid w:val="00F604D7"/>
    <w:rsid w:val="00F60D22"/>
    <w:rsid w:val="00F67083"/>
    <w:rsid w:val="00F73BEC"/>
    <w:rsid w:val="00F75F2E"/>
    <w:rsid w:val="00F86631"/>
    <w:rsid w:val="00F86D96"/>
    <w:rsid w:val="00FC06E5"/>
    <w:rsid w:val="00FE25F1"/>
    <w:rsid w:val="00FE64B8"/>
    <w:rsid w:val="00FE7E2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5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47D"/>
    <w:rPr>
      <w:rFonts w:ascii="Tahoma" w:hAnsi="Tahoma" w:cs="Tahoma"/>
      <w:sz w:val="16"/>
      <w:szCs w:val="16"/>
    </w:rPr>
  </w:style>
  <w:style w:type="paragraph" w:styleId="ListParagraph">
    <w:name w:val="List Paragraph"/>
    <w:basedOn w:val="Normal"/>
    <w:uiPriority w:val="34"/>
    <w:qFormat/>
    <w:rsid w:val="00896233"/>
    <w:pPr>
      <w:ind w:left="720"/>
      <w:contextualSpacing/>
    </w:pPr>
    <w:rPr>
      <w:rFonts w:ascii="Calibri" w:eastAsia="Calibri" w:hAnsi="Calibri" w:cs="Times New Roman"/>
      <w:lang w:val="de-AT"/>
    </w:rPr>
  </w:style>
  <w:style w:type="paragraph" w:customStyle="1" w:styleId="EndNoteBibliography">
    <w:name w:val="EndNote Bibliography"/>
    <w:basedOn w:val="Normal"/>
    <w:rsid w:val="00896233"/>
    <w:pPr>
      <w:spacing w:after="0" w:line="240" w:lineRule="auto"/>
    </w:pPr>
    <w:rPr>
      <w:rFonts w:ascii="Calibri" w:eastAsia="Calibri" w:hAnsi="Calibri" w:cs="Times New Roman"/>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6161</Words>
  <Characters>35120</Characters>
  <Application>Microsoft Office Word</Application>
  <DocSecurity>0</DocSecurity>
  <Lines>292</Lines>
  <Paragraphs>82</Paragraphs>
  <ScaleCrop>false</ScaleCrop>
  <Company>Microsoft</Company>
  <LinksUpToDate>false</LinksUpToDate>
  <CharactersWithSpaces>41199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0010534</dc:creator>
  <cp:keywords/>
  <dc:description/>
  <cp:lastModifiedBy> 0010534</cp:lastModifiedBy>
  <cp:revision>18</cp:revision>
  <dcterms:created xsi:type="dcterms:W3CDTF">2016-02-11T09:35:00Z</dcterms:created>
  <dcterms:modified xsi:type="dcterms:W3CDTF">2016-02-11T10:24:00Z</dcterms:modified>
</cp:coreProperties>
</file>