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44A1" w:rsidRDefault="009A1E96">
      <w:pPr>
        <w:spacing w:after="100" w:line="259" w:lineRule="auto"/>
        <w:ind w:left="-5"/>
        <w:jc w:val="left"/>
      </w:pPr>
      <w:r>
        <w:rPr>
          <w:b/>
          <w:sz w:val="28"/>
        </w:rPr>
        <w:t xml:space="preserve">Supplementary Results </w:t>
      </w:r>
    </w:p>
    <w:p w:rsidR="006244A1" w:rsidRDefault="009A1E96">
      <w:pPr>
        <w:spacing w:after="175" w:line="259" w:lineRule="auto"/>
        <w:ind w:left="0" w:firstLine="0"/>
        <w:jc w:val="left"/>
      </w:pPr>
      <w:r>
        <w:rPr>
          <w:sz w:val="22"/>
        </w:rPr>
        <w:t xml:space="preserve"> </w:t>
      </w:r>
    </w:p>
    <w:p w:rsidR="006244A1" w:rsidRDefault="009A1E96">
      <w:pPr>
        <w:spacing w:line="255" w:lineRule="auto"/>
        <w:ind w:left="-5"/>
      </w:pPr>
      <w:r>
        <w:rPr>
          <w:b/>
        </w:rPr>
        <w:t xml:space="preserve">Figure S1. </w:t>
      </w:r>
      <w:r>
        <w:t xml:space="preserve">Cell death with increasing concentration of CAN, synthetic CBG, 3704 or CAN fractions. </w:t>
      </w:r>
    </w:p>
    <w:p w:rsidR="006244A1" w:rsidRDefault="009A1E96">
      <w:pPr>
        <w:spacing w:line="255" w:lineRule="auto"/>
        <w:ind w:left="-5"/>
      </w:pPr>
      <w:r>
        <w:rPr>
          <w:b/>
        </w:rPr>
        <w:t xml:space="preserve">Figure S2. </w:t>
      </w:r>
      <w:r>
        <w:t>Intracellular expression of Arg-1 in alternatively activated macrophages and BMMDSCs.</w:t>
      </w:r>
      <w:r>
        <w:rPr>
          <w:b/>
        </w:rPr>
        <w:t xml:space="preserve"> </w:t>
      </w:r>
    </w:p>
    <w:p w:rsidR="006244A1" w:rsidRDefault="009A1E96">
      <w:pPr>
        <w:spacing w:line="259" w:lineRule="auto"/>
        <w:ind w:left="-5"/>
      </w:pPr>
      <w:r>
        <w:rPr>
          <w:b/>
        </w:rPr>
        <w:t xml:space="preserve">Figure S3. </w:t>
      </w:r>
      <w:proofErr w:type="spellStart"/>
      <w:r>
        <w:t>iNOS</w:t>
      </w:r>
      <w:proofErr w:type="spellEnd"/>
      <w:r>
        <w:t xml:space="preserve"> expression in directly treated BM-MDSCs.</w:t>
      </w:r>
      <w:r>
        <w:rPr>
          <w:b/>
        </w:rPr>
        <w:t xml:space="preserve"> </w:t>
      </w:r>
    </w:p>
    <w:p w:rsidR="006244A1" w:rsidRDefault="009A1E96">
      <w:pPr>
        <w:spacing w:line="255" w:lineRule="auto"/>
        <w:ind w:left="-5"/>
      </w:pPr>
      <w:r>
        <w:rPr>
          <w:b/>
        </w:rPr>
        <w:t xml:space="preserve">Figure S4. </w:t>
      </w:r>
      <w:r>
        <w:t xml:space="preserve">Intracellular expression of </w:t>
      </w:r>
      <w:proofErr w:type="spellStart"/>
      <w:r>
        <w:t>GrzB</w:t>
      </w:r>
      <w:proofErr w:type="spellEnd"/>
      <w:r>
        <w:t xml:space="preserve"> in CD8+ T-cells co-cultured with MO-MDSCs or PMN-MDSCs.</w:t>
      </w:r>
      <w:r>
        <w:rPr>
          <w:b/>
        </w:rPr>
        <w:t xml:space="preserve"> </w:t>
      </w:r>
    </w:p>
    <w:p w:rsidR="006244A1" w:rsidRDefault="009A1E96">
      <w:pPr>
        <w:spacing w:line="255" w:lineRule="auto"/>
        <w:ind w:left="-5"/>
      </w:pPr>
      <w:r>
        <w:rPr>
          <w:b/>
        </w:rPr>
        <w:t xml:space="preserve">Figure S5. </w:t>
      </w:r>
      <w:r>
        <w:rPr>
          <w:i/>
        </w:rPr>
        <w:t>In-vivo</w:t>
      </w:r>
      <w:r>
        <w:t xml:space="preserve"> experimental design and gating strategy of myeloid cells and CD8+ T-cell subpopulations from B16F10 tumors and spleens.</w:t>
      </w:r>
      <w:r>
        <w:rPr>
          <w:b/>
        </w:rPr>
        <w:t xml:space="preserve"> </w:t>
      </w:r>
      <w:r>
        <w:br w:type="page"/>
      </w:r>
    </w:p>
    <w:p w:rsidR="006244A1" w:rsidRDefault="009A1E96">
      <w:pPr>
        <w:spacing w:after="20" w:line="259" w:lineRule="auto"/>
        <w:ind w:left="-464" w:right="-752" w:firstLine="0"/>
        <w:jc w:val="left"/>
      </w:pPr>
      <w:r>
        <w:rPr>
          <w:noProof/>
        </w:rPr>
        <w:lastRenderedPageBreak/>
        <w:drawing>
          <wp:inline distT="0" distB="0" distL="0" distR="0">
            <wp:extent cx="6748781" cy="5785485"/>
            <wp:effectExtent l="0" t="0" r="0" b="0"/>
            <wp:docPr id="73" name="Picture 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48781" cy="5785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4A1" w:rsidRDefault="009A1E96">
      <w:pPr>
        <w:spacing w:after="0" w:line="323" w:lineRule="auto"/>
        <w:ind w:left="0" w:right="5" w:firstLine="0"/>
      </w:pPr>
      <w:r>
        <w:rPr>
          <w:b/>
        </w:rPr>
        <w:t xml:space="preserve">Supplementary Table 1: </w:t>
      </w:r>
      <w:proofErr w:type="spellStart"/>
      <w:r>
        <w:rPr>
          <w:b/>
        </w:rPr>
        <w:t>Phytocannabinoid</w:t>
      </w:r>
      <w:proofErr w:type="spellEnd"/>
      <w:r>
        <w:rPr>
          <w:b/>
        </w:rPr>
        <w:t xml:space="preserve"> profile of CAN, CAN fractions and 3704 (percent weight per weight) as measured by semi-preparative HPLC/UV</w:t>
      </w:r>
      <w:r>
        <w:t xml:space="preserve"> *</w:t>
      </w:r>
      <w:proofErr w:type="spellStart"/>
      <w:proofErr w:type="gramStart"/>
      <w:r>
        <w:t>n.a</w:t>
      </w:r>
      <w:proofErr w:type="spellEnd"/>
      <w:proofErr w:type="gramEnd"/>
      <w:r>
        <w:t xml:space="preserve"> = not available; limit of detection: 0.02% or 1 µg/ml. </w:t>
      </w:r>
    </w:p>
    <w:p w:rsidR="006244A1" w:rsidRDefault="009A1E96">
      <w:pPr>
        <w:spacing w:after="0" w:line="259" w:lineRule="auto"/>
        <w:ind w:left="0" w:firstLine="0"/>
        <w:jc w:val="left"/>
      </w:pPr>
      <w:r>
        <w:rPr>
          <w:b/>
          <w:sz w:val="22"/>
        </w:rPr>
        <w:t xml:space="preserve"> </w:t>
      </w:r>
    </w:p>
    <w:p w:rsidR="006244A1" w:rsidRDefault="009A1E96">
      <w:pPr>
        <w:spacing w:after="8" w:line="259" w:lineRule="auto"/>
        <w:ind w:left="-84" w:firstLine="0"/>
        <w:jc w:val="left"/>
      </w:pPr>
      <w:r>
        <w:rPr>
          <w:noProof/>
        </w:rPr>
        <w:lastRenderedPageBreak/>
        <w:drawing>
          <wp:inline distT="0" distB="0" distL="0" distR="0">
            <wp:extent cx="5968365" cy="2974975"/>
            <wp:effectExtent l="0" t="0" r="0" b="0"/>
            <wp:docPr id="144" name="Picture 1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Picture 14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68365" cy="297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4A1" w:rsidRDefault="009A1E96">
      <w:pPr>
        <w:spacing w:after="149" w:line="263" w:lineRule="auto"/>
        <w:ind w:left="-5" w:right="-12"/>
      </w:pPr>
      <w:r>
        <w:rPr>
          <w:b/>
          <w:sz w:val="22"/>
        </w:rPr>
        <w:t xml:space="preserve">Supplementary Fig. 1. Cell death with increasing concentration of CAN, synthetic CBG, 3704 or CAN fractions. </w:t>
      </w:r>
      <w:r>
        <w:rPr>
          <w:sz w:val="22"/>
        </w:rPr>
        <w:t>(</w:t>
      </w:r>
      <w:r>
        <w:rPr>
          <w:b/>
          <w:sz w:val="22"/>
        </w:rPr>
        <w:t>A-B</w:t>
      </w:r>
      <w:r>
        <w:rPr>
          <w:sz w:val="22"/>
        </w:rPr>
        <w:t>) Cell death percentage of (</w:t>
      </w:r>
      <w:r>
        <w:rPr>
          <w:b/>
          <w:sz w:val="22"/>
        </w:rPr>
        <w:t>A</w:t>
      </w:r>
      <w:r>
        <w:rPr>
          <w:sz w:val="22"/>
        </w:rPr>
        <w:t>) A375 and (</w:t>
      </w:r>
      <w:r>
        <w:rPr>
          <w:b/>
          <w:sz w:val="22"/>
        </w:rPr>
        <w:t>B</w:t>
      </w:r>
      <w:r>
        <w:rPr>
          <w:sz w:val="22"/>
        </w:rPr>
        <w:t>) B16F10 cells after 24 hours with the indicated treatments. Cells were stained with Fixable viability Dye and cell death percentage was measured using flow cytometry</w:t>
      </w:r>
      <w:r>
        <w:t xml:space="preserve">. </w:t>
      </w:r>
    </w:p>
    <w:p w:rsidR="006244A1" w:rsidRDefault="009A1E96">
      <w:pPr>
        <w:spacing w:after="5" w:line="259" w:lineRule="auto"/>
        <w:ind w:left="485" w:firstLine="0"/>
        <w:jc w:val="left"/>
      </w:pPr>
      <w:r>
        <w:rPr>
          <w:noProof/>
        </w:rPr>
        <w:drawing>
          <wp:inline distT="0" distB="0" distL="0" distR="0">
            <wp:extent cx="5325110" cy="2639060"/>
            <wp:effectExtent l="0" t="0" r="0" b="0"/>
            <wp:docPr id="145" name="Picture 1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Picture 14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25110" cy="263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4A1" w:rsidRDefault="009A1E96">
      <w:pPr>
        <w:spacing w:after="146" w:line="259" w:lineRule="auto"/>
        <w:ind w:left="0" w:firstLine="0"/>
        <w:jc w:val="left"/>
      </w:pPr>
      <w:r>
        <w:t xml:space="preserve"> </w:t>
      </w:r>
    </w:p>
    <w:p w:rsidR="006244A1" w:rsidRDefault="009A1E96">
      <w:pPr>
        <w:spacing w:after="3" w:line="263" w:lineRule="auto"/>
        <w:ind w:left="-5" w:right="-12"/>
      </w:pPr>
      <w:r>
        <w:rPr>
          <w:b/>
          <w:sz w:val="22"/>
        </w:rPr>
        <w:t>Supplementary Figure 2. Intracellular expression of Arg-1 in alternatively activated macrophages and BM-MDSCs.</w:t>
      </w:r>
      <w:r>
        <w:t xml:space="preserve"> </w:t>
      </w:r>
      <w:r>
        <w:rPr>
          <w:sz w:val="22"/>
        </w:rPr>
        <w:t>(</w:t>
      </w:r>
      <w:r>
        <w:rPr>
          <w:b/>
          <w:sz w:val="22"/>
        </w:rPr>
        <w:t>A</w:t>
      </w:r>
      <w:r>
        <w:rPr>
          <w:sz w:val="22"/>
        </w:rPr>
        <w:t>) Percent of Arg-1 expression by alternatively activated macrophages. The cells were stained for the extracellular markers Ly6C, Ly6G and F4/80 and the intracellular marker Arg-1 48 hours posttreatment. (</w:t>
      </w:r>
      <w:r>
        <w:rPr>
          <w:b/>
          <w:sz w:val="22"/>
        </w:rPr>
        <w:t>B-C</w:t>
      </w:r>
      <w:r>
        <w:rPr>
          <w:sz w:val="22"/>
        </w:rPr>
        <w:t>) Percent of Arg-1 expression (n=2-4) by MO-MDSCs (</w:t>
      </w:r>
      <w:r>
        <w:rPr>
          <w:b/>
          <w:sz w:val="22"/>
        </w:rPr>
        <w:t>B</w:t>
      </w:r>
      <w:r>
        <w:rPr>
          <w:sz w:val="22"/>
        </w:rPr>
        <w:t>) or PMN-MDSCs (</w:t>
      </w:r>
      <w:r>
        <w:rPr>
          <w:b/>
          <w:sz w:val="22"/>
        </w:rPr>
        <w:t>C</w:t>
      </w:r>
      <w:r>
        <w:rPr>
          <w:sz w:val="22"/>
        </w:rPr>
        <w:t xml:space="preserve">). The cells were stained with the extracellular markers Ly6C, Ly6G and the intracellular marker Arg-1 and staining was measured using flow cytometry. Results are shown as mean ±SEM and statistically analyzed with one-way ANOVA (NS – non-significant). </w:t>
      </w:r>
    </w:p>
    <w:p w:rsidR="006244A1" w:rsidRDefault="009A1E96">
      <w:pPr>
        <w:spacing w:after="4" w:line="259" w:lineRule="auto"/>
        <w:ind w:left="1857" w:firstLine="0"/>
        <w:jc w:val="left"/>
      </w:pPr>
      <w:r>
        <w:rPr>
          <w:noProof/>
        </w:rPr>
        <w:lastRenderedPageBreak/>
        <w:drawing>
          <wp:inline distT="0" distB="0" distL="0" distR="0">
            <wp:extent cx="3797935" cy="2390140"/>
            <wp:effectExtent l="0" t="0" r="0" b="0"/>
            <wp:docPr id="264" name="Picture 2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Picture 26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97935" cy="2390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4A1" w:rsidRDefault="009A1E96">
      <w:pPr>
        <w:spacing w:after="3" w:line="263" w:lineRule="auto"/>
        <w:ind w:left="-5" w:right="-12"/>
      </w:pPr>
      <w:r>
        <w:rPr>
          <w:b/>
          <w:sz w:val="22"/>
        </w:rPr>
        <w:t xml:space="preserve">Supplementary Figure 3. </w:t>
      </w:r>
      <w:proofErr w:type="spellStart"/>
      <w:r>
        <w:rPr>
          <w:b/>
          <w:sz w:val="22"/>
        </w:rPr>
        <w:t>iNOS</w:t>
      </w:r>
      <w:proofErr w:type="spellEnd"/>
      <w:r>
        <w:rPr>
          <w:b/>
          <w:sz w:val="22"/>
        </w:rPr>
        <w:t xml:space="preserve"> expression is unchanged in directly treated BM-MDSCs.</w:t>
      </w:r>
      <w:r>
        <w:rPr>
          <w:sz w:val="22"/>
        </w:rPr>
        <w:t xml:space="preserve"> (</w:t>
      </w:r>
      <w:r>
        <w:rPr>
          <w:b/>
          <w:sz w:val="22"/>
        </w:rPr>
        <w:t>A-B</w:t>
      </w:r>
      <w:r>
        <w:rPr>
          <w:sz w:val="22"/>
        </w:rPr>
        <w:t xml:space="preserve">) Percent of </w:t>
      </w:r>
      <w:proofErr w:type="spellStart"/>
      <w:r>
        <w:rPr>
          <w:sz w:val="22"/>
        </w:rPr>
        <w:t>iNOS</w:t>
      </w:r>
      <w:proofErr w:type="spellEnd"/>
      <w:r>
        <w:rPr>
          <w:sz w:val="22"/>
        </w:rPr>
        <w:t xml:space="preserve"> expression (n=4) by MO-MDSC (</w:t>
      </w:r>
      <w:r>
        <w:rPr>
          <w:b/>
          <w:sz w:val="22"/>
        </w:rPr>
        <w:t>A</w:t>
      </w:r>
      <w:r>
        <w:rPr>
          <w:sz w:val="22"/>
        </w:rPr>
        <w:t>) and PMN-MDSC (</w:t>
      </w:r>
      <w:r>
        <w:rPr>
          <w:b/>
          <w:sz w:val="22"/>
        </w:rPr>
        <w:t>B</w:t>
      </w:r>
      <w:r>
        <w:rPr>
          <w:sz w:val="22"/>
        </w:rPr>
        <w:t xml:space="preserve">). BM-MDSCs were generated as described and on day 4 medium from untreated B16F10 was added to cells together with either DMSO, 2 µg/ml CBG or 6 µg/ml 3704 for 24 hours. Cells were stained with FVD for the exclusion of dead cells, and with the extracellular markers Ly6C, Ly6G and the intracellular marker </w:t>
      </w:r>
      <w:proofErr w:type="spellStart"/>
      <w:r>
        <w:rPr>
          <w:sz w:val="22"/>
        </w:rPr>
        <w:t>iNOS</w:t>
      </w:r>
      <w:proofErr w:type="spellEnd"/>
      <w:r>
        <w:rPr>
          <w:sz w:val="22"/>
        </w:rPr>
        <w:t xml:space="preserve">. Staining was measured using flow cytometry. Results are shown as ±SEM and statistically analyzed with one-way ANOVA (NS – nonsignificant). </w:t>
      </w:r>
      <w:r>
        <w:t xml:space="preserve"> </w:t>
      </w:r>
    </w:p>
    <w:p w:rsidR="006244A1" w:rsidRDefault="009A1E96">
      <w:pPr>
        <w:spacing w:after="8" w:line="259" w:lineRule="auto"/>
        <w:ind w:left="1544" w:firstLine="0"/>
        <w:jc w:val="left"/>
      </w:pPr>
      <w:r>
        <w:rPr>
          <w:noProof/>
        </w:rPr>
        <w:drawing>
          <wp:inline distT="0" distB="0" distL="0" distR="0">
            <wp:extent cx="4261485" cy="2926080"/>
            <wp:effectExtent l="0" t="0" r="0" b="0"/>
            <wp:docPr id="265" name="Picture 2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" name="Picture 26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61485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4A1" w:rsidRDefault="009A1E96">
      <w:pPr>
        <w:pStyle w:val="Heading1"/>
      </w:pPr>
      <w:r>
        <w:t xml:space="preserve">Supplementary Figure 4. Intracellular expression of </w:t>
      </w:r>
      <w:proofErr w:type="spellStart"/>
      <w:r>
        <w:t>GrzB</w:t>
      </w:r>
      <w:proofErr w:type="spellEnd"/>
      <w:r>
        <w:t xml:space="preserve"> in CD8+ T-cells co-cultured with MO-</w:t>
      </w:r>
    </w:p>
    <w:p w:rsidR="006244A1" w:rsidRDefault="009A1E96">
      <w:pPr>
        <w:spacing w:after="3" w:line="263" w:lineRule="auto"/>
        <w:ind w:left="-5" w:right="-12"/>
      </w:pPr>
      <w:r>
        <w:rPr>
          <w:b/>
          <w:sz w:val="22"/>
        </w:rPr>
        <w:t>MDSCs or PMN-MDSCs.</w:t>
      </w:r>
      <w:r>
        <w:rPr>
          <w:sz w:val="22"/>
        </w:rPr>
        <w:t xml:space="preserve"> (</w:t>
      </w:r>
      <w:r>
        <w:rPr>
          <w:b/>
          <w:sz w:val="22"/>
        </w:rPr>
        <w:t>A-B</w:t>
      </w:r>
      <w:r>
        <w:rPr>
          <w:sz w:val="22"/>
        </w:rPr>
        <w:t xml:space="preserve">) Percent of </w:t>
      </w:r>
      <w:proofErr w:type="spellStart"/>
      <w:r>
        <w:rPr>
          <w:sz w:val="22"/>
        </w:rPr>
        <w:t>GrzB</w:t>
      </w:r>
      <w:proofErr w:type="spellEnd"/>
      <w:r>
        <w:rPr>
          <w:sz w:val="22"/>
        </w:rPr>
        <w:t xml:space="preserve"> expression in CD8+ T-cells co-cultured with (</w:t>
      </w:r>
      <w:r>
        <w:rPr>
          <w:b/>
          <w:sz w:val="22"/>
        </w:rPr>
        <w:t>A</w:t>
      </w:r>
      <w:r>
        <w:rPr>
          <w:sz w:val="22"/>
        </w:rPr>
        <w:t>) MOMDSCs or (</w:t>
      </w:r>
      <w:r>
        <w:rPr>
          <w:b/>
          <w:sz w:val="22"/>
        </w:rPr>
        <w:t>B</w:t>
      </w:r>
      <w:r>
        <w:rPr>
          <w:sz w:val="22"/>
        </w:rPr>
        <w:t xml:space="preserve">) PMN-MDSCs. The cells were stained with the extracellular markers CD8 and the intracellular marker </w:t>
      </w:r>
      <w:proofErr w:type="spellStart"/>
      <w:r>
        <w:rPr>
          <w:sz w:val="22"/>
        </w:rPr>
        <w:t>GrzB</w:t>
      </w:r>
      <w:proofErr w:type="spellEnd"/>
      <w:r>
        <w:rPr>
          <w:sz w:val="22"/>
        </w:rPr>
        <w:t xml:space="preserve"> and staining was measured using flow cytometry. Results are shown as mean ±SEM and statistically analyzed with one-way ANOVA (significance values are shown).</w:t>
      </w:r>
      <w:r>
        <w:t xml:space="preserve"> </w:t>
      </w:r>
      <w:r>
        <w:rPr>
          <w:color w:val="202122"/>
          <w:sz w:val="22"/>
        </w:rPr>
        <w:t xml:space="preserve">Diagram of the mice model experiment. Female </w:t>
      </w:r>
      <w:r>
        <w:rPr>
          <w:sz w:val="22"/>
        </w:rPr>
        <w:t>WT C57BL/6 mice</w:t>
      </w:r>
      <w:r>
        <w:rPr>
          <w:color w:val="202122"/>
          <w:sz w:val="22"/>
        </w:rPr>
        <w:t xml:space="preserve"> (n=5/group) were injected with 1×10</w:t>
      </w:r>
      <w:r>
        <w:rPr>
          <w:color w:val="202122"/>
          <w:sz w:val="22"/>
          <w:vertAlign w:val="superscript"/>
        </w:rPr>
        <w:t>6</w:t>
      </w:r>
      <w:r>
        <w:rPr>
          <w:color w:val="202122"/>
          <w:sz w:val="22"/>
        </w:rPr>
        <w:t xml:space="preserve"> B16F10 cells. After 3 days, the mice were treated intraperitoneal with either vehicle, synthetic CBG (2.5 mg/kg), or the high-CBG extract 3704 (3.75 mg/kg), as indicated over the course of 14 days.</w:t>
      </w:r>
      <w:r>
        <w:t xml:space="preserve"> </w:t>
      </w:r>
    </w:p>
    <w:p w:rsidR="002E2493" w:rsidRDefault="002E2493">
      <w:pPr>
        <w:spacing w:after="0" w:line="259" w:lineRule="auto"/>
        <w:ind w:right="7848"/>
        <w:jc w:val="right"/>
        <w:rPr>
          <w:rFonts w:ascii="Calibri" w:eastAsia="Calibri" w:hAnsi="Calibri" w:cs="Calibri"/>
          <w:sz w:val="20"/>
        </w:rPr>
      </w:pPr>
    </w:p>
    <w:p w:rsidR="002E2493" w:rsidRDefault="002E2493">
      <w:pPr>
        <w:spacing w:after="0" w:line="259" w:lineRule="auto"/>
        <w:ind w:right="7848"/>
        <w:jc w:val="right"/>
        <w:rPr>
          <w:rFonts w:ascii="Calibri" w:eastAsia="Calibri" w:hAnsi="Calibri" w:cs="Calibri"/>
          <w:sz w:val="20"/>
        </w:rPr>
      </w:pPr>
    </w:p>
    <w:p w:rsidR="006244A1" w:rsidRDefault="009A1E96">
      <w:pPr>
        <w:spacing w:after="0" w:line="259" w:lineRule="auto"/>
        <w:ind w:right="7848"/>
        <w:jc w:val="right"/>
      </w:pPr>
      <w:bookmarkStart w:id="0" w:name="_GoBack"/>
      <w:bookmarkEnd w:id="0"/>
      <w:r>
        <w:rPr>
          <w:rFonts w:ascii="Calibri" w:eastAsia="Calibri" w:hAnsi="Calibri" w:cs="Calibri"/>
          <w:sz w:val="20"/>
        </w:rPr>
        <w:lastRenderedPageBreak/>
        <w:t xml:space="preserve">A </w:t>
      </w:r>
    </w:p>
    <w:p w:rsidR="006244A1" w:rsidRDefault="009A1E96">
      <w:pPr>
        <w:spacing w:after="42" w:line="259" w:lineRule="auto"/>
        <w:ind w:left="1875" w:firstLine="0"/>
        <w:jc w:val="left"/>
      </w:pPr>
      <w:r>
        <w:rPr>
          <w:noProof/>
        </w:rPr>
        <w:drawing>
          <wp:inline distT="0" distB="0" distL="0" distR="0">
            <wp:extent cx="3486150" cy="1263650"/>
            <wp:effectExtent l="0" t="0" r="0" b="0"/>
            <wp:docPr id="294" name="Picture 2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Picture 29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26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4A1" w:rsidRDefault="009A1E96">
      <w:pPr>
        <w:spacing w:after="141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6244A1" w:rsidRDefault="009A1E96">
      <w:pPr>
        <w:spacing w:after="88" w:line="259" w:lineRule="auto"/>
        <w:ind w:right="7848"/>
        <w:jc w:val="right"/>
      </w:pPr>
      <w:r>
        <w:rPr>
          <w:rFonts w:ascii="Calibri" w:eastAsia="Calibri" w:hAnsi="Calibri" w:cs="Calibri"/>
          <w:sz w:val="20"/>
        </w:rPr>
        <w:t xml:space="preserve">B </w:t>
      </w:r>
    </w:p>
    <w:p w:rsidR="006244A1" w:rsidRDefault="009A1E96">
      <w:pPr>
        <w:spacing w:after="42" w:line="259" w:lineRule="auto"/>
        <w:ind w:left="242" w:firstLine="0"/>
        <w:jc w:val="left"/>
      </w:pPr>
      <w:r>
        <w:rPr>
          <w:noProof/>
        </w:rPr>
        <w:drawing>
          <wp:inline distT="0" distB="0" distL="0" distR="0">
            <wp:extent cx="5727701" cy="5493385"/>
            <wp:effectExtent l="0" t="0" r="0" b="0"/>
            <wp:docPr id="295" name="Picture 2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" name="Picture 29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27701" cy="549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4A1" w:rsidRDefault="009A1E96">
      <w:pPr>
        <w:spacing w:line="259" w:lineRule="auto"/>
        <w:ind w:left="0" w:right="7926" w:firstLine="0"/>
        <w:jc w:val="right"/>
      </w:pPr>
      <w:r>
        <w:rPr>
          <w:rFonts w:ascii="Calibri" w:eastAsia="Calibri" w:hAnsi="Calibri" w:cs="Calibri"/>
          <w:sz w:val="20"/>
        </w:rPr>
        <w:t xml:space="preserve"> </w:t>
      </w:r>
    </w:p>
    <w:p w:rsidR="006244A1" w:rsidRDefault="009A1E96">
      <w:pPr>
        <w:spacing w:after="0" w:line="259" w:lineRule="auto"/>
        <w:ind w:left="0" w:right="7926" w:firstLine="0"/>
        <w:jc w:val="right"/>
      </w:pPr>
      <w:r>
        <w:rPr>
          <w:rFonts w:ascii="Calibri" w:eastAsia="Calibri" w:hAnsi="Calibri" w:cs="Calibri"/>
          <w:sz w:val="20"/>
        </w:rPr>
        <w:t xml:space="preserve"> </w:t>
      </w:r>
    </w:p>
    <w:p w:rsidR="006244A1" w:rsidRDefault="009A1E96">
      <w:pPr>
        <w:spacing w:after="0" w:line="259" w:lineRule="auto"/>
        <w:ind w:left="1440" w:firstLine="0"/>
        <w:jc w:val="left"/>
      </w:pPr>
      <w:r>
        <w:rPr>
          <w:rFonts w:ascii="Calibri" w:eastAsia="Calibri" w:hAnsi="Calibri" w:cs="Calibri"/>
          <w:sz w:val="20"/>
        </w:rPr>
        <w:t xml:space="preserve">C </w:t>
      </w:r>
    </w:p>
    <w:p w:rsidR="006244A1" w:rsidRDefault="009A1E96">
      <w:pPr>
        <w:spacing w:after="8" w:line="259" w:lineRule="auto"/>
        <w:ind w:left="924" w:firstLine="0"/>
        <w:jc w:val="left"/>
      </w:pPr>
      <w:r>
        <w:rPr>
          <w:noProof/>
        </w:rPr>
        <w:lastRenderedPageBreak/>
        <w:drawing>
          <wp:inline distT="0" distB="0" distL="0" distR="0">
            <wp:extent cx="4638675" cy="4610101"/>
            <wp:effectExtent l="0" t="0" r="0" b="0"/>
            <wp:docPr id="355" name="Picture 3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" name="Picture 35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4610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4A1" w:rsidRDefault="009A1E96">
      <w:pPr>
        <w:spacing w:after="182" w:line="259" w:lineRule="auto"/>
        <w:ind w:left="0" w:firstLine="0"/>
        <w:jc w:val="left"/>
      </w:pPr>
      <w:r>
        <w:rPr>
          <w:b/>
          <w:sz w:val="22"/>
        </w:rPr>
        <w:t xml:space="preserve"> </w:t>
      </w:r>
    </w:p>
    <w:p w:rsidR="006244A1" w:rsidRDefault="009A1E96">
      <w:pPr>
        <w:spacing w:after="157" w:line="259" w:lineRule="auto"/>
        <w:ind w:left="0" w:right="2" w:firstLine="0"/>
      </w:pPr>
      <w:r>
        <w:rPr>
          <w:b/>
          <w:sz w:val="22"/>
        </w:rPr>
        <w:t xml:space="preserve">Supplementary Figure 5. </w:t>
      </w:r>
      <w:r>
        <w:rPr>
          <w:b/>
          <w:i/>
        </w:rPr>
        <w:t>In-vivo</w:t>
      </w:r>
      <w:r>
        <w:rPr>
          <w:b/>
        </w:rPr>
        <w:t xml:space="preserve"> experimental design and gating strategy of myeloid cells and CD8+ T-cell subpopulations from B16F10 tumors and spleens</w:t>
      </w:r>
      <w:r>
        <w:t>.</w:t>
      </w:r>
      <w:r>
        <w:rPr>
          <w:sz w:val="22"/>
        </w:rPr>
        <w:t xml:space="preserve"> (A) </w:t>
      </w:r>
      <w:r>
        <w:rPr>
          <w:color w:val="202122"/>
          <w:sz w:val="22"/>
        </w:rPr>
        <w:t xml:space="preserve">Diagram of the mice model experiment. Female </w:t>
      </w:r>
      <w:r>
        <w:rPr>
          <w:sz w:val="22"/>
        </w:rPr>
        <w:t>WT C57BL/6 mice</w:t>
      </w:r>
      <w:r>
        <w:rPr>
          <w:color w:val="202122"/>
          <w:sz w:val="22"/>
        </w:rPr>
        <w:t xml:space="preserve"> (n=5/group) were injected with 1×10</w:t>
      </w:r>
      <w:r>
        <w:rPr>
          <w:color w:val="202122"/>
          <w:sz w:val="22"/>
          <w:vertAlign w:val="superscript"/>
        </w:rPr>
        <w:t>6</w:t>
      </w:r>
      <w:r>
        <w:rPr>
          <w:color w:val="202122"/>
          <w:sz w:val="22"/>
        </w:rPr>
        <w:t xml:space="preserve"> B16F10 cells. After 3 days, the mice were treated intraperitoneal with either vehicle, synthetic CBG (2.5 mg/kg), or the high-CBG extract 3704 (3.75 mg/kg), as indicated over the course of 14 days.</w:t>
      </w:r>
      <w:r>
        <w:rPr>
          <w:b/>
          <w:sz w:val="22"/>
        </w:rPr>
        <w:t xml:space="preserve"> </w:t>
      </w:r>
      <w:r>
        <w:rPr>
          <w:sz w:val="22"/>
        </w:rPr>
        <w:t>(B) FACS gating strategy of MO-MDSC and PMN-MDSC, M1 and TAM macrophages, and CD3+ CD8+ T-cells. (C) FACS gating strategy of MO</w:t>
      </w:r>
      <w:r w:rsidR="002E2493">
        <w:rPr>
          <w:sz w:val="22"/>
        </w:rPr>
        <w:t>-</w:t>
      </w:r>
      <w:r>
        <w:rPr>
          <w:sz w:val="22"/>
        </w:rPr>
        <w:t xml:space="preserve">MDSC and PMN-MDSC in spleens. Analysis was conducted using the </w:t>
      </w:r>
      <w:proofErr w:type="spellStart"/>
      <w:r>
        <w:rPr>
          <w:sz w:val="22"/>
        </w:rPr>
        <w:t>SpectroFlo</w:t>
      </w:r>
      <w:proofErr w:type="spellEnd"/>
      <w:r>
        <w:rPr>
          <w:sz w:val="22"/>
        </w:rPr>
        <w:t xml:space="preserve">® analysis software. </w:t>
      </w:r>
    </w:p>
    <w:p w:rsidR="006244A1" w:rsidRDefault="009A1E96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  <w:r>
        <w:rPr>
          <w:sz w:val="22"/>
        </w:rPr>
        <w:tab/>
        <w:t xml:space="preserve"> </w:t>
      </w:r>
    </w:p>
    <w:p w:rsidR="006244A1" w:rsidRDefault="009A1E96">
      <w:pPr>
        <w:spacing w:after="158" w:line="259" w:lineRule="auto"/>
        <w:ind w:left="-5"/>
        <w:jc w:val="left"/>
      </w:pPr>
      <w:r>
        <w:rPr>
          <w:b/>
          <w:sz w:val="28"/>
        </w:rPr>
        <w:t xml:space="preserve">Supplementary Material and Methods: </w:t>
      </w:r>
    </w:p>
    <w:p w:rsidR="006244A1" w:rsidRDefault="009A1E96">
      <w:pPr>
        <w:spacing w:after="117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6244A1" w:rsidRDefault="009A1E96">
      <w:pPr>
        <w:ind w:left="-5"/>
      </w:pPr>
      <w:proofErr w:type="spellStart"/>
      <w:r>
        <w:rPr>
          <w:b/>
        </w:rPr>
        <w:t>Phytocannabinoid</w:t>
      </w:r>
      <w:proofErr w:type="spellEnd"/>
      <w:r>
        <w:rPr>
          <w:b/>
        </w:rPr>
        <w:t xml:space="preserve"> extraction and analysis.</w:t>
      </w:r>
      <w:r>
        <w:t xml:space="preserve"> This study focused on two cannabis extracts, the high-THC extract CAN and the high-CBG extract 3704. Air-dried medical Cannabis female inflorescences of these chemovars were ground to a fine powder using an electric grinder. Both samples were heat-decarboxylated in an oven at 130°C for 1 h. Exactly 5 g from each chemovar were accurately weighed and extracted with 50 mL HPLC-grade ethanol. Samples were sonicated </w:t>
      </w:r>
      <w:r>
        <w:lastRenderedPageBreak/>
        <w:t xml:space="preserve">in an ultrasonic bath for 30 min and agitated in an orbital shaker at 25°C for 15 min. Samples were then filtered under pressure through Whatman filter paper number 4 and the ethanol was evaporated under reduced pressure at 38°C using a rotary evaporator. </w:t>
      </w:r>
    </w:p>
    <w:p w:rsidR="006244A1" w:rsidRDefault="009A1E96">
      <w:pPr>
        <w:spacing w:after="17"/>
        <w:ind w:left="-5"/>
      </w:pPr>
      <w:r>
        <w:t xml:space="preserve">Phytocannabinoids were analyzed by reversed-phase ultra-high-performance liquid chromatography with an ultraviolet detector (UHPLC/UV) system (Thermo Scientific, Bremen, Germany). The </w:t>
      </w:r>
      <w:proofErr w:type="spellStart"/>
      <w:r>
        <w:t>phytocannabinoid</w:t>
      </w:r>
      <w:proofErr w:type="spellEnd"/>
      <w:r>
        <w:t xml:space="preserve"> analytical standards (&gt;98%) </w:t>
      </w:r>
      <w:proofErr w:type="spellStart"/>
      <w:r>
        <w:t>cannabigerol</w:t>
      </w:r>
      <w:proofErr w:type="spellEnd"/>
      <w:r>
        <w:t xml:space="preserve"> (CBG; C-141), Δ9THC (T-005), CBD (C-045), </w:t>
      </w:r>
      <w:proofErr w:type="spellStart"/>
      <w:r>
        <w:t>cannabichromene</w:t>
      </w:r>
      <w:proofErr w:type="spellEnd"/>
      <w:r>
        <w:t xml:space="preserve"> (CBC; C-143), cannabinol (CBN; C-046), </w:t>
      </w:r>
      <w:proofErr w:type="spellStart"/>
      <w:r>
        <w:t>cannabigerolic</w:t>
      </w:r>
      <w:proofErr w:type="spellEnd"/>
      <w:r>
        <w:t xml:space="preserve"> acid (CBGA; C-142), (-)-Δ9-trans-tetrahydrocannabinolic acid (Δ9-THCA; T-093), </w:t>
      </w:r>
      <w:proofErr w:type="spellStart"/>
      <w:r>
        <w:t>cannabidiolic</w:t>
      </w:r>
      <w:proofErr w:type="spellEnd"/>
      <w:r>
        <w:t xml:space="preserve"> acid (CBDA; C-144), </w:t>
      </w:r>
      <w:proofErr w:type="spellStart"/>
      <w:r>
        <w:t>cannabinolic</w:t>
      </w:r>
      <w:proofErr w:type="spellEnd"/>
      <w:r>
        <w:t xml:space="preserve"> acid (CBNA; C-153), </w:t>
      </w:r>
      <w:proofErr w:type="spellStart"/>
      <w:r>
        <w:t>cannabichromenic</w:t>
      </w:r>
      <w:proofErr w:type="spellEnd"/>
      <w:r>
        <w:t xml:space="preserve"> acid </w:t>
      </w:r>
    </w:p>
    <w:p w:rsidR="006244A1" w:rsidRDefault="009A1E96">
      <w:pPr>
        <w:ind w:left="-5"/>
      </w:pPr>
      <w:r>
        <w:t xml:space="preserve">(CBCA; C-150), (-)-Δ8-trans-tetrahydrocannabinol (Δ8-THC; T-032), (-)-Δ9-transtetrahydrocannabivarin (Δ9-THCV; T-094), </w:t>
      </w:r>
      <w:proofErr w:type="spellStart"/>
      <w:r>
        <w:t>cannabidivarin</w:t>
      </w:r>
      <w:proofErr w:type="spellEnd"/>
      <w:r>
        <w:t xml:space="preserve"> (CBDV; C-140), </w:t>
      </w:r>
      <w:proofErr w:type="spellStart"/>
      <w:r>
        <w:t>cannabidivarinic</w:t>
      </w:r>
      <w:proofErr w:type="spellEnd"/>
      <w:r>
        <w:t xml:space="preserve"> acid (CBDVA; C-152), and </w:t>
      </w:r>
      <w:proofErr w:type="spellStart"/>
      <w:r>
        <w:t>cannabicyclol</w:t>
      </w:r>
      <w:proofErr w:type="spellEnd"/>
      <w:r>
        <w:t xml:space="preserve"> (CBL; C-154) were purchased from Sigma-Aldrich; </w:t>
      </w:r>
      <w:proofErr w:type="spellStart"/>
      <w:r>
        <w:t>cannabichromevarin</w:t>
      </w:r>
      <w:proofErr w:type="spellEnd"/>
      <w:r>
        <w:t xml:space="preserve"> (CBCV; 21974) and </w:t>
      </w:r>
      <w:proofErr w:type="spellStart"/>
      <w:r>
        <w:t>cannabicitran</w:t>
      </w:r>
      <w:proofErr w:type="spellEnd"/>
      <w:r>
        <w:t xml:space="preserve"> (21295) were purchased from Cayman Chemical Company.  </w:t>
      </w:r>
    </w:p>
    <w:p w:rsidR="006244A1" w:rsidRDefault="009A1E96">
      <w:pPr>
        <w:ind w:left="-5"/>
      </w:pPr>
      <w:r>
        <w:t xml:space="preserve">The chromatographic separation was achieved using a HALO C18 Fused-Core column (2.7 </w:t>
      </w:r>
      <w:proofErr w:type="spellStart"/>
      <w:r>
        <w:t>μm</w:t>
      </w:r>
      <w:proofErr w:type="spellEnd"/>
      <w:r>
        <w:t xml:space="preserve">, 150 × 2.1 mm i.d.), with a HALO guard column (2.1 x 5 mm, 2.7 </w:t>
      </w:r>
      <w:proofErr w:type="spellStart"/>
      <w:r>
        <w:t>μm</w:t>
      </w:r>
      <w:proofErr w:type="spellEnd"/>
      <w:r>
        <w:t xml:space="preserve">), and a ternary A/B/C multistep gradient (solvent A: 0.1% acetic acid in water, solvent B: 0.1% acetic acid in acetonitrile, and solvent C: methanol, all solvents were of LC/MS grade). The multistep gradient program was established as follows: initial conditions were 50% B raised to 67% B until 3 min, held at 67% B for 5 min, and then raised to 90% B until 12 min, held at 90% B until 15 min, decreased to 50% B over the next min, and held at 50% B until 20 min for re-equilibration of the system prior to the next injection. Solvent C was initially 5% and then lowered to 3% until 3 min, held at 3% until 8 min, raised to 5% until 12 min and then kept constant at 5% throughout the run. A flow rate of 0.25 mL/min was used, the column temperature was 30°C and the injection volume was 1 </w:t>
      </w:r>
      <w:proofErr w:type="spellStart"/>
      <w:r>
        <w:t>μL</w:t>
      </w:r>
      <w:proofErr w:type="spellEnd"/>
      <w:r>
        <w:t xml:space="preserve">. Data acquisition was performed in full UV-Vis scan mode. Standard mixes in DMSO were prepared ranging from 1 to 1000 µg/mL for Δ9-THCA, Δ9-THC, CBDA and CBD, and 0.25 to 250 µg/mL for all the other components. </w:t>
      </w:r>
    </w:p>
    <w:p w:rsidR="006244A1" w:rsidRDefault="009A1E96">
      <w:pPr>
        <w:ind w:left="-5"/>
      </w:pPr>
      <w:r>
        <w:rPr>
          <w:b/>
        </w:rPr>
        <w:t xml:space="preserve">Fractionation of the whole extract. </w:t>
      </w:r>
      <w:r>
        <w:t xml:space="preserve">Fractionation of CAN extract into four fractions was performed using 1260 Infinity II LC System semi-preparative HPLC/UV (Agilent Technologies, CA, USA). The chromatographic separation was achieved using a </w:t>
      </w:r>
      <w:proofErr w:type="spellStart"/>
      <w:r>
        <w:t>Zorbax</w:t>
      </w:r>
      <w:proofErr w:type="spellEnd"/>
      <w:r>
        <w:t xml:space="preserve"> Eclipse XBD-C18 column (5 </w:t>
      </w:r>
      <w:proofErr w:type="spellStart"/>
      <w:r>
        <w:t>μm</w:t>
      </w:r>
      <w:proofErr w:type="spellEnd"/>
      <w:r>
        <w:t xml:space="preserve">, 150 mm × 30 mm i.d.) and a two-solvent A/B multistep gradient (solvent A: 0.05 </w:t>
      </w:r>
      <w:r>
        <w:lastRenderedPageBreak/>
        <w:t xml:space="preserve">% formic acid in water and solvent B: 0.05% formic acid in acetonitrile, all HPLC grade). The multistep gradient program was established as follows: initial conditions were 65% B for 3 min, raised to 76% B until 12 min, then raised to 95% and held at 95% B for 6 min, and then decreased to 65% B over the next 3 min. A flow rate of 40 mL/min and an injection volume of 0.75 mL were used. Data acquisition was performed at 220 nm. The crude Cannabis extract was prepared in a concentration of 68 mg/mL in ethanol. Fractions were collected and then lyophilized to dryness and analyzed by UHPLC/UV and ESI-LC/MS. Fraction F2 contained 93% THC. </w:t>
      </w:r>
    </w:p>
    <w:p w:rsidR="006244A1" w:rsidRDefault="009A1E96">
      <w:pPr>
        <w:spacing w:after="0"/>
        <w:ind w:left="-5"/>
      </w:pPr>
      <w:r>
        <w:rPr>
          <w:b/>
        </w:rPr>
        <w:t xml:space="preserve">Flow Cytometry. </w:t>
      </w:r>
      <w:r>
        <w:t>To differentiate the subpopulation of myeloid cells, BMDCs and myeloid cells from tumors were stained for the extracellular makers Ly6C-BV421 (</w:t>
      </w:r>
      <w:proofErr w:type="spellStart"/>
      <w:r>
        <w:t>BioLegend</w:t>
      </w:r>
      <w:proofErr w:type="spellEnd"/>
      <w:r>
        <w:t xml:space="preserve">, Clone HK1.4; Cat# 128032, </w:t>
      </w:r>
      <w:proofErr w:type="gramStart"/>
      <w:r>
        <w:t>RRID:AB</w:t>
      </w:r>
      <w:proofErr w:type="gramEnd"/>
      <w:r>
        <w:t>_2562178) or Ly6C-FITC (</w:t>
      </w:r>
      <w:proofErr w:type="spellStart"/>
      <w:r>
        <w:t>BioLegend</w:t>
      </w:r>
      <w:proofErr w:type="spellEnd"/>
      <w:r>
        <w:t xml:space="preserve">, Clone HK1.4, Cat# 128006, </w:t>
      </w:r>
    </w:p>
    <w:p w:rsidR="006244A1" w:rsidRDefault="009A1E96">
      <w:pPr>
        <w:spacing w:after="120" w:line="259" w:lineRule="auto"/>
        <w:ind w:left="-5"/>
      </w:pPr>
      <w:proofErr w:type="gramStart"/>
      <w:r>
        <w:t>RRID:AB</w:t>
      </w:r>
      <w:proofErr w:type="gramEnd"/>
      <w:r>
        <w:t>_1186135) , Ly6G-APC (</w:t>
      </w:r>
      <w:proofErr w:type="spellStart"/>
      <w:r>
        <w:t>BioLegend</w:t>
      </w:r>
      <w:proofErr w:type="spellEnd"/>
      <w:r>
        <w:t>, Clone 1A8; Cat# 127614, RRID:AB_2227348),</w:t>
      </w:r>
      <w:r>
        <w:rPr>
          <w:rFonts w:ascii="Calibri" w:eastAsia="Calibri" w:hAnsi="Calibri" w:cs="Calibri"/>
          <w:sz w:val="22"/>
        </w:rPr>
        <w:t xml:space="preserve"> </w:t>
      </w:r>
    </w:p>
    <w:p w:rsidR="006244A1" w:rsidRDefault="009A1E96">
      <w:pPr>
        <w:spacing w:after="115" w:line="259" w:lineRule="auto"/>
        <w:ind w:left="-5"/>
      </w:pPr>
      <w:r>
        <w:t>Ly6G-BV421 (</w:t>
      </w:r>
      <w:proofErr w:type="spellStart"/>
      <w:r>
        <w:t>BioLegend</w:t>
      </w:r>
      <w:proofErr w:type="spellEnd"/>
      <w:r>
        <w:t xml:space="preserve">, clone 1A8, Cat# 127627, </w:t>
      </w:r>
      <w:proofErr w:type="gramStart"/>
      <w:r>
        <w:t>RRID:AB</w:t>
      </w:r>
      <w:proofErr w:type="gramEnd"/>
      <w:r>
        <w:t xml:space="preserve">_10897944), PECy7-F4/80 </w:t>
      </w:r>
    </w:p>
    <w:p w:rsidR="006244A1" w:rsidRDefault="009A1E96">
      <w:pPr>
        <w:spacing w:after="0"/>
        <w:ind w:left="-5"/>
      </w:pPr>
      <w:r>
        <w:t>(</w:t>
      </w:r>
      <w:proofErr w:type="spellStart"/>
      <w:r>
        <w:t>BioLegend</w:t>
      </w:r>
      <w:proofErr w:type="spellEnd"/>
      <w:r>
        <w:t xml:space="preserve">, Clone BM8 Cat# 123113, </w:t>
      </w:r>
      <w:proofErr w:type="gramStart"/>
      <w:r>
        <w:t>RRID:AB</w:t>
      </w:r>
      <w:proofErr w:type="gramEnd"/>
      <w:r>
        <w:t>_893490), BV605-CD86 (</w:t>
      </w:r>
      <w:proofErr w:type="spellStart"/>
      <w:r>
        <w:t>BioLegend</w:t>
      </w:r>
      <w:proofErr w:type="spellEnd"/>
      <w:r>
        <w:t>, Clone GL1, Cat# 105037, RRID:AB_11204429), APC-CD206 (</w:t>
      </w:r>
      <w:proofErr w:type="spellStart"/>
      <w:r>
        <w:t>Biolegend</w:t>
      </w:r>
      <w:proofErr w:type="spellEnd"/>
      <w:r>
        <w:t xml:space="preserve">, Clone CO68C2, Cat# 141708, </w:t>
      </w:r>
    </w:p>
    <w:p w:rsidR="006244A1" w:rsidRDefault="009A1E96">
      <w:pPr>
        <w:spacing w:after="0"/>
        <w:ind w:left="-5"/>
      </w:pPr>
      <w:proofErr w:type="gramStart"/>
      <w:r>
        <w:t>RRID:AB</w:t>
      </w:r>
      <w:proofErr w:type="gramEnd"/>
      <w:r>
        <w:t>_10900231) and BV711-CD45 (</w:t>
      </w:r>
      <w:proofErr w:type="spellStart"/>
      <w:r>
        <w:t>BioLegend</w:t>
      </w:r>
      <w:proofErr w:type="spellEnd"/>
      <w:r>
        <w:t>, Clone 30F11, Cat# 103147, RRID:AB_2564383). Cells from tumors were also stained with PE-CD3+ (</w:t>
      </w:r>
      <w:proofErr w:type="spellStart"/>
      <w:r>
        <w:t>BioLegend</w:t>
      </w:r>
      <w:proofErr w:type="spellEnd"/>
      <w:r>
        <w:t xml:space="preserve">, Clone 17A2, Cat# 100206, </w:t>
      </w:r>
      <w:proofErr w:type="gramStart"/>
      <w:r>
        <w:t>RRID:AB</w:t>
      </w:r>
      <w:proofErr w:type="gramEnd"/>
      <w:r>
        <w:t>_312663), AF700-CD3+ (</w:t>
      </w:r>
      <w:proofErr w:type="spellStart"/>
      <w:r>
        <w:t>Biolegend</w:t>
      </w:r>
      <w:proofErr w:type="spellEnd"/>
      <w:r>
        <w:t>, Clone 17A2, Cat# 100216, RRID:AB_493697) and CD8-PECY7 (</w:t>
      </w:r>
      <w:proofErr w:type="spellStart"/>
      <w:r>
        <w:t>BioLegend</w:t>
      </w:r>
      <w:proofErr w:type="spellEnd"/>
      <w:r>
        <w:t xml:space="preserve">, Clone 53-6.7, Cat# 100722, </w:t>
      </w:r>
    </w:p>
    <w:p w:rsidR="006244A1" w:rsidRDefault="009A1E96">
      <w:pPr>
        <w:spacing w:after="0"/>
        <w:ind w:left="-5"/>
      </w:pPr>
      <w:proofErr w:type="gramStart"/>
      <w:r>
        <w:t>RRID:AB</w:t>
      </w:r>
      <w:proofErr w:type="gramEnd"/>
      <w:r>
        <w:t xml:space="preserve">_312761) to identify the CD8+T-cell population. To characterize the cells in the subpopulations, cells were fixed and permeabilized with the Intracellular Fixation and </w:t>
      </w:r>
    </w:p>
    <w:p w:rsidR="006244A1" w:rsidRDefault="009A1E96">
      <w:pPr>
        <w:spacing w:after="112" w:line="259" w:lineRule="auto"/>
        <w:ind w:left="-5"/>
      </w:pPr>
      <w:r>
        <w:t>Permeabilization Buffer Set (</w:t>
      </w:r>
      <w:proofErr w:type="spellStart"/>
      <w:r>
        <w:t>eBioscience</w:t>
      </w:r>
      <w:proofErr w:type="spellEnd"/>
      <w:r>
        <w:t xml:space="preserve"> Cat# 88-8824-00) and stained with FITC-</w:t>
      </w:r>
      <w:proofErr w:type="spellStart"/>
      <w:r>
        <w:t>iNOS</w:t>
      </w:r>
      <w:proofErr w:type="spellEnd"/>
      <w:r>
        <w:t xml:space="preserve"> (Thermo </w:t>
      </w:r>
    </w:p>
    <w:p w:rsidR="006244A1" w:rsidRDefault="009A1E96">
      <w:pPr>
        <w:ind w:left="-5"/>
      </w:pPr>
      <w:r>
        <w:t xml:space="preserve">Fisher, Clone CXNFT, Cat# 53592082, </w:t>
      </w:r>
      <w:proofErr w:type="gramStart"/>
      <w:r>
        <w:t>RRID:AB</w:t>
      </w:r>
      <w:proofErr w:type="gramEnd"/>
      <w:r>
        <w:t xml:space="preserve">_2574423) or FITC- Arginase-1 (Thermo Fisher, Clone A1exF5, Cat# 53369782, RRID:AB_2734831) or </w:t>
      </w:r>
      <w:proofErr w:type="spellStart"/>
      <w:r>
        <w:t>GranzymeB</w:t>
      </w:r>
      <w:proofErr w:type="spellEnd"/>
      <w:r>
        <w:t>-FITC (</w:t>
      </w:r>
      <w:proofErr w:type="spellStart"/>
      <w:r>
        <w:t>BioLegend</w:t>
      </w:r>
      <w:proofErr w:type="spellEnd"/>
      <w:r>
        <w:t>, Clone QA16A02, Cat# 372206, RRID:AB_2687030) or IFN-γ-FITC (</w:t>
      </w:r>
      <w:proofErr w:type="spellStart"/>
      <w:r>
        <w:t>BioLegend</w:t>
      </w:r>
      <w:proofErr w:type="spellEnd"/>
      <w:r>
        <w:t>, Clone XMG1.2, Cat# 505806, RRID:AB_315400) and TNF-α (</w:t>
      </w:r>
      <w:proofErr w:type="spellStart"/>
      <w:r>
        <w:t>Biolegend</w:t>
      </w:r>
      <w:proofErr w:type="spellEnd"/>
      <w:r>
        <w:t>, Clone MP6-XT22, Cat# 506329, RRID:AB_11123912). These cells were also stained with Fixable viability Dye (FVD)-</w:t>
      </w:r>
      <w:proofErr w:type="spellStart"/>
      <w:r>
        <w:t>eflour</w:t>
      </w:r>
      <w:proofErr w:type="spellEnd"/>
      <w:r>
        <w:t xml:space="preserve"> 780 (Thermo, Cat# 65086514) to exclude dead cells. </w:t>
      </w:r>
    </w:p>
    <w:p w:rsidR="006244A1" w:rsidRDefault="009A1E96">
      <w:pPr>
        <w:spacing w:after="268" w:line="259" w:lineRule="auto"/>
        <w:ind w:left="0" w:firstLine="0"/>
        <w:jc w:val="left"/>
      </w:pPr>
      <w:r>
        <w:rPr>
          <w:b/>
        </w:rPr>
        <w:t xml:space="preserve"> </w:t>
      </w:r>
    </w:p>
    <w:p w:rsidR="006244A1" w:rsidRDefault="009A1E96">
      <w:pPr>
        <w:spacing w:after="0" w:line="259" w:lineRule="auto"/>
        <w:ind w:left="0" w:firstLine="0"/>
        <w:jc w:val="left"/>
      </w:pPr>
      <w:r>
        <w:t xml:space="preserve"> </w:t>
      </w:r>
    </w:p>
    <w:sectPr w:rsidR="006244A1">
      <w:pgSz w:w="12240" w:h="15840"/>
      <w:pgMar w:top="1417" w:right="1412" w:bottom="1225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4A1"/>
    <w:rsid w:val="002E2493"/>
    <w:rsid w:val="005D4B52"/>
    <w:rsid w:val="006244A1"/>
    <w:rsid w:val="009A1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1FF46"/>
  <w15:docId w15:val="{F9F26520-89A3-487B-A9A7-AA7738419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2" w:line="35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12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1320</Words>
  <Characters>7899</Characters>
  <Application>Microsoft Office Word</Application>
  <DocSecurity>0</DocSecurity>
  <Lines>117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 wyrobnik</dc:creator>
  <cp:keywords/>
  <cp:lastModifiedBy>Shiri Procaccia</cp:lastModifiedBy>
  <cp:revision>3</cp:revision>
  <dcterms:created xsi:type="dcterms:W3CDTF">2023-04-19T08:16:00Z</dcterms:created>
  <dcterms:modified xsi:type="dcterms:W3CDTF">2023-04-20T06:40:00Z</dcterms:modified>
</cp:coreProperties>
</file>