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0F781" w14:textId="77777777" w:rsidR="00725D01" w:rsidRDefault="00725D01" w:rsidP="00725D01">
      <w:pPr>
        <w:spacing w:after="200"/>
        <w:jc w:val="center"/>
        <w:rPr>
          <w:rFonts w:ascii="Calibri" w:eastAsia="Arial" w:hAnsi="Calibri" w:cs="Calibri"/>
          <w:b/>
          <w:bCs/>
          <w:sz w:val="22"/>
          <w:szCs w:val="22"/>
        </w:rPr>
      </w:pPr>
      <w:r>
        <w:rPr>
          <w:rFonts w:ascii="Calibri" w:eastAsia="Arial" w:hAnsi="Calibri" w:cs="Calibri"/>
          <w:b/>
          <w:bCs/>
          <w:sz w:val="22"/>
          <w:szCs w:val="22"/>
        </w:rPr>
        <w:t>Additional File</w:t>
      </w:r>
      <w:r w:rsidR="00000000" w:rsidRPr="00255E6B">
        <w:rPr>
          <w:rFonts w:ascii="Calibri" w:eastAsia="Arial" w:hAnsi="Calibri" w:cs="Calibri"/>
          <w:b/>
          <w:bCs/>
          <w:sz w:val="22"/>
          <w:szCs w:val="22"/>
        </w:rPr>
        <w:t xml:space="preserve"> </w:t>
      </w:r>
      <w:r>
        <w:rPr>
          <w:rFonts w:ascii="Calibri" w:eastAsia="Arial" w:hAnsi="Calibri" w:cs="Calibri"/>
          <w:b/>
          <w:bCs/>
          <w:sz w:val="22"/>
          <w:szCs w:val="22"/>
        </w:rPr>
        <w:t>6</w:t>
      </w:r>
    </w:p>
    <w:p w14:paraId="79719CA9" w14:textId="6C65EC8E" w:rsidR="005D1BB4" w:rsidRPr="00255E6B" w:rsidRDefault="00000000" w:rsidP="00725D01">
      <w:pPr>
        <w:spacing w:after="200"/>
        <w:jc w:val="center"/>
        <w:rPr>
          <w:rFonts w:ascii="Calibri" w:hAnsi="Calibri" w:cs="Calibri"/>
          <w:sz w:val="22"/>
          <w:szCs w:val="22"/>
        </w:rPr>
      </w:pPr>
      <w:r w:rsidRPr="00255E6B">
        <w:rPr>
          <w:rFonts w:ascii="Calibri" w:eastAsia="Arial" w:hAnsi="Calibri" w:cs="Calibri"/>
          <w:b/>
          <w:bCs/>
          <w:sz w:val="22"/>
          <w:szCs w:val="22"/>
        </w:rPr>
        <w:t>Propensity Score Matching Sensitivity Analysis</w:t>
      </w:r>
    </w:p>
    <w:p w14:paraId="1693FE53"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Overview</w:t>
      </w:r>
    </w:p>
    <w:p w14:paraId="46908474"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A reviewer raised the important question of whether differences in health outcomes between women who experienced intimate partner violence (IPV) during COVID-19 lockdowns and those who did not might be explained by pre-existing differences between the two groups — for example, that IPV-exposed women were already younger, lower-income, or more marginalized before the lockdowns began.</w:t>
      </w:r>
    </w:p>
    <w:p w14:paraId="05CA6E25"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To address this, a propensity score matching analysis was conducted. This technique creates a comparison group of non-IPV women who are statistically as similar as possible to IPV-exposed women across a wide range of background characteristics. The idea is straightforward: if the health differences hold up even after we have carefully matched the two groups on these characteristics, we can be more confident that IPV itself — not background differences — is driving the findings.</w:t>
      </w:r>
    </w:p>
    <w:p w14:paraId="3847803E"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Who was matched and who was not</w:t>
      </w:r>
    </w:p>
    <w:p w14:paraId="2A0F8B90" w14:textId="5D011C35"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Of the 1</w:t>
      </w:r>
      <w:r w:rsidR="00EA1D6F" w:rsidRPr="00255E6B">
        <w:rPr>
          <w:rFonts w:ascii="Calibri" w:eastAsia="Arial" w:hAnsi="Calibri" w:cs="Calibri"/>
          <w:sz w:val="22"/>
          <w:szCs w:val="22"/>
        </w:rPr>
        <w:t>50</w:t>
      </w:r>
      <w:r w:rsidRPr="00255E6B">
        <w:rPr>
          <w:rFonts w:ascii="Calibri" w:eastAsia="Arial" w:hAnsi="Calibri" w:cs="Calibri"/>
          <w:sz w:val="22"/>
          <w:szCs w:val="22"/>
        </w:rPr>
        <w:t xml:space="preserve"> IPV-exposed women in the women-only analytic sample, 76 were successfully matched to a non-IPV woman with a very similar background profile (caliper = 0.05, nearest-neighbour matching without replacement). </w:t>
      </w:r>
      <w:r w:rsidR="00EA1D6F" w:rsidRPr="00255E6B">
        <w:rPr>
          <w:rFonts w:ascii="Calibri" w:eastAsia="Arial" w:hAnsi="Calibri" w:cs="Calibri"/>
          <w:sz w:val="22"/>
          <w:szCs w:val="22"/>
        </w:rPr>
        <w:t>There were</w:t>
      </w:r>
      <w:r w:rsidRPr="00255E6B">
        <w:rPr>
          <w:rFonts w:ascii="Calibri" w:eastAsia="Arial" w:hAnsi="Calibri" w:cs="Calibri"/>
          <w:sz w:val="22"/>
          <w:szCs w:val="22"/>
        </w:rPr>
        <w:t xml:space="preserve"> 56 IPV-exposed women could not be matched because they had no comparable counterpart in the non-IPV group — they were the most marginalized women in the sample (youngest, lowest income, highest rates of partner substance use). This is itself a meaningful finding: the most vulnerable women fall outside the range of comparison, which highlights the limits of matching in a study of inequality.</w:t>
      </w:r>
      <w:r w:rsidR="00EA1D6F" w:rsidRPr="00255E6B">
        <w:rPr>
          <w:rFonts w:ascii="Calibri" w:eastAsia="Arial" w:hAnsi="Calibri" w:cs="Calibri"/>
          <w:sz w:val="22"/>
          <w:szCs w:val="22"/>
        </w:rPr>
        <w:t xml:space="preserve"> A total of 19 </w:t>
      </w:r>
      <w:r w:rsidR="00EA1D6F" w:rsidRPr="00255E6B">
        <w:rPr>
          <w:rStyle w:val="Strong"/>
          <w:rFonts w:ascii="Calibri" w:hAnsi="Calibri" w:cs="Calibri"/>
          <w:b w:val="0"/>
          <w:bCs w:val="0"/>
          <w:sz w:val="22"/>
          <w:szCs w:val="22"/>
        </w:rPr>
        <w:t>women with missing values on one or more of the matching covariates</w:t>
      </w:r>
      <w:r w:rsidR="00EA1D6F" w:rsidRPr="00255E6B">
        <w:rPr>
          <w:rFonts w:ascii="Calibri" w:hAnsi="Calibri" w:cs="Calibri"/>
          <w:sz w:val="22"/>
          <w:szCs w:val="22"/>
        </w:rPr>
        <w:t xml:space="preserve">. </w:t>
      </w:r>
    </w:p>
    <w:p w14:paraId="434B2564" w14:textId="3312B3CA" w:rsidR="00EA1D6F" w:rsidRPr="00255E6B" w:rsidRDefault="00EA1D6F">
      <w:pPr>
        <w:spacing w:after="160"/>
        <w:rPr>
          <w:rFonts w:ascii="Calibri" w:hAnsi="Calibri" w:cs="Calibri"/>
          <w:sz w:val="22"/>
          <w:szCs w:val="22"/>
        </w:rPr>
      </w:pPr>
      <w:r w:rsidRPr="00255E6B">
        <w:rPr>
          <w:rFonts w:ascii="Calibri" w:hAnsi="Calibri" w:cs="Calibri"/>
          <w:sz w:val="22"/>
          <w:szCs w:val="22"/>
        </w:rPr>
        <w:t>Among IPV-exposed women, the 56 who could not be matched were significantly more likely to be aged 18–34 (70% vs. 40%, p = .001), to have a household income below $40,000 (59% vs. 30%, p = .001), to identify as racialized or Indigenous (55% vs. 37%, p = .031), and to have a partner with moderate or high substance use (98% vs. 40%, p &lt; .001), compared to the 76 who were successfully matched. This pattern suggests that the women excluded from the matched analysis were among the most structurally marginalized in the sample, and that propensity score matching — by design — cannot capture the experiences of those at the extreme end of vulnerability. This is an important limitation of the method in the context of health equity research.</w:t>
      </w:r>
    </w:p>
    <w:p w14:paraId="6A2D5859" w14:textId="77777777" w:rsidR="00EA1D6F" w:rsidRPr="00255E6B" w:rsidRDefault="00EA1D6F" w:rsidP="00EA1D6F">
      <w:pPr>
        <w:spacing w:after="160"/>
        <w:rPr>
          <w:rFonts w:ascii="Calibri" w:hAnsi="Calibri" w:cs="Calibri"/>
          <w:sz w:val="22"/>
          <w:szCs w:val="22"/>
        </w:rPr>
      </w:pPr>
      <w:r w:rsidRPr="00255E6B">
        <w:rPr>
          <w:rFonts w:ascii="Calibri" w:eastAsia="Arial" w:hAnsi="Calibri" w:cs="Calibri"/>
          <w:b/>
          <w:bCs/>
          <w:sz w:val="22"/>
          <w:szCs w:val="22"/>
        </w:rPr>
        <w:t>Table: Characteristics of Matched vs. Unmatched IPV-Exposed Women</w:t>
      </w:r>
    </w:p>
    <w:p w14:paraId="68A33DE6" w14:textId="77777777" w:rsidR="00EA1D6F" w:rsidRPr="00255E6B" w:rsidRDefault="00EA1D6F" w:rsidP="00EA1D6F">
      <w:pPr>
        <w:spacing w:after="200"/>
        <w:rPr>
          <w:rFonts w:ascii="Calibri" w:hAnsi="Calibri" w:cs="Calibri"/>
          <w:sz w:val="22"/>
          <w:szCs w:val="22"/>
        </w:rPr>
      </w:pPr>
      <w:r w:rsidRPr="00255E6B">
        <w:rPr>
          <w:rFonts w:ascii="Calibri" w:eastAsia="Arial" w:hAnsi="Calibri" w:cs="Calibri"/>
          <w:sz w:val="22"/>
          <w:szCs w:val="22"/>
        </w:rPr>
        <w:t>Among the 132 IPV-exposed women in the analytic sample, 76 were successfully matched to a non-IPV comparator and 56 could not be matched. The table below compares these two groups on key sociodemographic characteristics.</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400"/>
        <w:gridCol w:w="1400"/>
        <w:gridCol w:w="1000"/>
        <w:gridCol w:w="1000"/>
      </w:tblGrid>
      <w:tr w:rsidR="00EA1D6F" w:rsidRPr="00255E6B" w14:paraId="50C36156" w14:textId="77777777" w:rsidTr="00C83291">
        <w:trPr>
          <w:tblHeader/>
        </w:trPr>
        <w:tc>
          <w:tcPr>
            <w:tcW w:w="32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598A8C27" w14:textId="77777777" w:rsidR="00EA1D6F" w:rsidRPr="00255E6B" w:rsidRDefault="00EA1D6F" w:rsidP="00C83291">
            <w:pPr>
              <w:rPr>
                <w:rFonts w:ascii="Calibri" w:hAnsi="Calibri" w:cs="Calibri"/>
                <w:sz w:val="22"/>
                <w:szCs w:val="22"/>
              </w:rPr>
            </w:pPr>
            <w:r w:rsidRPr="00255E6B">
              <w:rPr>
                <w:rFonts w:ascii="Calibri" w:eastAsia="Arial" w:hAnsi="Calibri" w:cs="Calibri"/>
                <w:b/>
                <w:bCs/>
                <w:sz w:val="22"/>
                <w:szCs w:val="22"/>
              </w:rPr>
              <w:t>Characteristic</w:t>
            </w:r>
          </w:p>
        </w:tc>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332F87B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Matched IPV (n = 76)</w:t>
            </w:r>
          </w:p>
        </w:tc>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41763F4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Unmatched IPV (n = 56)</w:t>
            </w:r>
          </w:p>
        </w:tc>
        <w:tc>
          <w:tcPr>
            <w:tcW w:w="1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7065C7A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t</w:t>
            </w:r>
          </w:p>
        </w:tc>
        <w:tc>
          <w:tcPr>
            <w:tcW w:w="1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0BA8409C"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p-value</w:t>
            </w:r>
          </w:p>
        </w:tc>
      </w:tr>
      <w:tr w:rsidR="00EA1D6F" w:rsidRPr="00255E6B" w14:paraId="64938B58"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279F0B6"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Age 18–34</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4B14797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40%</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6B84B41A"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70%</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CFE3C89"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−3.59</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20652D9C"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.001</w:t>
            </w:r>
          </w:p>
        </w:tc>
      </w:tr>
      <w:tr w:rsidR="00EA1D6F" w:rsidRPr="00255E6B" w14:paraId="73967917"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0B55885D"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Household income below $40,000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B5CFFA5"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9C84F0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59%</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448DBE8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−3.51</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0CD21C5B"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.001</w:t>
            </w:r>
          </w:p>
        </w:tc>
      </w:tr>
      <w:tr w:rsidR="00EA1D6F" w:rsidRPr="00255E6B" w14:paraId="1A1E3E42"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6EB063BC"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Partner with moderate/high substance use</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FEF113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40%</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117456C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98%</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732DF0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−8.57</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5A1C56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&lt;.001</w:t>
            </w:r>
          </w:p>
        </w:tc>
      </w:tr>
      <w:tr w:rsidR="00EA1D6F" w:rsidRPr="00255E6B" w14:paraId="47B3371C"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154734E8"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Racialized or Indigenous identity</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7C57455"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37%</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1D0CC8BB"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55%</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0E7D7E56"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−2.18</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7F6458E5"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.031</w:t>
            </w:r>
          </w:p>
        </w:tc>
      </w:tr>
      <w:tr w:rsidR="00EA1D6F" w:rsidRPr="00255E6B" w14:paraId="6E0F6053"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415618FE"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lastRenderedPageBreak/>
              <w:t>Has children</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1F09B0BA"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49%</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1CD8AFD"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64%</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559E752"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−1.83</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50C25B4"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.069</w:t>
            </w:r>
          </w:p>
        </w:tc>
      </w:tr>
      <w:tr w:rsidR="00EA1D6F" w:rsidRPr="00255E6B" w14:paraId="1B6DF34D"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5EEF4C9B"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Immigrant, PR, or refugee</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1D5ACB46"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8%</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3F3504A9"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11%</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7000A521"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−0.62</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3CBC5B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.534</w:t>
            </w:r>
          </w:p>
        </w:tc>
      </w:tr>
      <w:tr w:rsidR="00EA1D6F" w:rsidRPr="00255E6B" w14:paraId="2B3578A6"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641B8C50"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Informal caregiver</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0FE2D3E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56%</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0BE6E0B1"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66%</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3468F2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−1.17</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4EE0B55"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.244</w:t>
            </w:r>
          </w:p>
        </w:tc>
      </w:tr>
    </w:tbl>
    <w:p w14:paraId="3D6237B2" w14:textId="77777777" w:rsidR="00EA1D6F" w:rsidRPr="00255E6B" w:rsidRDefault="00EA1D6F" w:rsidP="00EA1D6F">
      <w:pPr>
        <w:spacing w:before="160"/>
        <w:rPr>
          <w:rFonts w:ascii="Calibri" w:hAnsi="Calibri" w:cs="Calibri"/>
          <w:sz w:val="22"/>
          <w:szCs w:val="22"/>
        </w:rPr>
      </w:pPr>
      <w:r w:rsidRPr="00255E6B">
        <w:rPr>
          <w:rFonts w:ascii="Calibri" w:eastAsia="Arial" w:hAnsi="Calibri" w:cs="Calibri"/>
          <w:sz w:val="22"/>
          <w:szCs w:val="22"/>
        </w:rPr>
        <w:t>Note: Values represent the percentage of women in each group with the characteristic. Bold p-values indicate statistically significant differences (p &lt; .05). Two-sample t-tests with equal variances. Matched = IPV-exposed women successfully matched to a non-IPV comparator (on common support). Unmatched = IPV-exposed women who fell outside the common support region and could not be matched.</w:t>
      </w:r>
    </w:p>
    <w:p w14:paraId="7974C51F" w14:textId="77777777" w:rsidR="00EA1D6F" w:rsidRPr="00255E6B" w:rsidRDefault="00EA1D6F" w:rsidP="00EA1D6F">
      <w:pPr>
        <w:spacing w:after="160"/>
        <w:rPr>
          <w:rFonts w:ascii="Calibri" w:hAnsi="Calibri" w:cs="Calibri"/>
          <w:sz w:val="22"/>
          <w:szCs w:val="22"/>
        </w:rPr>
      </w:pPr>
      <w:r w:rsidRPr="00255E6B">
        <w:rPr>
          <w:rFonts w:ascii="Calibri" w:eastAsia="Arial" w:hAnsi="Calibri" w:cs="Calibri"/>
          <w:b/>
          <w:bCs/>
          <w:sz w:val="22"/>
          <w:szCs w:val="22"/>
        </w:rPr>
        <w:t>Table: Characteristics of Matched vs. Unmatched IPV-Exposed Women</w:t>
      </w:r>
    </w:p>
    <w:p w14:paraId="0FBB3737" w14:textId="77777777" w:rsidR="00EA1D6F" w:rsidRPr="00255E6B" w:rsidRDefault="00EA1D6F" w:rsidP="00EA1D6F">
      <w:pPr>
        <w:spacing w:after="200"/>
        <w:rPr>
          <w:rFonts w:ascii="Calibri" w:hAnsi="Calibri" w:cs="Calibri"/>
          <w:sz w:val="22"/>
          <w:szCs w:val="22"/>
        </w:rPr>
      </w:pPr>
      <w:r w:rsidRPr="00255E6B">
        <w:rPr>
          <w:rFonts w:ascii="Calibri" w:eastAsia="Arial" w:hAnsi="Calibri" w:cs="Calibri"/>
          <w:sz w:val="22"/>
          <w:szCs w:val="22"/>
        </w:rPr>
        <w:t>Among the 132 IPV-exposed women in the analytic sample, 76 were successfully matched to a non-IPV comparator and 56 could not be matched. The table below compares these two groups on key sociodemographic characteristics.</w:t>
      </w:r>
    </w:p>
    <w:tbl>
      <w:tblP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400"/>
        <w:gridCol w:w="1400"/>
        <w:gridCol w:w="1000"/>
        <w:gridCol w:w="1000"/>
      </w:tblGrid>
      <w:tr w:rsidR="00EA1D6F" w:rsidRPr="00255E6B" w14:paraId="0864CE52" w14:textId="77777777" w:rsidTr="00C83291">
        <w:trPr>
          <w:tblHeader/>
        </w:trPr>
        <w:tc>
          <w:tcPr>
            <w:tcW w:w="32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1C4203B0" w14:textId="77777777" w:rsidR="00EA1D6F" w:rsidRPr="00255E6B" w:rsidRDefault="00EA1D6F" w:rsidP="00C83291">
            <w:pPr>
              <w:rPr>
                <w:rFonts w:ascii="Calibri" w:hAnsi="Calibri" w:cs="Calibri"/>
                <w:sz w:val="22"/>
                <w:szCs w:val="22"/>
              </w:rPr>
            </w:pPr>
            <w:r w:rsidRPr="00255E6B">
              <w:rPr>
                <w:rFonts w:ascii="Calibri" w:eastAsia="Arial" w:hAnsi="Calibri" w:cs="Calibri"/>
                <w:b/>
                <w:bCs/>
                <w:sz w:val="22"/>
                <w:szCs w:val="22"/>
              </w:rPr>
              <w:t>Characteristic</w:t>
            </w:r>
          </w:p>
        </w:tc>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2B942E16"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Matched IPV (n = 76)</w:t>
            </w:r>
          </w:p>
        </w:tc>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6EB8CFD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Unmatched IPV (n = 56)</w:t>
            </w:r>
          </w:p>
        </w:tc>
        <w:tc>
          <w:tcPr>
            <w:tcW w:w="1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430A60B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t</w:t>
            </w:r>
          </w:p>
        </w:tc>
        <w:tc>
          <w:tcPr>
            <w:tcW w:w="1000" w:type="dxa"/>
            <w:tcBorders>
              <w:top w:val="single" w:sz="1" w:space="0" w:color="999999"/>
              <w:left w:val="single" w:sz="1" w:space="0" w:color="999999"/>
              <w:bottom w:val="single" w:sz="1" w:space="0" w:color="999999"/>
              <w:right w:val="single" w:sz="1" w:space="0" w:color="999999"/>
            </w:tcBorders>
            <w:shd w:val="clear" w:color="auto" w:fill="D9D9D9"/>
            <w:tcMar>
              <w:top w:w="80" w:type="dxa"/>
              <w:left w:w="120" w:type="dxa"/>
              <w:bottom w:w="80" w:type="dxa"/>
              <w:right w:w="120" w:type="dxa"/>
            </w:tcMar>
            <w:vAlign w:val="center"/>
          </w:tcPr>
          <w:p w14:paraId="002E399C"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p-value</w:t>
            </w:r>
          </w:p>
        </w:tc>
      </w:tr>
      <w:tr w:rsidR="00EA1D6F" w:rsidRPr="00255E6B" w14:paraId="75C98282"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1E4BDF8F"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Age 18–34</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FCC228A"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40%</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556028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70%</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FABD6F9"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−3.59</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E62F7C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.001</w:t>
            </w:r>
          </w:p>
        </w:tc>
      </w:tr>
      <w:tr w:rsidR="00EA1D6F" w:rsidRPr="00255E6B" w14:paraId="016982BA"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4EA0ABEA"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Household income below $40,000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04EFFF1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0618AE21"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59%</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7BDCECF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−3.51</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57CD7A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.001</w:t>
            </w:r>
          </w:p>
        </w:tc>
      </w:tr>
      <w:tr w:rsidR="00EA1D6F" w:rsidRPr="00255E6B" w14:paraId="0E4897E0"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47C8CC5F"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Partner with moderate/high substance use</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D553831"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40%</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4959B9B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98%</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1237974D"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−8.57</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9B4205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&lt;.001</w:t>
            </w:r>
          </w:p>
        </w:tc>
      </w:tr>
      <w:tr w:rsidR="00EA1D6F" w:rsidRPr="00255E6B" w14:paraId="1F95DBAD"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11F714C4"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Racialized or Indigenous identity</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4EE45302"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37%</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28514939"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55%</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5172CCD9"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−2.18</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3C298310"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b/>
                <w:bCs/>
                <w:sz w:val="22"/>
                <w:szCs w:val="22"/>
              </w:rPr>
              <w:t>.031</w:t>
            </w:r>
          </w:p>
        </w:tc>
      </w:tr>
      <w:tr w:rsidR="00EA1D6F" w:rsidRPr="00255E6B" w14:paraId="4F0DF8E7"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3192DAD"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Has children</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07FA17AC"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49%</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206AE27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64%</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3F7E1BC3"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−1.83</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63FBD45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.069</w:t>
            </w:r>
          </w:p>
        </w:tc>
      </w:tr>
      <w:tr w:rsidR="00EA1D6F" w:rsidRPr="00255E6B" w14:paraId="3A9E9042"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61293F3"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Immigrant, PR, or refugee</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71C2CFE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8%</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59AED012"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11%</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227125D2"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−0.62</w:t>
            </w:r>
          </w:p>
        </w:tc>
        <w:tc>
          <w:tcPr>
            <w:tcW w:w="1000" w:type="dxa"/>
            <w:tcBorders>
              <w:top w:val="single" w:sz="1" w:space="0" w:color="999999"/>
              <w:left w:val="single" w:sz="1" w:space="0" w:color="999999"/>
              <w:bottom w:val="single" w:sz="1" w:space="0" w:color="999999"/>
              <w:right w:val="single" w:sz="1" w:space="0" w:color="999999"/>
            </w:tcBorders>
            <w:shd w:val="clear" w:color="auto" w:fill="F5F5F5"/>
            <w:tcMar>
              <w:top w:w="80" w:type="dxa"/>
              <w:left w:w="120" w:type="dxa"/>
              <w:bottom w:w="80" w:type="dxa"/>
              <w:right w:w="120" w:type="dxa"/>
            </w:tcMar>
            <w:vAlign w:val="center"/>
          </w:tcPr>
          <w:p w14:paraId="69C4B69D"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.534</w:t>
            </w:r>
          </w:p>
        </w:tc>
      </w:tr>
      <w:tr w:rsidR="00EA1D6F" w:rsidRPr="00255E6B" w14:paraId="24DDE029" w14:textId="77777777" w:rsidTr="00C83291">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70110B0A" w14:textId="77777777" w:rsidR="00EA1D6F" w:rsidRPr="00255E6B" w:rsidRDefault="00EA1D6F" w:rsidP="00C83291">
            <w:pPr>
              <w:rPr>
                <w:rFonts w:ascii="Calibri" w:hAnsi="Calibri" w:cs="Calibri"/>
                <w:sz w:val="22"/>
                <w:szCs w:val="22"/>
              </w:rPr>
            </w:pPr>
            <w:r w:rsidRPr="00255E6B">
              <w:rPr>
                <w:rFonts w:ascii="Calibri" w:eastAsia="Arial" w:hAnsi="Calibri" w:cs="Calibri"/>
                <w:sz w:val="22"/>
                <w:szCs w:val="22"/>
              </w:rPr>
              <w:t>Informal caregiver</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8E18162"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56%</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5E2D6517"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66%</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0E8C110E"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−1.17</w:t>
            </w:r>
          </w:p>
        </w:tc>
        <w:tc>
          <w:tcPr>
            <w:tcW w:w="1000" w:type="dxa"/>
            <w:tcBorders>
              <w:top w:val="single" w:sz="1" w:space="0" w:color="999999"/>
              <w:left w:val="single" w:sz="1" w:space="0" w:color="999999"/>
              <w:bottom w:val="single" w:sz="1" w:space="0" w:color="999999"/>
              <w:right w:val="single" w:sz="1" w:space="0" w:color="999999"/>
            </w:tcBorders>
            <w:shd w:val="clear" w:color="auto" w:fill="FFFFFF"/>
            <w:tcMar>
              <w:top w:w="80" w:type="dxa"/>
              <w:left w:w="120" w:type="dxa"/>
              <w:bottom w:w="80" w:type="dxa"/>
              <w:right w:w="120" w:type="dxa"/>
            </w:tcMar>
            <w:vAlign w:val="center"/>
          </w:tcPr>
          <w:p w14:paraId="2E76F691" w14:textId="77777777" w:rsidR="00EA1D6F" w:rsidRPr="00255E6B" w:rsidRDefault="00EA1D6F" w:rsidP="00C83291">
            <w:pPr>
              <w:jc w:val="center"/>
              <w:rPr>
                <w:rFonts w:ascii="Calibri" w:hAnsi="Calibri" w:cs="Calibri"/>
                <w:sz w:val="22"/>
                <w:szCs w:val="22"/>
              </w:rPr>
            </w:pPr>
            <w:r w:rsidRPr="00255E6B">
              <w:rPr>
                <w:rFonts w:ascii="Calibri" w:eastAsia="Arial" w:hAnsi="Calibri" w:cs="Calibri"/>
                <w:sz w:val="22"/>
                <w:szCs w:val="22"/>
              </w:rPr>
              <w:t>.244</w:t>
            </w:r>
          </w:p>
        </w:tc>
      </w:tr>
    </w:tbl>
    <w:p w14:paraId="6EED434F" w14:textId="77777777" w:rsidR="00EA1D6F" w:rsidRPr="00255E6B" w:rsidRDefault="00EA1D6F" w:rsidP="00EA1D6F">
      <w:pPr>
        <w:spacing w:before="160"/>
        <w:rPr>
          <w:rFonts w:ascii="Calibri" w:hAnsi="Calibri" w:cs="Calibri"/>
          <w:sz w:val="22"/>
          <w:szCs w:val="22"/>
        </w:rPr>
      </w:pPr>
      <w:r w:rsidRPr="00255E6B">
        <w:rPr>
          <w:rFonts w:ascii="Calibri" w:eastAsia="Arial" w:hAnsi="Calibri" w:cs="Calibri"/>
          <w:sz w:val="22"/>
          <w:szCs w:val="22"/>
        </w:rPr>
        <w:t>Note: Values represent the percentage of women in each group with the characteristic. Bold p-values indicate statistically significant differences (p &lt; .05). Two-sample t-tests with equal variances. Matched = IPV-exposed women successfully matched to a non-IPV comparator (on common support). Unmatched = IPV-exposed women who fell outside the common support region and could not be matched.</w:t>
      </w:r>
    </w:p>
    <w:p w14:paraId="3089397E" w14:textId="77777777" w:rsidR="00EA1D6F" w:rsidRPr="00255E6B" w:rsidRDefault="00EA1D6F">
      <w:pPr>
        <w:spacing w:after="160"/>
        <w:rPr>
          <w:rFonts w:ascii="Calibri" w:hAnsi="Calibri" w:cs="Calibri"/>
          <w:sz w:val="22"/>
          <w:szCs w:val="22"/>
        </w:rPr>
      </w:pPr>
    </w:p>
    <w:p w14:paraId="45CD5915"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Table S-A: How similar were the two groups before and after matching?</w:t>
      </w:r>
    </w:p>
    <w:p w14:paraId="71DF664C"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 xml:space="preserve">The table below shows whether IPV-exposed and non-IPV women differed on 13 background characteristics before matching (Unmatched) and after matching (Matched). The '% </w:t>
      </w:r>
      <w:proofErr w:type="spellStart"/>
      <w:r w:rsidRPr="00255E6B">
        <w:rPr>
          <w:rFonts w:ascii="Calibri" w:eastAsia="Arial" w:hAnsi="Calibri" w:cs="Calibri"/>
          <w:sz w:val="22"/>
          <w:szCs w:val="22"/>
        </w:rPr>
        <w:t>Bias'</w:t>
      </w:r>
      <w:proofErr w:type="spellEnd"/>
      <w:r w:rsidRPr="00255E6B">
        <w:rPr>
          <w:rFonts w:ascii="Calibri" w:eastAsia="Arial" w:hAnsi="Calibri" w:cs="Calibri"/>
          <w:sz w:val="22"/>
          <w:szCs w:val="22"/>
        </w:rPr>
        <w:t xml:space="preserve"> column shows how large the difference between groups was — values below 10% are generally considered acceptable. The p-value column shows whether any remaining difference was statistically significant.</w:t>
      </w:r>
    </w:p>
    <w:p w14:paraId="2264727D" w14:textId="77777777" w:rsidR="005D1BB4" w:rsidRPr="00255E6B" w:rsidRDefault="005D1BB4">
      <w:pPr>
        <w:spacing w:after="160"/>
        <w:rPr>
          <w:rFonts w:ascii="Calibri" w:hAnsi="Calibri" w:cs="Calibri"/>
          <w:sz w:val="22"/>
          <w:szCs w:val="22"/>
        </w:rPr>
      </w:pPr>
    </w:p>
    <w:tbl>
      <w:tblPr>
        <w:tblW w:w="7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50"/>
        <w:gridCol w:w="1266"/>
        <w:gridCol w:w="854"/>
        <w:gridCol w:w="849"/>
        <w:gridCol w:w="809"/>
        <w:gridCol w:w="722"/>
        <w:gridCol w:w="750"/>
      </w:tblGrid>
      <w:tr w:rsidR="005D1BB4" w:rsidRPr="00255E6B" w14:paraId="7B5DF606" w14:textId="77777777" w:rsidTr="00EA1D6F">
        <w:trPr>
          <w:tblHeader/>
        </w:trPr>
        <w:tc>
          <w:tcPr>
            <w:tcW w:w="2403"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0288E913"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lastRenderedPageBreak/>
              <w:t>Characteristic</w:t>
            </w:r>
          </w:p>
        </w:tc>
        <w:tc>
          <w:tcPr>
            <w:tcW w:w="1142"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5962323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Sample</w:t>
            </w:r>
          </w:p>
        </w:tc>
        <w:tc>
          <w:tcPr>
            <w:tcW w:w="871"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272CC67E"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IPV</w:t>
            </w:r>
          </w:p>
        </w:tc>
        <w:tc>
          <w:tcPr>
            <w:tcW w:w="958"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7BC792D5"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Non-IPV</w:t>
            </w:r>
          </w:p>
        </w:tc>
        <w:tc>
          <w:tcPr>
            <w:tcW w:w="862"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3258E506"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 Bias</w:t>
            </w:r>
          </w:p>
        </w:tc>
        <w:tc>
          <w:tcPr>
            <w:tcW w:w="1364" w:type="dxa"/>
            <w:gridSpan w:val="2"/>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1756E362"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t-test</w:t>
            </w:r>
          </w:p>
        </w:tc>
      </w:tr>
      <w:tr w:rsidR="005D1BB4" w:rsidRPr="00255E6B" w14:paraId="6B755DBF" w14:textId="77777777" w:rsidTr="00EA1D6F">
        <w:trPr>
          <w:tblHeader/>
        </w:trPr>
        <w:tc>
          <w:tcPr>
            <w:tcW w:w="0" w:type="auto"/>
            <w:vMerge/>
            <w:tcBorders>
              <w:top w:val="single" w:sz="1" w:space="0" w:color="999999"/>
              <w:left w:val="single" w:sz="1" w:space="0" w:color="999999"/>
              <w:bottom w:val="single" w:sz="1" w:space="0" w:color="999999"/>
              <w:right w:val="single" w:sz="1" w:space="0" w:color="999999"/>
            </w:tcBorders>
          </w:tcPr>
          <w:p w14:paraId="5EB432B3" w14:textId="77777777" w:rsidR="005D1BB4" w:rsidRPr="00255E6B" w:rsidRDefault="005D1BB4">
            <w:pPr>
              <w:rPr>
                <w:rFonts w:ascii="Calibri" w:hAnsi="Calibri" w:cs="Calibri"/>
                <w:sz w:val="22"/>
                <w:szCs w:val="22"/>
              </w:rPr>
            </w:pPr>
          </w:p>
        </w:tc>
        <w:tc>
          <w:tcPr>
            <w:tcW w:w="0" w:type="auto"/>
            <w:vMerge/>
            <w:tcBorders>
              <w:top w:val="single" w:sz="1" w:space="0" w:color="999999"/>
              <w:left w:val="single" w:sz="1" w:space="0" w:color="999999"/>
              <w:bottom w:val="single" w:sz="1" w:space="0" w:color="999999"/>
              <w:right w:val="single" w:sz="1" w:space="0" w:color="999999"/>
            </w:tcBorders>
          </w:tcPr>
          <w:p w14:paraId="4209D3DF" w14:textId="77777777" w:rsidR="005D1BB4" w:rsidRPr="00255E6B" w:rsidRDefault="005D1BB4">
            <w:pPr>
              <w:rPr>
                <w:rFonts w:ascii="Calibri" w:hAnsi="Calibri" w:cs="Calibri"/>
                <w:sz w:val="22"/>
                <w:szCs w:val="22"/>
              </w:rPr>
            </w:pPr>
          </w:p>
        </w:tc>
        <w:tc>
          <w:tcPr>
            <w:tcW w:w="0" w:type="auto"/>
            <w:vMerge/>
            <w:tcBorders>
              <w:top w:val="single" w:sz="1" w:space="0" w:color="999999"/>
              <w:left w:val="single" w:sz="1" w:space="0" w:color="999999"/>
              <w:bottom w:val="single" w:sz="1" w:space="0" w:color="999999"/>
              <w:right w:val="single" w:sz="1" w:space="0" w:color="999999"/>
            </w:tcBorders>
          </w:tcPr>
          <w:p w14:paraId="0E11D97F" w14:textId="77777777" w:rsidR="005D1BB4" w:rsidRPr="00255E6B" w:rsidRDefault="005D1BB4">
            <w:pPr>
              <w:rPr>
                <w:rFonts w:ascii="Calibri" w:hAnsi="Calibri" w:cs="Calibri"/>
                <w:sz w:val="22"/>
                <w:szCs w:val="22"/>
              </w:rPr>
            </w:pPr>
          </w:p>
        </w:tc>
        <w:tc>
          <w:tcPr>
            <w:tcW w:w="958" w:type="dxa"/>
            <w:vMerge/>
            <w:tcBorders>
              <w:top w:val="single" w:sz="1" w:space="0" w:color="999999"/>
              <w:left w:val="single" w:sz="1" w:space="0" w:color="999999"/>
              <w:bottom w:val="single" w:sz="1" w:space="0" w:color="999999"/>
              <w:right w:val="single" w:sz="1" w:space="0" w:color="999999"/>
            </w:tcBorders>
          </w:tcPr>
          <w:p w14:paraId="5DD19B8D" w14:textId="77777777" w:rsidR="005D1BB4" w:rsidRPr="00255E6B" w:rsidRDefault="005D1BB4">
            <w:pPr>
              <w:rPr>
                <w:rFonts w:ascii="Calibri" w:hAnsi="Calibri" w:cs="Calibri"/>
                <w:sz w:val="22"/>
                <w:szCs w:val="22"/>
              </w:rPr>
            </w:pPr>
          </w:p>
        </w:tc>
        <w:tc>
          <w:tcPr>
            <w:tcW w:w="862" w:type="dxa"/>
            <w:vMerge/>
            <w:tcBorders>
              <w:top w:val="single" w:sz="1" w:space="0" w:color="999999"/>
              <w:left w:val="single" w:sz="1" w:space="0" w:color="999999"/>
              <w:bottom w:val="single" w:sz="1" w:space="0" w:color="999999"/>
              <w:right w:val="single" w:sz="1" w:space="0" w:color="999999"/>
            </w:tcBorders>
          </w:tcPr>
          <w:p w14:paraId="4D4955D3" w14:textId="77777777" w:rsidR="005D1BB4" w:rsidRPr="00255E6B" w:rsidRDefault="005D1BB4">
            <w:pPr>
              <w:rPr>
                <w:rFonts w:ascii="Calibri" w:hAnsi="Calibri" w:cs="Calibri"/>
                <w:sz w:val="22"/>
                <w:szCs w:val="22"/>
              </w:rPr>
            </w:pPr>
          </w:p>
        </w:tc>
        <w:tc>
          <w:tcPr>
            <w:tcW w:w="591"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116E652F"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t</w:t>
            </w:r>
          </w:p>
        </w:tc>
        <w:tc>
          <w:tcPr>
            <w:tcW w:w="773"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532C7445"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p-value</w:t>
            </w:r>
          </w:p>
        </w:tc>
      </w:tr>
      <w:tr w:rsidR="005D1BB4" w:rsidRPr="00255E6B" w14:paraId="4B859EF4"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09A4AB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Age 18–34</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A304E2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A321C0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.508</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F6B3DA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.191</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028C6D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70.3</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760451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7.56</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346BB2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1560A662"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02FD8CC"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69CF90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F096E9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.368</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7E528F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.421</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D60905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−11.7</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C8D93C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−0.66</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E6AE1A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0.510</w:t>
            </w:r>
          </w:p>
        </w:tc>
      </w:tr>
      <w:tr w:rsidR="005D1BB4" w:rsidRPr="00255E6B" w14:paraId="6FA9A187"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7DBACBB"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Age 35–54</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7E657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9065BE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.417</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401253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.416</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AFE2C1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EE38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0.01</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4ED538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0.994</w:t>
            </w:r>
          </w:p>
        </w:tc>
      </w:tr>
      <w:tr w:rsidR="005D1BB4" w:rsidRPr="00255E6B" w14:paraId="71F6463B"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9A6A92F"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9B5548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C79955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.526</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F62141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.566</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0A8FA0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−8.0</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D8D230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−0.49</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A84C13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0.628</w:t>
            </w:r>
          </w:p>
        </w:tc>
      </w:tr>
      <w:tr w:rsidR="005D1BB4" w:rsidRPr="00255E6B" w14:paraId="081070EE"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FF1360E"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Racialized/Indigenous</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3B36AD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517677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.439</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DE92F7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.188</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5D0113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56.0</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A319BB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6.02</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C3067F2"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62ED6D00"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9C90EE8"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14DE02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39E0EF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.355</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1B0F3C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.382</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C85995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−5.9</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C57D22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−0.33</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026FE1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0.739</w:t>
            </w:r>
          </w:p>
        </w:tc>
      </w:tr>
      <w:tr w:rsidR="005D1BB4" w:rsidRPr="00255E6B" w14:paraId="6EDC66F7"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97B73E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Immigrant/PR/Refugee</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019B1F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4CD3D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.098</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0AFD4A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.049</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47D586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19.0</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7B4D2B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2.10</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F057167"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0.036</w:t>
            </w:r>
          </w:p>
        </w:tc>
      </w:tr>
      <w:tr w:rsidR="005D1BB4" w:rsidRPr="00255E6B" w14:paraId="3E57A101"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866F6D0"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1173E6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3C137F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.092</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68D4DC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.092</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5ECE07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B6B4E8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0.00</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EAF839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1.000</w:t>
            </w:r>
          </w:p>
        </w:tc>
      </w:tr>
      <w:tr w:rsidR="005D1BB4" w:rsidRPr="00255E6B" w14:paraId="05780570"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2C86DD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Trade/College education</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E2AC01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917731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.371</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3A8140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.377</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215FB8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05E7A5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−0.11</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387A2A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0.909</w:t>
            </w:r>
          </w:p>
        </w:tc>
      </w:tr>
      <w:tr w:rsidR="005D1BB4" w:rsidRPr="00255E6B" w14:paraId="23CB45E2"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8755D92"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993999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E78BAE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.355</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8A729D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.355</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FFC71C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2A6796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0.00</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78C134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1.000</w:t>
            </w:r>
          </w:p>
        </w:tc>
      </w:tr>
      <w:tr w:rsidR="005D1BB4" w:rsidRPr="00255E6B" w14:paraId="4C117204"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844BB74"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University education</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FD82E8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7CCAC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.462</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57C0BD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.453</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2DDE40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1.7</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581ECF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0.17</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46C5BF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0.862</w:t>
            </w:r>
          </w:p>
        </w:tc>
      </w:tr>
      <w:tr w:rsidR="005D1BB4" w:rsidRPr="00255E6B" w14:paraId="7757722D"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44FE861"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892C4C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193E39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.487</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18E841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.487</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36DA88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0E7959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0.00</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F62AB6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1.000</w:t>
            </w:r>
          </w:p>
        </w:tc>
      </w:tr>
      <w:tr w:rsidR="005D1BB4" w:rsidRPr="00255E6B" w14:paraId="11EB3361"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0C412AB"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Unemployed/Retired</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D0D20B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BAD94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.348</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D24FCE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.319</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F07372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6.3</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2DBE28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0.64</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88D5B0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0.522</w:t>
            </w:r>
          </w:p>
        </w:tc>
      </w:tr>
      <w:tr w:rsidR="005D1BB4" w:rsidRPr="00255E6B" w14:paraId="2DA8B53F"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71EDD6B"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62108C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C5B330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.289</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1C27BB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.197</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D1147B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19.5</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AFA0E3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1.32</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5FFB3F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0.188</w:t>
            </w:r>
          </w:p>
        </w:tc>
      </w:tr>
      <w:tr w:rsidR="005D1BB4" w:rsidRPr="00255E6B" w14:paraId="3B528381"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C3DFE8A"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Household income &lt;$40K</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15AC70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291472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.409</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A63A28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.151</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B5FA69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59.8</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F877FA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6.57</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C39AA99"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3D683EB0"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78BB01F"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4F0814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99D8AB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.276</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BDE7DC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.237</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18CB84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9.2</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E85517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0.55</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B93BA8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0.580</w:t>
            </w:r>
          </w:p>
        </w:tc>
      </w:tr>
      <w:tr w:rsidR="005D1BB4" w:rsidRPr="00255E6B" w14:paraId="32CE0AF6"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339B7C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Community violence</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84B74C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1CCC8D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.417</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840ECC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.284</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DC8ECA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28.1</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02CAD3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2.89</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CFF2228"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0.004</w:t>
            </w:r>
          </w:p>
        </w:tc>
      </w:tr>
      <w:tr w:rsidR="005D1BB4" w:rsidRPr="00255E6B" w14:paraId="51625062"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5873C36"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01DA9F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D0EA4C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.329</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5D5232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.316</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CB2E22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59B524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0.17</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2B052B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0.863</w:t>
            </w:r>
          </w:p>
        </w:tc>
      </w:tr>
      <w:tr w:rsidR="005D1BB4" w:rsidRPr="00255E6B" w14:paraId="5341B523"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3B29CE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Informed about services</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6398FC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94D7A9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.492</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C63EC2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.705</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066BDE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−44.2</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091045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−4.56</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65F5B6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442FC822"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ACEE732"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E8816B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5DC7B7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.566</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679704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.592</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BD52AC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−5.5</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BD7366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−0.33</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A50433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0.744</w:t>
            </w:r>
          </w:p>
        </w:tc>
      </w:tr>
      <w:tr w:rsidR="005D1BB4" w:rsidRPr="00255E6B" w14:paraId="0356FF6B"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81DA5CD"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Partner substance use (moderate/high)</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46EA76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419E77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.636</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0D1F5D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.102</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D1B7C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132.4</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584831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15.18</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7A51658"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15AFCC41"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B91705B"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5902DA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73403F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.382</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187BE5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.355</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F9EEE2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6.5</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F21EA2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0.33</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3210B0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0.739</w:t>
            </w:r>
          </w:p>
        </w:tc>
      </w:tr>
      <w:tr w:rsidR="005D1BB4" w:rsidRPr="00255E6B" w14:paraId="5F5FBD9A"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43B978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Has children</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D300B0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724CDB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.561</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9F5813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.342</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A6BAFC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44.9</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042CB4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4.58</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D7DD4F5"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r>
      <w:tr w:rsidR="005D1BB4" w:rsidRPr="00255E6B" w14:paraId="064D9F4A"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6F9ADDC"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38FC6D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DCCBC0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.500</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255B3F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.553</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CE6657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−10.8</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DCEA84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−0.65</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1A41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0.519</w:t>
            </w:r>
          </w:p>
        </w:tc>
      </w:tr>
      <w:tr w:rsidR="005D1BB4" w:rsidRPr="00255E6B" w14:paraId="695214DB"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AE48A6F"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Informal caregiver</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C9FB92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Unmatched</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68E547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.614</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D4A865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.442</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F11554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34.8</w:t>
            </w:r>
          </w:p>
        </w:tc>
        <w:tc>
          <w:tcPr>
            <w:tcW w:w="5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702820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3.49</w:t>
            </w:r>
          </w:p>
        </w:tc>
        <w:tc>
          <w:tcPr>
            <w:tcW w:w="77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643279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0.001</w:t>
            </w:r>
          </w:p>
        </w:tc>
      </w:tr>
      <w:tr w:rsidR="005D1BB4" w:rsidRPr="00255E6B" w14:paraId="242F29BE"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CF70954" w14:textId="77777777" w:rsidR="005D1BB4" w:rsidRPr="00255E6B" w:rsidRDefault="005D1BB4">
            <w:pPr>
              <w:rPr>
                <w:rFonts w:ascii="Calibri" w:hAnsi="Calibri" w:cs="Calibri"/>
                <w:sz w:val="22"/>
                <w:szCs w:val="22"/>
              </w:rPr>
            </w:pPr>
          </w:p>
        </w:tc>
        <w:tc>
          <w:tcPr>
            <w:tcW w:w="114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C2D80F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Matched</w:t>
            </w:r>
          </w:p>
        </w:tc>
        <w:tc>
          <w:tcPr>
            <w:tcW w:w="87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8B9F02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.579</w:t>
            </w:r>
          </w:p>
        </w:tc>
        <w:tc>
          <w:tcPr>
            <w:tcW w:w="95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03DFED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.658</w:t>
            </w:r>
          </w:p>
        </w:tc>
        <w:tc>
          <w:tcPr>
            <w:tcW w:w="8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565C09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−16.0</w:t>
            </w:r>
          </w:p>
        </w:tc>
        <w:tc>
          <w:tcPr>
            <w:tcW w:w="5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B9A35D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−1.00</w:t>
            </w:r>
          </w:p>
        </w:tc>
        <w:tc>
          <w:tcPr>
            <w:tcW w:w="773"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60FB8B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0.320</w:t>
            </w:r>
          </w:p>
        </w:tc>
      </w:tr>
      <w:tr w:rsidR="005D1BB4" w:rsidRPr="00255E6B" w14:paraId="67452908" w14:textId="77777777">
        <w:tc>
          <w:tcPr>
            <w:tcW w:w="7600" w:type="dxa"/>
            <w:gridSpan w:val="7"/>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406113E6"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Overall Model Fit</w:t>
            </w:r>
          </w:p>
        </w:tc>
      </w:tr>
      <w:tr w:rsidR="005D1BB4" w:rsidRPr="00255E6B" w14:paraId="7669F7C0"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634406E0"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lastRenderedPageBreak/>
              <w:t>Sample</w:t>
            </w:r>
          </w:p>
        </w:tc>
        <w:tc>
          <w:tcPr>
            <w:tcW w:w="1142"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43C89997"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Pseudo R²</w:t>
            </w:r>
          </w:p>
        </w:tc>
        <w:tc>
          <w:tcPr>
            <w:tcW w:w="871"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01B9040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LR chi²</w:t>
            </w:r>
          </w:p>
        </w:tc>
        <w:tc>
          <w:tcPr>
            <w:tcW w:w="958"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31DB858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 &gt; chi²</w:t>
            </w:r>
          </w:p>
        </w:tc>
        <w:tc>
          <w:tcPr>
            <w:tcW w:w="862"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4D9DC2B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Mean % Bias</w:t>
            </w:r>
          </w:p>
        </w:tc>
        <w:tc>
          <w:tcPr>
            <w:tcW w:w="1364" w:type="dxa"/>
            <w:gridSpan w:val="2"/>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3842D17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Median % Bias</w:t>
            </w:r>
          </w:p>
        </w:tc>
      </w:tr>
      <w:tr w:rsidR="005D1BB4" w:rsidRPr="00255E6B" w14:paraId="28F6776D"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A526BD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Unmatched</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6FF46D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0.370</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A4E2B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226.39</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3DA7114"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0.000</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E30D40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38.4</w:t>
            </w:r>
          </w:p>
        </w:tc>
        <w:tc>
          <w:tcPr>
            <w:tcW w:w="1364" w:type="dxa"/>
            <w:gridSpan w:val="2"/>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243AAA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34.8</w:t>
            </w:r>
          </w:p>
        </w:tc>
      </w:tr>
      <w:tr w:rsidR="005D1BB4" w:rsidRPr="00255E6B" w14:paraId="4D1C3949" w14:textId="77777777" w:rsidTr="00EA1D6F">
        <w:tc>
          <w:tcPr>
            <w:tcW w:w="2403"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2505144"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Matched</w:t>
            </w:r>
          </w:p>
        </w:tc>
        <w:tc>
          <w:tcPr>
            <w:tcW w:w="114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E4A47D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0.046</w:t>
            </w:r>
          </w:p>
        </w:tc>
        <w:tc>
          <w:tcPr>
            <w:tcW w:w="87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2B1D38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9.63</w:t>
            </w:r>
          </w:p>
        </w:tc>
        <w:tc>
          <w:tcPr>
            <w:tcW w:w="95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B0D8BA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0.724</w:t>
            </w:r>
          </w:p>
        </w:tc>
        <w:tc>
          <w:tcPr>
            <w:tcW w:w="8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1B3982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7.4</w:t>
            </w:r>
          </w:p>
        </w:tc>
        <w:tc>
          <w:tcPr>
            <w:tcW w:w="1364" w:type="dxa"/>
            <w:gridSpan w:val="2"/>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1E0EE2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6.5</w:t>
            </w:r>
          </w:p>
        </w:tc>
      </w:tr>
    </w:tbl>
    <w:p w14:paraId="4ECE826E" w14:textId="77777777" w:rsidR="005D1BB4" w:rsidRPr="00255E6B" w:rsidRDefault="005D1BB4">
      <w:pPr>
        <w:spacing w:after="160"/>
        <w:rPr>
          <w:rFonts w:ascii="Calibri" w:hAnsi="Calibri" w:cs="Calibri"/>
          <w:sz w:val="22"/>
          <w:szCs w:val="22"/>
        </w:rPr>
      </w:pPr>
    </w:p>
    <w:p w14:paraId="24E86DA1" w14:textId="7640BAC2"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Before matching, the two groups differed substantially on many characteristics (mean bias = 38.4%). After matching, these differences were greatly reduced (mean bias = 7.4%), and none of the individual characteristics remained statistically significant. The overall test of whether the groups were comparable after matching returned p = 0.724, confirming that balance was achieved.</w:t>
      </w:r>
    </w:p>
    <w:p w14:paraId="03C270B7"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Table S-B: Mental and physical health outcomes in the matched sample</w:t>
      </w:r>
    </w:p>
    <w:p w14:paraId="7CF82456" w14:textId="2C499745"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The two models below repeat the primary logistic regression analyses (Table 4 in the main manuscript) using only the 152 matched women (76 IPV-exposed, 76 non-IPV). Only key significant and near-significant predictors are shown for readability; full model output is available from the corresponding author on request.</w:t>
      </w:r>
    </w:p>
    <w:p w14:paraId="4DA0DDAF" w14:textId="77777777" w:rsidR="002627C5" w:rsidRPr="00255E6B" w:rsidRDefault="002627C5">
      <w:pPr>
        <w:spacing w:after="160"/>
        <w:rPr>
          <w:rFonts w:ascii="Calibri" w:hAnsi="Calibri" w:cs="Calibri"/>
          <w:sz w:val="22"/>
          <w:szCs w:val="22"/>
        </w:rPr>
      </w:pPr>
    </w:p>
    <w:tbl>
      <w:tblPr>
        <w:tblW w:w="6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800"/>
        <w:gridCol w:w="1400"/>
        <w:gridCol w:w="1545"/>
      </w:tblGrid>
      <w:tr w:rsidR="005D1BB4" w:rsidRPr="00255E6B" w14:paraId="5C131CD2" w14:textId="77777777" w:rsidTr="002627C5">
        <w:trPr>
          <w:tblHeader/>
        </w:trPr>
        <w:tc>
          <w:tcPr>
            <w:tcW w:w="3200" w:type="dxa"/>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5696FE90"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Variable</w:t>
            </w:r>
          </w:p>
        </w:tc>
        <w:tc>
          <w:tcPr>
            <w:tcW w:w="800" w:type="dxa"/>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79B0B5CC"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Odds Ratio</w:t>
            </w:r>
          </w:p>
        </w:tc>
        <w:tc>
          <w:tcPr>
            <w:tcW w:w="1400" w:type="dxa"/>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0B3B4B00"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95% CI</w:t>
            </w:r>
          </w:p>
        </w:tc>
        <w:tc>
          <w:tcPr>
            <w:tcW w:w="1545" w:type="dxa"/>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7CB8E416"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p-value</w:t>
            </w:r>
          </w:p>
        </w:tc>
      </w:tr>
      <w:tr w:rsidR="005D1BB4" w:rsidRPr="00255E6B" w14:paraId="5C8B210D" w14:textId="77777777" w:rsidTr="002627C5">
        <w:tc>
          <w:tcPr>
            <w:tcW w:w="6945" w:type="dxa"/>
            <w:gridSpan w:val="4"/>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644595A7"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OUTCOME: Poor Mental Health (matched sample, n=151; OR=3.92, p=.020)</w:t>
            </w:r>
          </w:p>
        </w:tc>
      </w:tr>
      <w:tr w:rsidR="005D1BB4" w:rsidRPr="00255E6B" w14:paraId="37AFD9F8"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07FD37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IPV exposure (Yes vs. No)</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2DFD9E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3.92</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0B7B88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1.24, 12.37</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32E062E"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.020</w:t>
            </w:r>
          </w:p>
        </w:tc>
      </w:tr>
      <w:tr w:rsidR="005D1BB4" w:rsidRPr="00255E6B" w14:paraId="381463E0"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049DA7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 informal help-seeking</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C4F07E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4.63</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EEE3E4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1.05, 20.39</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4D8B13D"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.043</w:t>
            </w:r>
          </w:p>
        </w:tc>
      </w:tr>
      <w:tr w:rsidR="005D1BB4" w:rsidRPr="00255E6B" w14:paraId="1630CC87"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4865D1"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Poor physical health</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176A37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13.81</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F691FC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3.28, 58.09</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EF633E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&lt;.001</w:t>
            </w:r>
          </w:p>
        </w:tc>
      </w:tr>
      <w:tr w:rsidR="005D1BB4" w:rsidRPr="00255E6B" w14:paraId="320136FD"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9231AB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Immigrant/PR/Refugee (participant)</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2C4460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10.44</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EC058A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1.04, 104.92</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41703FF"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.046</w:t>
            </w:r>
          </w:p>
        </w:tc>
      </w:tr>
      <w:tr w:rsidR="005D1BB4" w:rsidRPr="00255E6B" w14:paraId="5B0A1274"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A74A3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Unemployed/Retired</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D73D0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0.27</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34D2AF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0.08, 0.92</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275C4C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.037</w:t>
            </w:r>
          </w:p>
        </w:tc>
      </w:tr>
      <w:tr w:rsidR="005D1BB4" w:rsidRPr="00255E6B" w14:paraId="4B9F024D"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72CD06"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Eastern Ontario (vs. Toronto)</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B3033B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0.04</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33C2FA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0.006, 0.27</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6FDA49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.001</w:t>
            </w:r>
          </w:p>
        </w:tc>
      </w:tr>
      <w:tr w:rsidR="005D1BB4" w:rsidRPr="00255E6B" w14:paraId="54E9DC46" w14:textId="77777777" w:rsidTr="002627C5">
        <w:tc>
          <w:tcPr>
            <w:tcW w:w="6945" w:type="dxa"/>
            <w:gridSpan w:val="4"/>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2E282395"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OUTCOME: Poor Physical Health (matched sample, n=151; OR=1.69, p=.284)</w:t>
            </w:r>
          </w:p>
        </w:tc>
      </w:tr>
      <w:tr w:rsidR="005D1BB4" w:rsidRPr="00255E6B" w14:paraId="0844BD74"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AB45EC5"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IPV exposure (Yes vs. No)</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4A4704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1.69</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3741CE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0.65, 4.40</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8866E5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.284</w:t>
            </w:r>
          </w:p>
        </w:tc>
      </w:tr>
      <w:tr w:rsidR="005D1BB4" w:rsidRPr="00255E6B" w14:paraId="2CE547D8"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024D28C"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Household income &lt;$40K</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FAE22A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12.71</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674E3D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2.03, 79.39</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D55BAA0"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.007</w:t>
            </w:r>
          </w:p>
        </w:tc>
      </w:tr>
      <w:tr w:rsidR="005D1BB4" w:rsidRPr="00255E6B" w14:paraId="2730182D"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01FA6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Caregiving responsibilities</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DEFAEC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14.07</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F103FF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1.82, 108.86</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D739BE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.011</w:t>
            </w:r>
          </w:p>
        </w:tc>
      </w:tr>
      <w:tr w:rsidR="005D1BB4" w:rsidRPr="00255E6B" w14:paraId="4CDFE47D"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B1C3F79"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Community violence exposure</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5BC0FF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3.40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ABCB50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1.06, 10.93</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4794F3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.040</w:t>
            </w:r>
          </w:p>
        </w:tc>
      </w:tr>
      <w:tr w:rsidR="005D1BB4" w:rsidRPr="00255E6B" w14:paraId="6F368B04"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44D798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Lack of information about services</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B3B51D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4.06</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DC0326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1.37, 12.06</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15A45DA"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.012</w:t>
            </w:r>
          </w:p>
        </w:tc>
      </w:tr>
      <w:tr w:rsidR="005D1BB4" w:rsidRPr="00255E6B" w14:paraId="1CC55C4C"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A801BF4"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lastRenderedPageBreak/>
              <w:t>Eastern Ontario (vs. Toronto)</w:t>
            </w:r>
          </w:p>
        </w:tc>
        <w:tc>
          <w:tcPr>
            <w:tcW w:w="8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FBD311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6.80</w:t>
            </w:r>
          </w:p>
        </w:tc>
        <w:tc>
          <w:tcPr>
            <w:tcW w:w="1400"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81103D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1.16, 39.82</w:t>
            </w:r>
          </w:p>
        </w:tc>
        <w:tc>
          <w:tcPr>
            <w:tcW w:w="1545"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FCD29B2"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.034</w:t>
            </w:r>
          </w:p>
        </w:tc>
      </w:tr>
      <w:tr w:rsidR="005D1BB4" w:rsidRPr="00255E6B" w14:paraId="64AD094B" w14:textId="77777777" w:rsidTr="002627C5">
        <w:tc>
          <w:tcPr>
            <w:tcW w:w="32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A727FC9"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Poor mental health</w:t>
            </w:r>
          </w:p>
        </w:tc>
        <w:tc>
          <w:tcPr>
            <w:tcW w:w="8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59D3A5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13.25</w:t>
            </w:r>
          </w:p>
        </w:tc>
        <w:tc>
          <w:tcPr>
            <w:tcW w:w="1400"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BD483F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3.22, 54.61</w:t>
            </w:r>
          </w:p>
        </w:tc>
        <w:tc>
          <w:tcPr>
            <w:tcW w:w="1545"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2D7323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&lt;.001</w:t>
            </w:r>
          </w:p>
        </w:tc>
      </w:tr>
    </w:tbl>
    <w:p w14:paraId="5D4A6261" w14:textId="77777777" w:rsidR="005D1BB4" w:rsidRPr="00255E6B" w:rsidRDefault="005D1BB4">
      <w:pPr>
        <w:spacing w:after="160"/>
        <w:rPr>
          <w:rFonts w:ascii="Calibri" w:hAnsi="Calibri" w:cs="Calibri"/>
          <w:sz w:val="22"/>
          <w:szCs w:val="22"/>
        </w:rPr>
      </w:pPr>
    </w:p>
    <w:p w14:paraId="09ACFECE"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What the mental and physical health results mean</w:t>
      </w:r>
    </w:p>
    <w:p w14:paraId="43BE8910" w14:textId="5FA2742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Mental health: The matched analysis confirmed and strengthened the main finding. After matching the two groups on background characteristics, IPV-exposed women still had nearly four times the odds of reporting poor mental health compared to non-IPV women (OR = 3.92, p = .020). This is stronger than the original finding (OR = 2.46), suggesting the main analysis was not inflated by group differences.</w:t>
      </w:r>
    </w:p>
    <w:p w14:paraId="7F9D01A7"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Physical health: In the matched sample, the association between IPV and poor physical health was no longer statistically significant (OR = 1.69, p = .284). This is a more modest finding than in the original analysis (OR = 1.84, p = .049), and the change is most likely explained by reduced statistical power in the smaller matched sample (n = 152 vs. n = 653) rather than by the absence of a true effect. The direction of the association remained the same (IPV women still had higher odds), and the original finding was already borderline. This result should be interpreted with caution.</w:t>
      </w:r>
    </w:p>
    <w:p w14:paraId="45555183" w14:textId="77777777" w:rsidR="005D1BB4" w:rsidRPr="00255E6B" w:rsidRDefault="005D1BB4">
      <w:pPr>
        <w:spacing w:after="160"/>
        <w:rPr>
          <w:rFonts w:ascii="Calibri" w:hAnsi="Calibri" w:cs="Calibri"/>
          <w:sz w:val="22"/>
          <w:szCs w:val="22"/>
        </w:rPr>
      </w:pPr>
    </w:p>
    <w:p w14:paraId="7524F35E" w14:textId="77777777" w:rsidR="005D1BB4" w:rsidRPr="00255E6B" w:rsidRDefault="005D1BB4">
      <w:pPr>
        <w:rPr>
          <w:rFonts w:ascii="Calibri" w:hAnsi="Calibri" w:cs="Calibri"/>
          <w:sz w:val="22"/>
          <w:szCs w:val="22"/>
        </w:rPr>
        <w:sectPr w:rsidR="005D1BB4" w:rsidRPr="00255E6B">
          <w:pgSz w:w="12240" w:h="15840"/>
          <w:pgMar w:top="1200" w:right="1200" w:bottom="1200" w:left="1200" w:header="708" w:footer="708" w:gutter="0"/>
          <w:cols w:space="720"/>
          <w:docGrid w:linePitch="360"/>
        </w:sectPr>
      </w:pPr>
    </w:p>
    <w:p w14:paraId="259942C1"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lastRenderedPageBreak/>
        <w:t>Table S-C: Behavioural pathway outcomes in the matched sample</w:t>
      </w:r>
    </w:p>
    <w:p w14:paraId="03A2A548"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The table below repeats the behavioural pathway analyses (Table 3 in the main manuscript) in the matched sample (n = 152). For each behaviour, results are shown for three possible directions of change: no change (the reference category), increased, and decreased during lockdown.</w:t>
      </w:r>
    </w:p>
    <w:p w14:paraId="7975265F"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The Relative Risk Ratio (RRR) compares how likely IPV-exposed women were to shift in a given direction (increased or decreased) rather than show no change, relative to non-IPV women. A value above 1.0 means IPV-exposed women were more likely to change in that direction; below 1.0 means less likely. The predicted probabilities show the estimated percentage of each group falling into each category; the difference column shows the gap between groups in plain percentage-point terms.</w:t>
      </w:r>
    </w:p>
    <w:tbl>
      <w:tblPr>
        <w:tblW w:w="8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2"/>
        <w:gridCol w:w="1271"/>
        <w:gridCol w:w="651"/>
        <w:gridCol w:w="969"/>
        <w:gridCol w:w="723"/>
        <w:gridCol w:w="785"/>
        <w:gridCol w:w="753"/>
        <w:gridCol w:w="1173"/>
        <w:gridCol w:w="723"/>
      </w:tblGrid>
      <w:tr w:rsidR="005D1BB4" w:rsidRPr="00255E6B" w14:paraId="7002ACB8" w14:textId="77777777" w:rsidTr="002627C5">
        <w:trPr>
          <w:tblHeader/>
        </w:trPr>
        <w:tc>
          <w:tcPr>
            <w:tcW w:w="1428"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3442B18A"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Behaviour</w:t>
            </w:r>
          </w:p>
        </w:tc>
        <w:tc>
          <w:tcPr>
            <w:tcW w:w="1191" w:type="dxa"/>
            <w:vMerge w:val="restart"/>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7DA1CF33"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Outcome</w:t>
            </w:r>
          </w:p>
        </w:tc>
        <w:tc>
          <w:tcPr>
            <w:tcW w:w="2404" w:type="dxa"/>
            <w:gridSpan w:val="3"/>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4396D016"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Relative Risk Ratio</w:t>
            </w:r>
          </w:p>
        </w:tc>
        <w:tc>
          <w:tcPr>
            <w:tcW w:w="3427" w:type="dxa"/>
            <w:gridSpan w:val="4"/>
            <w:tcBorders>
              <w:top w:val="single" w:sz="1" w:space="0" w:color="999999"/>
              <w:left w:val="single" w:sz="1" w:space="0" w:color="999999"/>
              <w:bottom w:val="single" w:sz="1" w:space="0" w:color="999999"/>
              <w:right w:val="single" w:sz="1" w:space="0" w:color="999999"/>
            </w:tcBorders>
            <w:shd w:val="clear" w:color="auto" w:fill="D9D9D9"/>
            <w:tcMar>
              <w:top w:w="70" w:type="dxa"/>
              <w:left w:w="110" w:type="dxa"/>
              <w:bottom w:w="70" w:type="dxa"/>
              <w:right w:w="110" w:type="dxa"/>
            </w:tcMar>
            <w:vAlign w:val="center"/>
          </w:tcPr>
          <w:p w14:paraId="0BB9BFE0"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Predicted Probabilities</w:t>
            </w:r>
          </w:p>
        </w:tc>
      </w:tr>
      <w:tr w:rsidR="005D1BB4" w:rsidRPr="00255E6B" w14:paraId="19FBDBB1" w14:textId="77777777" w:rsidTr="002627C5">
        <w:trPr>
          <w:tblHeader/>
        </w:trPr>
        <w:tc>
          <w:tcPr>
            <w:tcW w:w="0" w:type="auto"/>
            <w:vMerge/>
            <w:tcBorders>
              <w:top w:val="single" w:sz="1" w:space="0" w:color="999999"/>
              <w:left w:val="single" w:sz="1" w:space="0" w:color="999999"/>
              <w:bottom w:val="single" w:sz="1" w:space="0" w:color="999999"/>
              <w:right w:val="single" w:sz="1" w:space="0" w:color="999999"/>
            </w:tcBorders>
          </w:tcPr>
          <w:p w14:paraId="31A8FF76" w14:textId="77777777" w:rsidR="005D1BB4" w:rsidRPr="00255E6B" w:rsidRDefault="005D1BB4">
            <w:pPr>
              <w:rPr>
                <w:rFonts w:ascii="Calibri" w:hAnsi="Calibri" w:cs="Calibri"/>
                <w:sz w:val="22"/>
                <w:szCs w:val="22"/>
              </w:rPr>
            </w:pPr>
          </w:p>
        </w:tc>
        <w:tc>
          <w:tcPr>
            <w:tcW w:w="0" w:type="auto"/>
            <w:vMerge/>
            <w:tcBorders>
              <w:top w:val="single" w:sz="1" w:space="0" w:color="999999"/>
              <w:left w:val="single" w:sz="1" w:space="0" w:color="999999"/>
              <w:bottom w:val="single" w:sz="1" w:space="0" w:color="999999"/>
              <w:right w:val="single" w:sz="1" w:space="0" w:color="999999"/>
            </w:tcBorders>
          </w:tcPr>
          <w:p w14:paraId="3B5D2C02" w14:textId="77777777" w:rsidR="005D1BB4" w:rsidRPr="00255E6B" w:rsidRDefault="005D1BB4">
            <w:pPr>
              <w:rPr>
                <w:rFonts w:ascii="Calibri" w:hAnsi="Calibri" w:cs="Calibri"/>
                <w:sz w:val="22"/>
                <w:szCs w:val="22"/>
              </w:rPr>
            </w:pPr>
          </w:p>
        </w:tc>
        <w:tc>
          <w:tcPr>
            <w:tcW w:w="666"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006E0FEA"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RRR</w:t>
            </w:r>
          </w:p>
        </w:tc>
        <w:tc>
          <w:tcPr>
            <w:tcW w:w="1062"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1965268D"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95% CI</w:t>
            </w:r>
          </w:p>
        </w:tc>
        <w:tc>
          <w:tcPr>
            <w:tcW w:w="676"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5884BEF2"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w:t>
            </w:r>
          </w:p>
        </w:tc>
        <w:tc>
          <w:tcPr>
            <w:tcW w:w="829"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779E397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Non-IPV</w:t>
            </w:r>
          </w:p>
        </w:tc>
        <w:tc>
          <w:tcPr>
            <w:tcW w:w="806"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0C0E9F6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IPV</w:t>
            </w:r>
          </w:p>
        </w:tc>
        <w:tc>
          <w:tcPr>
            <w:tcW w:w="1101"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28054BB1"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Difference</w:t>
            </w:r>
          </w:p>
        </w:tc>
        <w:tc>
          <w:tcPr>
            <w:tcW w:w="691" w:type="dxa"/>
            <w:tcBorders>
              <w:top w:val="single" w:sz="1" w:space="0" w:color="999999"/>
              <w:left w:val="single" w:sz="1" w:space="0" w:color="999999"/>
              <w:bottom w:val="single" w:sz="1" w:space="0" w:color="999999"/>
              <w:right w:val="single" w:sz="1" w:space="0" w:color="999999"/>
            </w:tcBorders>
            <w:shd w:val="clear" w:color="auto" w:fill="F2F2F2"/>
            <w:tcMar>
              <w:top w:w="70" w:type="dxa"/>
              <w:left w:w="110" w:type="dxa"/>
              <w:bottom w:w="70" w:type="dxa"/>
              <w:right w:w="110" w:type="dxa"/>
            </w:tcMar>
            <w:vAlign w:val="center"/>
          </w:tcPr>
          <w:p w14:paraId="6E359E0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p</w:t>
            </w:r>
          </w:p>
        </w:tc>
      </w:tr>
      <w:tr w:rsidR="005D1BB4" w:rsidRPr="00255E6B" w14:paraId="40008845"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E27DFDA"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Alcohol</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AC3A42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E7C82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9A51DF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E7A67D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8ED786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.591</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931834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.475</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B851B0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−.116</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C6B6B4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.138</w:t>
            </w:r>
          </w:p>
        </w:tc>
      </w:tr>
      <w:tr w:rsidR="005D1BB4" w:rsidRPr="00255E6B" w14:paraId="173AF8BE"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F789F59"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8602D6"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D2775A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1.33</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DD8699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0.62, 2.84</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256E15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.465</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A0F99E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.321</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390F25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.337</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AADB3E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.016</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4DB2C2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.831</w:t>
            </w:r>
          </w:p>
        </w:tc>
      </w:tr>
      <w:tr w:rsidR="005D1BB4" w:rsidRPr="00255E6B" w14:paraId="6DDC053D"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C6559A1"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72C4FB3"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9FA7A8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2.88</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93BEB4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0.98, 8.40</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ABDF94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.053</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510131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.088</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4BA644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.188</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DA6C83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.099</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25BFBE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.071</w:t>
            </w:r>
          </w:p>
        </w:tc>
      </w:tr>
      <w:tr w:rsidR="005D1BB4" w:rsidRPr="00255E6B" w14:paraId="4C7F28F3"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C1EF12"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Tobacco</w:t>
            </w: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6FD4D66"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E8EFCF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E8AC74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D0BAFD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4654B5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.808</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D07C44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.798</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E0103A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−.011</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7F5D1D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.863</w:t>
            </w:r>
          </w:p>
        </w:tc>
      </w:tr>
      <w:tr w:rsidR="005D1BB4" w:rsidRPr="00255E6B" w14:paraId="37DBDEE9"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552CCF1"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48D0B2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1F1833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0.90</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9441A6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0.33, 2.46</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4B6464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.844</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FB1EBC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.138</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7AE112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.124</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BD5987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−.014</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C46815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.795</w:t>
            </w:r>
          </w:p>
        </w:tc>
      </w:tr>
      <w:tr w:rsidR="005D1BB4" w:rsidRPr="00255E6B" w14:paraId="760A4CA9"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9036C6F"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363A55B"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0CB756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1.48</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863554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0.37, 5.96</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5CC018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.580</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E6370D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.054</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7EDEE8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.078</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DE5ABC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.024</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EFCDF2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.561</w:t>
            </w:r>
          </w:p>
        </w:tc>
      </w:tr>
      <w:tr w:rsidR="005D1BB4" w:rsidRPr="00255E6B" w14:paraId="0ECFD55D"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42BD9B9"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Cannabis</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14C381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410B8C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08E604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110221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2F7A85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.841</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201D3F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.680</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B2E8E9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−.161</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4201B9A"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.012</w:t>
            </w:r>
          </w:p>
        </w:tc>
      </w:tr>
      <w:tr w:rsidR="005D1BB4" w:rsidRPr="00255E6B" w14:paraId="44085AC5"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6391259"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681B7B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9711FE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2.65</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3E28F0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1.07, 6.57</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595E7C5"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.035</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2E93D7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.135</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8E6FFD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.249</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0F131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.113</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002BC8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.052</w:t>
            </w:r>
          </w:p>
        </w:tc>
      </w:tr>
      <w:tr w:rsidR="005D1BB4" w:rsidRPr="00255E6B" w14:paraId="751A45C0"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F8F0BF0"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DC9BDE4"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F86CD8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186F3D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144F2A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D1E5E1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.023</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10D702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.071</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B93638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.048</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05EEF9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.160</w:t>
            </w:r>
          </w:p>
        </w:tc>
      </w:tr>
      <w:tr w:rsidR="005D1BB4" w:rsidRPr="00255E6B" w14:paraId="009A4433"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BF2C50C"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Illicit substances†</w:t>
            </w: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B7E1F3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0809A9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0B72DE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E68E6B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967AE4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.983</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994E1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.917</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F8EAAC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−.065</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F3B4A3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5831AA64"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936F873"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CE615CB"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1DECCA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B5E46E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AD3387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42A865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.000</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E71D37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.035</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FCB283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.035</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FD3B7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120D2FC2"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462A296"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7040951"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0E6447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DC58A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C40C71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C22BCC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.017</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BB229E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.047</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CFED23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.030</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6D4855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426D85D2"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EEDD954"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Television</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5B739AB"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2C19E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3EAA96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C70CEC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EB858E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.204</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138750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.203</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DED244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−.001</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D9619E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.983</w:t>
            </w:r>
          </w:p>
        </w:tc>
      </w:tr>
      <w:tr w:rsidR="005D1BB4" w:rsidRPr="00255E6B" w14:paraId="2FBC89BF"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EB39244"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9FF37C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F0AED7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0.97</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144957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0.38, 2.49</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F27E38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.948</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84FB8C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.740</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571BB1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.702</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723055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−.038</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58FFBD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.607</w:t>
            </w:r>
          </w:p>
        </w:tc>
      </w:tr>
      <w:tr w:rsidR="005D1BB4" w:rsidRPr="00255E6B" w14:paraId="486B8973"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EFD31C9"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26BDE3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F38908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1.82</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80EC11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0.37, 9.02</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911E1B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.462</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E0D5EA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.056</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1F534D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.095</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6F7EAF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.040</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FFE436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.377</w:t>
            </w:r>
          </w:p>
        </w:tc>
      </w:tr>
      <w:tr w:rsidR="005D1BB4" w:rsidRPr="00255E6B" w14:paraId="3FCAAB4B"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084D6DE"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Internet†</w:t>
            </w: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333F789"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BAC2A6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6E3468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8164B3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A51500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.204</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C7819D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.163</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683821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−.041</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E23002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060A808E"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D1A3A21"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234F4AE"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49B983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02C64F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22ABE9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CDE4C6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.789</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72598A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.756</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85F2AE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−.033</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5FD6B4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6FACDB7C"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BF28CAB"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30B6819"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7A530B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74BC29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074017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D69862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.007</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44B6D8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.081</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B620E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.075</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218E24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r>
      <w:tr w:rsidR="005D1BB4" w:rsidRPr="00255E6B" w14:paraId="5FAC21A8"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56D1842"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Exercise</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54891B0"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C09F47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4F53A4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ECA5C1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43C8A9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.330</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19DBCB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.277</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B5C931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−.053</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9849DF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.469</w:t>
            </w:r>
          </w:p>
        </w:tc>
      </w:tr>
      <w:tr w:rsidR="005D1BB4" w:rsidRPr="00255E6B" w14:paraId="16490EC9"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9941494"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0E656D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F9E779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0.85</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D5E642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0.36, 2.03</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935CC0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.715</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FE1969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.356</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C5AFB8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.250</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970D16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−.107</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81EF27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.145</w:t>
            </w:r>
          </w:p>
        </w:tc>
      </w:tr>
      <w:tr w:rsidR="005D1BB4" w:rsidRPr="00255E6B" w14:paraId="3A815DDE"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BC8EE0B"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660D83D"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C54778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1.95</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F792D1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0.83, 4.60</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6C378B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.127</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3F9CDA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.314</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153781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.474</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A326D2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.160</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B919156"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.034</w:t>
            </w:r>
          </w:p>
        </w:tc>
      </w:tr>
      <w:tr w:rsidR="005D1BB4" w:rsidRPr="00255E6B" w14:paraId="31B43EB3"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FFAEE62"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Junk food</w:t>
            </w: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897EC30"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74CA4F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2613BB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73BFCB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35A1B2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.304</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2CF58A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.369</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7895AE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.065</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B7063D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.376</w:t>
            </w:r>
          </w:p>
        </w:tc>
      </w:tr>
      <w:tr w:rsidR="005D1BB4" w:rsidRPr="00255E6B" w14:paraId="507EA868"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AD626F3"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4A134E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7769EA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0.78</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CB0B99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0.36, 1.67</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2CBCE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.516</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FB0D69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.534</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E25DEB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.527</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DDEB7C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−.007</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43C185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.934</w:t>
            </w:r>
          </w:p>
        </w:tc>
      </w:tr>
      <w:tr w:rsidR="005D1BB4" w:rsidRPr="00255E6B" w14:paraId="558168A8"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60F7FB7"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BA3527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39F87E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0.46</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1A2D9F9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0.14, 1.54</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350CC5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.208</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DBCB11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.163</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AE2F77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.104</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03C022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−.058</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92B199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.267</w:t>
            </w:r>
          </w:p>
        </w:tc>
      </w:tr>
      <w:tr w:rsidR="005D1BB4" w:rsidRPr="00255E6B" w14:paraId="325D0CB8"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098D4B7"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Informal support</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225489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B5EE06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1D4EDC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0B28A8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C79A0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.564</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101F81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.397</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96A6B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−.167</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5860AE6"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.038</w:t>
            </w:r>
          </w:p>
        </w:tc>
      </w:tr>
      <w:tr w:rsidR="005D1BB4" w:rsidRPr="00255E6B" w14:paraId="66587662"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6BDCFBA"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AD6E71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16C330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1.93</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EED521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0.85, 4.41</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172A34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.118</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5EDD44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.246</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FF63FC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.318</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4FA6D4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.073</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63FBD9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.312</w:t>
            </w:r>
          </w:p>
        </w:tc>
      </w:tr>
      <w:tr w:rsidR="005D1BB4" w:rsidRPr="00255E6B" w14:paraId="231EFF67"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AC28077"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42C74087"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103591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2.28</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87D2C8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0.94, 5.50</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522363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.067</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C85FF5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.191</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BA2A5D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.285</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9C2251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.094</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814DAE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.162</w:t>
            </w:r>
          </w:p>
        </w:tc>
      </w:tr>
      <w:tr w:rsidR="005D1BB4" w:rsidRPr="00255E6B" w14:paraId="5ECC776D"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738D553"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lastRenderedPageBreak/>
              <w:t>Formal support</w:t>
            </w: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A5CD939"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706342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40B8AD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9DA4FA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72F2CBC"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.751</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7D40B6D"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.439</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CC73A5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−.313</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2165BCB"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&lt;.001</w:t>
            </w:r>
          </w:p>
        </w:tc>
      </w:tr>
      <w:tr w:rsidR="005D1BB4" w:rsidRPr="00255E6B" w14:paraId="5525CA5F"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50E7407"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6860BCD"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0F7FC0D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6.18</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314E9D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2.44, 15.66</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45AD33D"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&lt;.001</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B669C9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.111</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5A92D128"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.367</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D6EC61E"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.257</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DB35DE4"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&lt;.001</w:t>
            </w:r>
          </w:p>
        </w:tc>
      </w:tr>
      <w:tr w:rsidR="005D1BB4" w:rsidRPr="00255E6B" w14:paraId="1178ED9D"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5D1707C"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ED513F2"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7F6B0F0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2.59</w:t>
            </w:r>
          </w:p>
        </w:tc>
        <w:tc>
          <w:tcPr>
            <w:tcW w:w="1062"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92C001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0.97, 6.92</w:t>
            </w:r>
          </w:p>
        </w:tc>
        <w:tc>
          <w:tcPr>
            <w:tcW w:w="67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80B7081"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.057</w:t>
            </w:r>
          </w:p>
        </w:tc>
        <w:tc>
          <w:tcPr>
            <w:tcW w:w="829"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29E7E70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.138</w:t>
            </w:r>
          </w:p>
        </w:tc>
        <w:tc>
          <w:tcPr>
            <w:tcW w:w="806"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409682B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.194</w:t>
            </w:r>
          </w:p>
        </w:tc>
        <w:tc>
          <w:tcPr>
            <w:tcW w:w="110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6921361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.056</w:t>
            </w:r>
          </w:p>
        </w:tc>
        <w:tc>
          <w:tcPr>
            <w:tcW w:w="691" w:type="dxa"/>
            <w:tcBorders>
              <w:top w:val="single" w:sz="1" w:space="0" w:color="999999"/>
              <w:left w:val="single" w:sz="1" w:space="0" w:color="999999"/>
              <w:bottom w:val="single" w:sz="1" w:space="0" w:color="999999"/>
              <w:right w:val="single" w:sz="1" w:space="0" w:color="999999"/>
            </w:tcBorders>
            <w:shd w:val="clear" w:color="auto" w:fill="F5F5F5"/>
            <w:tcMar>
              <w:top w:w="70" w:type="dxa"/>
              <w:left w:w="110" w:type="dxa"/>
              <w:bottom w:w="70" w:type="dxa"/>
              <w:right w:w="110" w:type="dxa"/>
            </w:tcMar>
            <w:vAlign w:val="center"/>
          </w:tcPr>
          <w:p w14:paraId="3A23FBA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.354</w:t>
            </w:r>
          </w:p>
        </w:tc>
      </w:tr>
      <w:tr w:rsidR="005D1BB4" w:rsidRPr="00255E6B" w14:paraId="1493E066"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7405442" w14:textId="77777777" w:rsidR="005D1BB4" w:rsidRPr="00255E6B" w:rsidRDefault="00000000">
            <w:pPr>
              <w:rPr>
                <w:rFonts w:ascii="Calibri" w:hAnsi="Calibri" w:cs="Calibri"/>
                <w:sz w:val="22"/>
                <w:szCs w:val="22"/>
              </w:rPr>
            </w:pPr>
            <w:r w:rsidRPr="00255E6B">
              <w:rPr>
                <w:rFonts w:ascii="Calibri" w:eastAsia="Arial" w:hAnsi="Calibri" w:cs="Calibri"/>
                <w:b/>
                <w:bCs/>
                <w:sz w:val="22"/>
                <w:szCs w:val="22"/>
              </w:rPr>
              <w:t>Sleep</w:t>
            </w: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9ED58F8"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No change</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17AF8A4"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5A1573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99A9B5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B46165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.385</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AD42196"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.207</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5719356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−.178</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D21CBC9"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.015</w:t>
            </w:r>
          </w:p>
        </w:tc>
      </w:tr>
      <w:tr w:rsidR="005D1BB4" w:rsidRPr="00255E6B" w14:paraId="4AE2A065"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8145EA2"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07F1B76"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Increased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74D3097"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2.24</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74E0FE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0.76, 6.61</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8C62010"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.145</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23C8D04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.159</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9EB95D9"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.173</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0DE0A66A"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.014</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E5CD84B"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.811</w:t>
            </w:r>
          </w:p>
        </w:tc>
      </w:tr>
      <w:tr w:rsidR="005D1BB4" w:rsidRPr="00255E6B" w14:paraId="1E0D972C" w14:textId="77777777" w:rsidTr="002627C5">
        <w:tc>
          <w:tcPr>
            <w:tcW w:w="1428"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33012C9" w14:textId="77777777" w:rsidR="005D1BB4" w:rsidRPr="00255E6B" w:rsidRDefault="005D1BB4">
            <w:pPr>
              <w:rPr>
                <w:rFonts w:ascii="Calibri" w:hAnsi="Calibri" w:cs="Calibri"/>
                <w:sz w:val="22"/>
                <w:szCs w:val="22"/>
              </w:rPr>
            </w:pPr>
          </w:p>
        </w:tc>
        <w:tc>
          <w:tcPr>
            <w:tcW w:w="11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64DAFE5" w14:textId="77777777" w:rsidR="005D1BB4" w:rsidRPr="00255E6B" w:rsidRDefault="00000000">
            <w:pPr>
              <w:rPr>
                <w:rFonts w:ascii="Calibri" w:hAnsi="Calibri" w:cs="Calibri"/>
                <w:sz w:val="22"/>
                <w:szCs w:val="22"/>
              </w:rPr>
            </w:pPr>
            <w:r w:rsidRPr="00255E6B">
              <w:rPr>
                <w:rFonts w:ascii="Calibri" w:eastAsia="Arial" w:hAnsi="Calibri" w:cs="Calibri"/>
                <w:sz w:val="22"/>
                <w:szCs w:val="22"/>
              </w:rPr>
              <w:t>Decreased</w:t>
            </w:r>
          </w:p>
        </w:tc>
        <w:tc>
          <w:tcPr>
            <w:tcW w:w="66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D6195DF"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2.74</w:t>
            </w:r>
          </w:p>
        </w:tc>
        <w:tc>
          <w:tcPr>
            <w:tcW w:w="1062"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63BF4FE5"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1.19, 6.34</w:t>
            </w:r>
          </w:p>
        </w:tc>
        <w:tc>
          <w:tcPr>
            <w:tcW w:w="67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D68F3C3"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.018</w:t>
            </w:r>
          </w:p>
        </w:tc>
        <w:tc>
          <w:tcPr>
            <w:tcW w:w="829"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E5C4512"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.456</w:t>
            </w:r>
          </w:p>
        </w:tc>
        <w:tc>
          <w:tcPr>
            <w:tcW w:w="806"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34D2BD7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.620</w:t>
            </w:r>
          </w:p>
        </w:tc>
        <w:tc>
          <w:tcPr>
            <w:tcW w:w="110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13BAACA3" w14:textId="77777777" w:rsidR="005D1BB4" w:rsidRPr="00255E6B" w:rsidRDefault="00000000">
            <w:pPr>
              <w:jc w:val="center"/>
              <w:rPr>
                <w:rFonts w:ascii="Calibri" w:hAnsi="Calibri" w:cs="Calibri"/>
                <w:sz w:val="22"/>
                <w:szCs w:val="22"/>
              </w:rPr>
            </w:pPr>
            <w:r w:rsidRPr="00255E6B">
              <w:rPr>
                <w:rFonts w:ascii="Calibri" w:eastAsia="Arial" w:hAnsi="Calibri" w:cs="Calibri"/>
                <w:sz w:val="22"/>
                <w:szCs w:val="22"/>
              </w:rPr>
              <w:t xml:space="preserve"> .164</w:t>
            </w:r>
          </w:p>
        </w:tc>
        <w:tc>
          <w:tcPr>
            <w:tcW w:w="691" w:type="dxa"/>
            <w:tcBorders>
              <w:top w:val="single" w:sz="1" w:space="0" w:color="999999"/>
              <w:left w:val="single" w:sz="1" w:space="0" w:color="999999"/>
              <w:bottom w:val="single" w:sz="1" w:space="0" w:color="999999"/>
              <w:right w:val="single" w:sz="1" w:space="0" w:color="999999"/>
            </w:tcBorders>
            <w:shd w:val="clear" w:color="auto" w:fill="FFFFFF"/>
            <w:tcMar>
              <w:top w:w="70" w:type="dxa"/>
              <w:left w:w="110" w:type="dxa"/>
              <w:bottom w:w="70" w:type="dxa"/>
              <w:right w:w="110" w:type="dxa"/>
            </w:tcMar>
            <w:vAlign w:val="center"/>
          </w:tcPr>
          <w:p w14:paraId="7B7DA41B" w14:textId="77777777" w:rsidR="005D1BB4" w:rsidRPr="00255E6B" w:rsidRDefault="00000000">
            <w:pPr>
              <w:jc w:val="center"/>
              <w:rPr>
                <w:rFonts w:ascii="Calibri" w:hAnsi="Calibri" w:cs="Calibri"/>
                <w:sz w:val="22"/>
                <w:szCs w:val="22"/>
              </w:rPr>
            </w:pPr>
            <w:r w:rsidRPr="00255E6B">
              <w:rPr>
                <w:rFonts w:ascii="Calibri" w:eastAsia="Arial" w:hAnsi="Calibri" w:cs="Calibri"/>
                <w:b/>
                <w:bCs/>
                <w:sz w:val="22"/>
                <w:szCs w:val="22"/>
              </w:rPr>
              <w:t>.044</w:t>
            </w:r>
          </w:p>
        </w:tc>
      </w:tr>
    </w:tbl>
    <w:p w14:paraId="0A6D341A" w14:textId="77777777" w:rsidR="005D1BB4" w:rsidRPr="00255E6B" w:rsidRDefault="005D1BB4">
      <w:pPr>
        <w:spacing w:after="160"/>
        <w:rPr>
          <w:rFonts w:ascii="Calibri" w:hAnsi="Calibri" w:cs="Calibri"/>
          <w:sz w:val="22"/>
          <w:szCs w:val="22"/>
        </w:rPr>
      </w:pPr>
    </w:p>
    <w:p w14:paraId="1A747701"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 xml:space="preserve">Note: RRR = relative risk ratio; CI = confidence interval. Reference category = No Change. All models adjusted for age, household income, education, employment, children, and caregiving. Bold values indicate p &lt; 0.05. Differences reflect IPV minus non-IPV predicted probabilities. † Illicit substances and internet models produced unreliable estimates due to very sparse outcome categories in the </w:t>
      </w:r>
      <w:proofErr w:type="gramStart"/>
      <w:r w:rsidRPr="00255E6B">
        <w:rPr>
          <w:rFonts w:ascii="Calibri" w:eastAsia="Arial" w:hAnsi="Calibri" w:cs="Calibri"/>
          <w:sz w:val="22"/>
          <w:szCs w:val="22"/>
        </w:rPr>
        <w:t>small matched</w:t>
      </w:r>
      <w:proofErr w:type="gramEnd"/>
      <w:r w:rsidRPr="00255E6B">
        <w:rPr>
          <w:rFonts w:ascii="Calibri" w:eastAsia="Arial" w:hAnsi="Calibri" w:cs="Calibri"/>
          <w:sz w:val="22"/>
          <w:szCs w:val="22"/>
        </w:rPr>
        <w:t xml:space="preserve"> sample; RRR and standard errors are not reported. Predicted probabilities are shown for descriptive purposes only.</w:t>
      </w:r>
    </w:p>
    <w:p w14:paraId="010625A1" w14:textId="77777777" w:rsidR="005D1BB4" w:rsidRPr="00255E6B" w:rsidRDefault="005D1BB4">
      <w:pPr>
        <w:spacing w:after="160"/>
        <w:rPr>
          <w:rFonts w:ascii="Calibri" w:hAnsi="Calibri" w:cs="Calibri"/>
          <w:sz w:val="22"/>
          <w:szCs w:val="22"/>
        </w:rPr>
      </w:pPr>
    </w:p>
    <w:p w14:paraId="63DE30CE" w14:textId="77777777" w:rsidR="005D1BB4" w:rsidRPr="00255E6B" w:rsidRDefault="00000000">
      <w:pPr>
        <w:spacing w:before="280" w:after="140"/>
        <w:rPr>
          <w:rFonts w:ascii="Calibri" w:hAnsi="Calibri" w:cs="Calibri"/>
          <w:sz w:val="22"/>
          <w:szCs w:val="22"/>
        </w:rPr>
      </w:pPr>
      <w:r w:rsidRPr="00255E6B">
        <w:rPr>
          <w:rFonts w:ascii="Calibri" w:eastAsia="Arial" w:hAnsi="Calibri" w:cs="Calibri"/>
          <w:b/>
          <w:bCs/>
          <w:sz w:val="22"/>
          <w:szCs w:val="22"/>
        </w:rPr>
        <w:t>What the behavioural results mean</w:t>
      </w:r>
    </w:p>
    <w:p w14:paraId="5E034C31"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The behavioural findings were largely consistent with the original analysis, with several findings holding up and some becoming clearer after matching:</w:t>
      </w:r>
    </w:p>
    <w:p w14:paraId="3F8ED4AF" w14:textId="77777777" w:rsidR="005D1BB4" w:rsidRPr="00255E6B" w:rsidRDefault="005D1BB4">
      <w:pPr>
        <w:spacing w:after="160"/>
        <w:rPr>
          <w:rFonts w:ascii="Calibri" w:hAnsi="Calibri" w:cs="Calibri"/>
          <w:sz w:val="22"/>
          <w:szCs w:val="22"/>
        </w:rPr>
      </w:pPr>
    </w:p>
    <w:p w14:paraId="65821217"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xml:space="preserve">•  Formal support-seeking: The strongest and most consistent finding across both the original and matched analyses. IPV-exposed women were over six times more likely to have increased their use of formal support services (shelters, crisis lines, counselling) compared to non-IPV women (RRR = 6.18, p &lt; .001). In real terms, 37% of IPV-exposed women increased formal support-seeking versus 11% of non-IPV women — a </w:t>
      </w:r>
      <w:proofErr w:type="gramStart"/>
      <w:r w:rsidRPr="00255E6B">
        <w:rPr>
          <w:rFonts w:ascii="Calibri" w:eastAsia="Arial" w:hAnsi="Calibri" w:cs="Calibri"/>
          <w:sz w:val="22"/>
          <w:szCs w:val="22"/>
        </w:rPr>
        <w:t>26 percentage</w:t>
      </w:r>
      <w:proofErr w:type="gramEnd"/>
      <w:r w:rsidRPr="00255E6B">
        <w:rPr>
          <w:rFonts w:ascii="Calibri" w:eastAsia="Arial" w:hAnsi="Calibri" w:cs="Calibri"/>
          <w:sz w:val="22"/>
          <w:szCs w:val="22"/>
        </w:rPr>
        <w:t xml:space="preserve"> point difference. This finding is robust.</w:t>
      </w:r>
    </w:p>
    <w:p w14:paraId="49FCF85D"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lastRenderedPageBreak/>
        <w:t>•  Sleep disruption: IPV-exposed women were nearly three times more likely to experience decreased sleep (RRR = 2.74, p = .018). In the matched sample, 62% of IPV-exposed women reported worse sleep compared to 46% of non-IPV women.</w:t>
      </w:r>
    </w:p>
    <w:p w14:paraId="08D0D2DE"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Cannabis use: IPV-exposed women were more than twice as likely to have increased cannabis use (RRR = 2.65, p = .035) — a finding consistent with the original analysis.</w:t>
      </w:r>
    </w:p>
    <w:p w14:paraId="4E364246"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xml:space="preserve">•  Exercise: IPV-exposed women were more likely to have decreased their physical activity, with a </w:t>
      </w:r>
      <w:proofErr w:type="gramStart"/>
      <w:r w:rsidRPr="00255E6B">
        <w:rPr>
          <w:rFonts w:ascii="Calibri" w:eastAsia="Arial" w:hAnsi="Calibri" w:cs="Calibri"/>
          <w:sz w:val="22"/>
          <w:szCs w:val="22"/>
        </w:rPr>
        <w:t>16 percentage</w:t>
      </w:r>
      <w:proofErr w:type="gramEnd"/>
      <w:r w:rsidRPr="00255E6B">
        <w:rPr>
          <w:rFonts w:ascii="Calibri" w:eastAsia="Arial" w:hAnsi="Calibri" w:cs="Calibri"/>
          <w:sz w:val="22"/>
          <w:szCs w:val="22"/>
        </w:rPr>
        <w:t xml:space="preserve"> point gap in the predicted probability of reduced exercise (p = .034).</w:t>
      </w:r>
    </w:p>
    <w:p w14:paraId="1299570B"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Informal support-seeking: IPV-exposed women were significantly less likely to report no change in informal support — meaning they were more likely to have experienced a shift (either increase or decrease) in reaching out to family and friends (p = .038 for the no-change contrast).</w:t>
      </w:r>
    </w:p>
    <w:p w14:paraId="1FACEBC8"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Alcohol, tobacco, television, junk food: No significant differences between groups were found in the matched sample, consistent with the original analysis.</w:t>
      </w:r>
    </w:p>
    <w:p w14:paraId="47DE26A1" w14:textId="77777777" w:rsidR="005D1BB4" w:rsidRPr="00255E6B" w:rsidRDefault="00000000">
      <w:pPr>
        <w:spacing w:after="120"/>
        <w:ind w:left="540" w:hanging="260"/>
        <w:rPr>
          <w:rFonts w:ascii="Calibri" w:hAnsi="Calibri" w:cs="Calibri"/>
          <w:sz w:val="22"/>
          <w:szCs w:val="22"/>
        </w:rPr>
      </w:pPr>
      <w:r w:rsidRPr="00255E6B">
        <w:rPr>
          <w:rFonts w:ascii="Calibri" w:eastAsia="Arial" w:hAnsi="Calibri" w:cs="Calibri"/>
          <w:sz w:val="22"/>
          <w:szCs w:val="22"/>
        </w:rPr>
        <w:t>•  Illicit substances and internet: These models could not produce reliable estimates in the matched sample due to very small numbers of women reporting changes in these behaviours. Results are shown descriptively only.</w:t>
      </w:r>
    </w:p>
    <w:p w14:paraId="307CD990" w14:textId="77777777" w:rsidR="005D1BB4" w:rsidRPr="00255E6B" w:rsidRDefault="005D1BB4">
      <w:pPr>
        <w:spacing w:after="160"/>
        <w:rPr>
          <w:rFonts w:ascii="Calibri" w:hAnsi="Calibri" w:cs="Calibri"/>
          <w:sz w:val="22"/>
          <w:szCs w:val="22"/>
        </w:rPr>
      </w:pPr>
    </w:p>
    <w:p w14:paraId="40B33271" w14:textId="77777777" w:rsidR="005D1BB4" w:rsidRPr="00255E6B" w:rsidRDefault="00000000">
      <w:pPr>
        <w:spacing w:after="160"/>
        <w:rPr>
          <w:rFonts w:ascii="Calibri" w:hAnsi="Calibri" w:cs="Calibri"/>
          <w:sz w:val="22"/>
          <w:szCs w:val="22"/>
        </w:rPr>
      </w:pPr>
      <w:r w:rsidRPr="00255E6B">
        <w:rPr>
          <w:rFonts w:ascii="Calibri" w:eastAsia="Arial" w:hAnsi="Calibri" w:cs="Calibri"/>
          <w:sz w:val="22"/>
          <w:szCs w:val="22"/>
        </w:rPr>
        <w:t>Overall, the matched analyses support the conclusion that IPV exposure during COVID-19 lockdowns was associated with distinct behavioural, psychological, and physiological health patterns that are not explained by pre-existing demographic differences between groups.</w:t>
      </w:r>
    </w:p>
    <w:sectPr w:rsidR="005D1BB4" w:rsidRPr="00255E6B">
      <w:pgSz w:w="15840" w:h="122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85AF1"/>
    <w:multiLevelType w:val="hybridMultilevel"/>
    <w:tmpl w:val="3D6CAD62"/>
    <w:lvl w:ilvl="0" w:tplc="32B0DE98">
      <w:start w:val="1"/>
      <w:numFmt w:val="bullet"/>
      <w:lvlText w:val="●"/>
      <w:lvlJc w:val="left"/>
      <w:pPr>
        <w:ind w:left="720" w:hanging="360"/>
      </w:pPr>
    </w:lvl>
    <w:lvl w:ilvl="1" w:tplc="EA324814">
      <w:start w:val="1"/>
      <w:numFmt w:val="bullet"/>
      <w:lvlText w:val="○"/>
      <w:lvlJc w:val="left"/>
      <w:pPr>
        <w:ind w:left="1440" w:hanging="360"/>
      </w:pPr>
    </w:lvl>
    <w:lvl w:ilvl="2" w:tplc="A8681CA6">
      <w:start w:val="1"/>
      <w:numFmt w:val="bullet"/>
      <w:lvlText w:val="■"/>
      <w:lvlJc w:val="left"/>
      <w:pPr>
        <w:ind w:left="2160" w:hanging="360"/>
      </w:pPr>
    </w:lvl>
    <w:lvl w:ilvl="3" w:tplc="58B825DE">
      <w:start w:val="1"/>
      <w:numFmt w:val="bullet"/>
      <w:lvlText w:val="●"/>
      <w:lvlJc w:val="left"/>
      <w:pPr>
        <w:ind w:left="2880" w:hanging="360"/>
      </w:pPr>
    </w:lvl>
    <w:lvl w:ilvl="4" w:tplc="F73EC760">
      <w:start w:val="1"/>
      <w:numFmt w:val="bullet"/>
      <w:lvlText w:val="○"/>
      <w:lvlJc w:val="left"/>
      <w:pPr>
        <w:ind w:left="3600" w:hanging="360"/>
      </w:pPr>
    </w:lvl>
    <w:lvl w:ilvl="5" w:tplc="59580746">
      <w:start w:val="1"/>
      <w:numFmt w:val="bullet"/>
      <w:lvlText w:val="■"/>
      <w:lvlJc w:val="left"/>
      <w:pPr>
        <w:ind w:left="4320" w:hanging="360"/>
      </w:pPr>
    </w:lvl>
    <w:lvl w:ilvl="6" w:tplc="8CDAFFDA">
      <w:start w:val="1"/>
      <w:numFmt w:val="bullet"/>
      <w:lvlText w:val="●"/>
      <w:lvlJc w:val="left"/>
      <w:pPr>
        <w:ind w:left="5040" w:hanging="360"/>
      </w:pPr>
    </w:lvl>
    <w:lvl w:ilvl="7" w:tplc="F8544DFC">
      <w:start w:val="1"/>
      <w:numFmt w:val="bullet"/>
      <w:lvlText w:val="●"/>
      <w:lvlJc w:val="left"/>
      <w:pPr>
        <w:ind w:left="5760" w:hanging="360"/>
      </w:pPr>
    </w:lvl>
    <w:lvl w:ilvl="8" w:tplc="4028CA9A">
      <w:start w:val="1"/>
      <w:numFmt w:val="bullet"/>
      <w:lvlText w:val="●"/>
      <w:lvlJc w:val="left"/>
      <w:pPr>
        <w:ind w:left="6480" w:hanging="360"/>
      </w:pPr>
    </w:lvl>
  </w:abstractNum>
  <w:num w:numId="1" w16cid:durableId="196432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B4"/>
    <w:rsid w:val="000D061C"/>
    <w:rsid w:val="00175A9F"/>
    <w:rsid w:val="001B6D95"/>
    <w:rsid w:val="00255E6B"/>
    <w:rsid w:val="002627C5"/>
    <w:rsid w:val="005D1BB4"/>
    <w:rsid w:val="00725D01"/>
    <w:rsid w:val="00D564ED"/>
    <w:rsid w:val="00EA1D6F"/>
    <w:rsid w:val="00F643C1"/>
    <w:rsid w:val="00FF13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CF73740"/>
  <w15:docId w15:val="{25761EB3-D8FB-9F4F-B1B9-CEFBDC74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Strong">
    <w:name w:val="Strong"/>
    <w:basedOn w:val="DefaultParagraphFont"/>
    <w:uiPriority w:val="22"/>
    <w:qFormat/>
    <w:rsid w:val="00EA1D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2142</Words>
  <Characters>12212</Characters>
  <Application>Microsoft Office Word</Application>
  <DocSecurity>0</DocSecurity>
  <Lines>101</Lines>
  <Paragraphs>28</Paragraphs>
  <ScaleCrop>false</ScaleCrop>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Dina Idriss-Wheeler</cp:lastModifiedBy>
  <cp:revision>4</cp:revision>
  <dcterms:created xsi:type="dcterms:W3CDTF">2026-03-16T14:00:00Z</dcterms:created>
  <dcterms:modified xsi:type="dcterms:W3CDTF">2026-03-23T20:47:00Z</dcterms:modified>
</cp:coreProperties>
</file>