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98" w:type="dxa"/>
        <w:jc w:val="center"/>
        <w:tblLayout w:type="fixed"/>
        <w:tblLook w:val="0420" w:firstRow="1" w:lastRow="0" w:firstColumn="0" w:lastColumn="0" w:noHBand="0" w:noVBand="1"/>
      </w:tblPr>
      <w:tblGrid>
        <w:gridCol w:w="2250"/>
        <w:gridCol w:w="1386"/>
        <w:gridCol w:w="1872"/>
        <w:gridCol w:w="961"/>
        <w:gridCol w:w="239"/>
        <w:gridCol w:w="1752"/>
        <w:gridCol w:w="1020"/>
        <w:gridCol w:w="18"/>
      </w:tblGrid>
      <w:tr w:rsidR="005F74FF" w:rsidRPr="00922555" w14:paraId="10EF9C60" w14:textId="77777777" w:rsidTr="00C55DB1">
        <w:trPr>
          <w:gridAfter w:val="1"/>
          <w:wAfter w:w="18" w:type="dxa"/>
          <w:cantSplit/>
          <w:tblHeader/>
          <w:jc w:val="center"/>
        </w:trPr>
        <w:tc>
          <w:tcPr>
            <w:tcW w:w="3636" w:type="dxa"/>
            <w:gridSpan w:val="2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AB9F88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8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1418C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Univariable</w:t>
            </w:r>
          </w:p>
        </w:tc>
        <w:tc>
          <w:tcPr>
            <w:tcW w:w="23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71ADA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77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9DFC9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Multivariable</w:t>
            </w:r>
            <w:r w:rsidRPr="00922555">
              <w:rPr>
                <w:rFonts w:eastAsia="Calibri"/>
                <w:b/>
                <w:color w:val="000000"/>
                <w:sz w:val="20"/>
                <w:szCs w:val="20"/>
                <w:vertAlign w:val="superscript"/>
              </w:rPr>
              <w:t>#</w:t>
            </w:r>
          </w:p>
        </w:tc>
      </w:tr>
      <w:tr w:rsidR="005F74FF" w:rsidRPr="00922555" w14:paraId="71996753" w14:textId="77777777" w:rsidTr="00C55DB1">
        <w:trPr>
          <w:gridAfter w:val="1"/>
          <w:wAfter w:w="18" w:type="dxa"/>
          <w:cantSplit/>
          <w:tblHeader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EC3D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C45C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Event/n</w:t>
            </w:r>
          </w:p>
        </w:tc>
        <w:tc>
          <w:tcPr>
            <w:tcW w:w="18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CDDD5A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9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B19B6A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4038E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29347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E262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P value</w:t>
            </w:r>
          </w:p>
        </w:tc>
      </w:tr>
      <w:tr w:rsidR="005F74FF" w:rsidRPr="00922555" w14:paraId="70128D43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1DC2DB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C90E06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32/105</w:t>
            </w:r>
          </w:p>
        </w:tc>
        <w:tc>
          <w:tcPr>
            <w:tcW w:w="1872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2BB41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1.02 (0.98-1.06)</w:t>
            </w:r>
          </w:p>
        </w:tc>
        <w:tc>
          <w:tcPr>
            <w:tcW w:w="961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A82A13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0.305</w:t>
            </w:r>
          </w:p>
        </w:tc>
        <w:tc>
          <w:tcPr>
            <w:tcW w:w="239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2FE56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3DE2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DEE1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429FD594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C23F0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98501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04271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1C30A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4363E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1B9A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CCA76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703DF544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D157E6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25D0D1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9/18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C8DFF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4816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576F5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1585E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7CCF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7D547B96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F728FE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EC525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23/87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1FCB0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0.36 (0.13-1.01)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BD2D0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44832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26EE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0.26 (0.07-0.87)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661586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i/>
                <w:color w:val="000000"/>
                <w:sz w:val="20"/>
                <w:szCs w:val="20"/>
              </w:rPr>
              <w:t>0.030</w:t>
            </w:r>
          </w:p>
        </w:tc>
      </w:tr>
      <w:tr w:rsidR="005F74FF" w:rsidRPr="00922555" w14:paraId="4C53C90C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16156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F6662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79B42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C3521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EFA1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D5305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6BAA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4F7640AC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54C187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912EA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16/50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B7E255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2C806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04C4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BC957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7DE42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1A764D94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9BF741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693A41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16/55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EC8795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0.87 (0.38-1.99)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A534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0.747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9466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D8F4B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EEF7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1788C4A6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ADEF6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8660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FBCAB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5AB96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46D9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BFF81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6020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7A650B1C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CE2A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 xml:space="preserve">   Non-smoker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106E7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7/21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28FBB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0BB2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95057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BECC7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7599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2C6A2934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82AC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 xml:space="preserve">   Smoker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E0D0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25/84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5AABE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0.83 (0.31-2.34)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40A87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0.713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485C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E027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20FF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6CD8775B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BB8083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Tumor site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E0C83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2DF3A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EA5B3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0.590</w:t>
            </w:r>
            <w:r w:rsidRPr="00922555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$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8ECE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40CD5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D0C2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621BD874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67BEA4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Lung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0978A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18/65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6D87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C1F3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702F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959C2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5188E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31FC2DFF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BB4F4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Head &amp; Neck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69D42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5/12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FD8C86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1.88 (0.53-6.40)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04EA2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0.318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72B6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94E2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84DC3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0A29B930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D68BA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27804A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9/28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714CC1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1.25 (0.48-3.18)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A78F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0.643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F179B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995E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7F39E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772E5400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B2102B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Immunotherapy agent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3487E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0E1D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03D2D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0.467</w:t>
            </w:r>
            <w:r w:rsidRPr="00922555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$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B3EEB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9908B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DAEFC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0.201</w:t>
            </w:r>
            <w:r w:rsidRPr="00922555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$</w:t>
            </w:r>
          </w:p>
        </w:tc>
      </w:tr>
      <w:tr w:rsidR="005F74FF" w:rsidRPr="00922555" w14:paraId="6FC56097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597D9C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PD1</w:t>
            </w:r>
            <w:r w:rsidRPr="00922555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349C0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29/90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523732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C48A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C70E2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2360BF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366A3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5DB00274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777EC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PDL1</w:t>
            </w:r>
            <w:r w:rsidRPr="00922555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603DF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1/9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365DD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0.37 (0.04-1.75)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BC10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0.229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9DA6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6D651B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0.22 (0.02-1.16)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CB107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0.077</w:t>
            </w:r>
          </w:p>
        </w:tc>
      </w:tr>
      <w:tr w:rsidR="005F74FF" w:rsidRPr="00922555" w14:paraId="21F27272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5AFCB9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PD1+CTLA4</w:t>
            </w:r>
            <w:r w:rsidRPr="00922555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9E2437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2/6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E0381B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1.16 (0.19-5.56)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D553D3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0.859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DB4B3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09F1D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1.09 (0.17-6.03)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8FDBD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0.922</w:t>
            </w:r>
          </w:p>
        </w:tc>
      </w:tr>
      <w:tr w:rsidR="005F74FF" w:rsidRPr="00922555" w14:paraId="47F34241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1D4BF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Site of metastasis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91B2E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46756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4D2DDA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0.608</w:t>
            </w:r>
            <w:r w:rsidRPr="00922555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$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4D558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95FF2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28BA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05BE6900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419C3E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Visceral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13CE31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20/61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D9F53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0D011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ADF8A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E6FE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89E5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1A771430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CEDF84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Bones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61C5D6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5/23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EF7863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0.60 (0.19-1.71)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EA390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0.350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B34F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C8728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9DAAF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270F1AEB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4E3A25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CNS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198CF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7/21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40917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1.05 (0.36-2.88)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18E6CF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0.930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B5A9B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FCA1E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9CA9F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25030FC0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886518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PDL1 expression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AF447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A283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060A25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0.174</w:t>
            </w:r>
            <w:r w:rsidRPr="00922555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$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FF572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8059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3BFA6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0.275</w:t>
            </w:r>
            <w:r w:rsidRPr="00922555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$</w:t>
            </w:r>
          </w:p>
        </w:tc>
      </w:tr>
      <w:tr w:rsidR="005F74FF" w:rsidRPr="00922555" w14:paraId="305EBB12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7FFED0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5F1EA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4/24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286D4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5E685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95FB5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F98DD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2C726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739DB016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3B7935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1%-49%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A5ADA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040A3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2.13 (0.39-11.07)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08569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0.369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FAA31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60D586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3.07 (0.52-18.25)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EC203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0.208</w:t>
            </w:r>
          </w:p>
        </w:tc>
      </w:tr>
      <w:tr w:rsidR="005F74FF" w:rsidRPr="00922555" w14:paraId="32837F4D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793A8D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&gt; 49%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C7DEC1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6/11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B98068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5.38 (1.21-26.92)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FFE02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i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05FA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A35E98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4.92 (0.87-31.04)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70B2A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0.071</w:t>
            </w:r>
          </w:p>
        </w:tc>
      </w:tr>
      <w:tr w:rsidR="005F74FF" w:rsidRPr="00922555" w14:paraId="25BC2DC4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B76863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C9FBE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19/60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F90694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2.14 (0.72-7.57)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7E2B57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0.177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17EB3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76678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2.38 (0.73-9.12)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6F73D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0.157</w:t>
            </w:r>
          </w:p>
        </w:tc>
      </w:tr>
      <w:tr w:rsidR="005F74FF" w:rsidRPr="00922555" w14:paraId="1D2487C4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347B30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6C91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E2DD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21FF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15F22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B86B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C4C37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367B3A5F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791D02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Cannabis non-user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5A8F0C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29/77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2E977A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5EE2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EF96F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F3DCEE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F8CD9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</w:tr>
      <w:tr w:rsidR="005F74FF" w:rsidRPr="00922555" w14:paraId="02DC689B" w14:textId="77777777" w:rsidTr="00C55DB1">
        <w:trPr>
          <w:gridAfter w:val="1"/>
          <w:wAfter w:w="18" w:type="dxa"/>
          <w:cantSplit/>
          <w:jc w:val="center"/>
        </w:trPr>
        <w:tc>
          <w:tcPr>
            <w:tcW w:w="2250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7B2AAD" w14:textId="77777777" w:rsidR="005F74FF" w:rsidRPr="00922555" w:rsidRDefault="005F74FF" w:rsidP="00C55DB1">
            <w:pPr>
              <w:keepNext/>
              <w:spacing w:line="240" w:lineRule="auto"/>
              <w:ind w:left="24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Cannabis user</w:t>
            </w:r>
          </w:p>
        </w:tc>
        <w:tc>
          <w:tcPr>
            <w:tcW w:w="1386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20F25D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3/28</w:t>
            </w:r>
          </w:p>
        </w:tc>
        <w:tc>
          <w:tcPr>
            <w:tcW w:w="1872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FE8027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0.23 (0.06-0.68)</w:t>
            </w:r>
          </w:p>
        </w:tc>
        <w:tc>
          <w:tcPr>
            <w:tcW w:w="961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870BA5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i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239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698FE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B80D95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</w:rPr>
              <w:t>0.14 (0.03-0.49)</w:t>
            </w:r>
          </w:p>
        </w:tc>
        <w:tc>
          <w:tcPr>
            <w:tcW w:w="1020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EDE7A5" w14:textId="77777777" w:rsidR="005F74FF" w:rsidRPr="00922555" w:rsidRDefault="005F74FF" w:rsidP="00C55DB1">
            <w:pPr>
              <w:keepNext/>
              <w:spacing w:line="240" w:lineRule="auto"/>
              <w:ind w:left="100" w:right="100"/>
              <w:jc w:val="center"/>
              <w:rPr>
                <w:sz w:val="20"/>
                <w:szCs w:val="20"/>
              </w:rPr>
            </w:pPr>
            <w:r w:rsidRPr="00922555">
              <w:rPr>
                <w:rFonts w:eastAsia="Calibri"/>
                <w:b/>
                <w:i/>
                <w:color w:val="000000"/>
                <w:sz w:val="20"/>
                <w:szCs w:val="20"/>
              </w:rPr>
              <w:t>0.001</w:t>
            </w:r>
          </w:p>
        </w:tc>
      </w:tr>
      <w:tr w:rsidR="005F74FF" w:rsidRPr="00922555" w14:paraId="3623507E" w14:textId="77777777" w:rsidTr="00C55DB1">
        <w:trPr>
          <w:cantSplit/>
          <w:jc w:val="center"/>
        </w:trPr>
        <w:tc>
          <w:tcPr>
            <w:tcW w:w="9498" w:type="dxa"/>
            <w:gridSpan w:val="8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A5B69B" w14:textId="77777777" w:rsidR="005F74FF" w:rsidRPr="00922555" w:rsidRDefault="005F74FF" w:rsidP="00C55DB1">
            <w:pPr>
              <w:keepNext/>
              <w:spacing w:line="240" w:lineRule="auto"/>
              <w:ind w:left="60" w:right="100"/>
              <w:rPr>
                <w:rFonts w:eastAsia="Calibri"/>
                <w:color w:val="000000"/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922555">
              <w:rPr>
                <w:rFonts w:eastAsia="Calibri"/>
                <w:color w:val="000000"/>
                <w:sz w:val="20"/>
                <w:szCs w:val="20"/>
              </w:rPr>
              <w:t xml:space="preserve">Event/n, numbers of events (CR/PR/SD) and patients; </w:t>
            </w:r>
            <w:proofErr w:type="gramStart"/>
            <w:r w:rsidRPr="00922555">
              <w:rPr>
                <w:rFonts w:eastAsia="Calibri"/>
                <w:color w:val="000000"/>
                <w:sz w:val="20"/>
                <w:szCs w:val="20"/>
              </w:rPr>
              <w:t>OR,</w:t>
            </w:r>
            <w:proofErr w:type="gramEnd"/>
            <w:r w:rsidRPr="00922555">
              <w:rPr>
                <w:rFonts w:eastAsia="Calibri"/>
                <w:color w:val="000000"/>
                <w:sz w:val="20"/>
                <w:szCs w:val="20"/>
              </w:rPr>
              <w:t xml:space="preserve"> odds ratio; CI, confidence interval. </w:t>
            </w:r>
          </w:p>
          <w:p w14:paraId="5C5B5045" w14:textId="77777777" w:rsidR="005F74FF" w:rsidRPr="00922555" w:rsidRDefault="005F74FF" w:rsidP="00C55DB1">
            <w:pPr>
              <w:keepNext/>
              <w:spacing w:line="240" w:lineRule="auto"/>
              <w:ind w:left="60" w:right="100"/>
              <w:rPr>
                <w:sz w:val="20"/>
                <w:szCs w:val="20"/>
              </w:rPr>
            </w:pPr>
            <w:r w:rsidRPr="00922555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#</w:t>
            </w:r>
            <w:r w:rsidRPr="00922555">
              <w:rPr>
                <w:rFonts w:eastAsia="Calibri"/>
                <w:color w:val="000000"/>
                <w:sz w:val="20"/>
                <w:szCs w:val="20"/>
              </w:rPr>
              <w:t xml:space="preserve">, covariates for multivariable analysis were selected using LASSO-based penalized logistic regression; </w:t>
            </w:r>
            <w:r w:rsidRPr="00922555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$</w:t>
            </w:r>
            <w:r w:rsidRPr="00922555">
              <w:rPr>
                <w:rFonts w:eastAsia="Calibri"/>
                <w:color w:val="000000"/>
                <w:sz w:val="20"/>
                <w:szCs w:val="20"/>
              </w:rPr>
              <w:t>, global p value obtained by likelihood ratio test.</w:t>
            </w:r>
          </w:p>
        </w:tc>
      </w:tr>
    </w:tbl>
    <w:p w14:paraId="03D3BB0F" w14:textId="77777777" w:rsidR="005F74FF" w:rsidRDefault="005F74FF" w:rsidP="005F74FF">
      <w:pPr>
        <w:spacing w:line="259" w:lineRule="auto"/>
        <w:rPr>
          <w:sz w:val="20"/>
          <w:szCs w:val="20"/>
        </w:rPr>
      </w:pPr>
      <w:r w:rsidRPr="00E63788">
        <w:rPr>
          <w:sz w:val="20"/>
          <w:szCs w:val="20"/>
          <w:vertAlign w:val="superscript"/>
        </w:rPr>
        <w:t>a</w:t>
      </w:r>
      <w:r w:rsidRPr="00E63788">
        <w:rPr>
          <w:sz w:val="20"/>
          <w:szCs w:val="20"/>
        </w:rPr>
        <w:t xml:space="preserve">, </w:t>
      </w:r>
      <w:r>
        <w:rPr>
          <w:sz w:val="20"/>
          <w:szCs w:val="20"/>
        </w:rPr>
        <w:t>n</w:t>
      </w:r>
      <w:r w:rsidRPr="00E63788">
        <w:rPr>
          <w:sz w:val="20"/>
          <w:szCs w:val="20"/>
        </w:rPr>
        <w:t>ivolumab</w:t>
      </w:r>
      <w:r>
        <w:rPr>
          <w:sz w:val="20"/>
          <w:szCs w:val="20"/>
        </w:rPr>
        <w:t xml:space="preserve">, </w:t>
      </w:r>
      <w:r w:rsidRPr="00E63788">
        <w:rPr>
          <w:sz w:val="20"/>
          <w:szCs w:val="20"/>
        </w:rPr>
        <w:t xml:space="preserve">pembrolizumab; </w:t>
      </w:r>
      <w:r w:rsidRPr="00E63788">
        <w:rPr>
          <w:sz w:val="20"/>
          <w:szCs w:val="20"/>
          <w:vertAlign w:val="superscript"/>
        </w:rPr>
        <w:t>b</w:t>
      </w:r>
      <w:r w:rsidRPr="00E63788">
        <w:rPr>
          <w:sz w:val="20"/>
          <w:szCs w:val="20"/>
        </w:rPr>
        <w:t xml:space="preserve">, </w:t>
      </w:r>
      <w:r>
        <w:rPr>
          <w:sz w:val="20"/>
          <w:szCs w:val="20"/>
        </w:rPr>
        <w:t>a</w:t>
      </w:r>
      <w:r w:rsidRPr="00E63788">
        <w:rPr>
          <w:sz w:val="20"/>
          <w:szCs w:val="20"/>
        </w:rPr>
        <w:t>tezolizumab</w:t>
      </w:r>
      <w:r>
        <w:rPr>
          <w:sz w:val="20"/>
          <w:szCs w:val="20"/>
        </w:rPr>
        <w:t xml:space="preserve">, </w:t>
      </w:r>
      <w:r w:rsidRPr="00E63788">
        <w:rPr>
          <w:sz w:val="20"/>
          <w:szCs w:val="20"/>
        </w:rPr>
        <w:t>durvalumab</w:t>
      </w:r>
      <w:r>
        <w:rPr>
          <w:sz w:val="20"/>
          <w:szCs w:val="20"/>
        </w:rPr>
        <w:t xml:space="preserve">, </w:t>
      </w:r>
      <w:r w:rsidRPr="00E63788">
        <w:rPr>
          <w:sz w:val="20"/>
          <w:szCs w:val="20"/>
        </w:rPr>
        <w:t xml:space="preserve">avelumab; </w:t>
      </w:r>
      <w:r w:rsidRPr="00E63788">
        <w:rPr>
          <w:sz w:val="20"/>
          <w:szCs w:val="20"/>
          <w:vertAlign w:val="superscript"/>
        </w:rPr>
        <w:t>c</w:t>
      </w:r>
      <w:r w:rsidRPr="00E63788">
        <w:rPr>
          <w:sz w:val="20"/>
          <w:szCs w:val="20"/>
        </w:rPr>
        <w:t xml:space="preserve">, </w:t>
      </w:r>
      <w:r>
        <w:rPr>
          <w:sz w:val="20"/>
          <w:szCs w:val="20"/>
        </w:rPr>
        <w:t>n</w:t>
      </w:r>
      <w:r w:rsidRPr="00E63788">
        <w:rPr>
          <w:sz w:val="20"/>
          <w:szCs w:val="20"/>
        </w:rPr>
        <w:t>ivolumab/ipilimumab.</w:t>
      </w:r>
    </w:p>
    <w:p w14:paraId="6CBBD449" w14:textId="77777777" w:rsidR="005F74FF" w:rsidRDefault="005F74FF" w:rsidP="005F74FF">
      <w:pPr>
        <w:spacing w:line="259" w:lineRule="auto"/>
        <w:rPr>
          <w:sz w:val="20"/>
          <w:szCs w:val="20"/>
        </w:rPr>
      </w:pPr>
    </w:p>
    <w:p w14:paraId="01D71C6E" w14:textId="496D51D9" w:rsidR="00280C80" w:rsidRDefault="005F74FF" w:rsidP="005F74FF">
      <w:pPr>
        <w:spacing w:line="240" w:lineRule="auto"/>
      </w:pPr>
      <w:r>
        <w:rPr>
          <w:b/>
          <w:bCs/>
        </w:rPr>
        <w:t>Supp. 3:</w:t>
      </w:r>
      <w:r w:rsidRPr="00510E3E">
        <w:t xml:space="preserve"> </w:t>
      </w:r>
      <w:r>
        <w:t>Un</w:t>
      </w:r>
      <w:r w:rsidRPr="00C9557D">
        <w:t>ivariable</w:t>
      </w:r>
      <w:r>
        <w:t xml:space="preserve"> and multivariable</w:t>
      </w:r>
      <w:r w:rsidRPr="00C9557D">
        <w:t xml:space="preserve"> </w:t>
      </w:r>
      <w:proofErr w:type="gramStart"/>
      <w:r>
        <w:t>firth</w:t>
      </w:r>
      <w:proofErr w:type="gramEnd"/>
      <w:r>
        <w:t xml:space="preserve"> </w:t>
      </w:r>
      <w:r w:rsidRPr="00C9557D">
        <w:t>logistic regression</w:t>
      </w:r>
      <w:r>
        <w:t xml:space="preserve"> analyses of risk factors associated with clinical benefit (CR/PR/SD vs. PD, PD as reference).</w:t>
      </w:r>
    </w:p>
    <w:sectPr w:rsidR="00280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AB4"/>
    <w:rsid w:val="00021B06"/>
    <w:rsid w:val="00280C80"/>
    <w:rsid w:val="0039208A"/>
    <w:rsid w:val="005F74FF"/>
    <w:rsid w:val="00606AB4"/>
    <w:rsid w:val="009B33E1"/>
    <w:rsid w:val="009B4E4C"/>
    <w:rsid w:val="00C244D2"/>
    <w:rsid w:val="00CC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EC66E"/>
  <w15:chartTrackingRefBased/>
  <w15:docId w15:val="{8A01C788-6A57-4976-B5D6-D9952153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AB4"/>
    <w:pPr>
      <w:spacing w:after="0" w:line="276" w:lineRule="auto"/>
    </w:pPr>
    <w:rPr>
      <w:rFonts w:ascii="Arial" w:eastAsiaTheme="minorEastAsia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A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AB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AB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AB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AB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6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AB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6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AB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6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A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6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AB4"/>
    <w:rPr>
      <w:b/>
      <w:bCs/>
      <w:smallCaps/>
      <w:color w:val="0F4761" w:themeColor="accent1" w:themeShade="BF"/>
      <w:spacing w:val="5"/>
    </w:rPr>
  </w:style>
  <w:style w:type="paragraph" w:customStyle="1" w:styleId="TableNote">
    <w:name w:val="TableNot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9B33E1"/>
    <w:pPr>
      <w:spacing w:before="12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9B33E1"/>
  </w:style>
  <w:style w:type="character" w:styleId="CommentReference">
    <w:name w:val="annotation reference"/>
    <w:basedOn w:val="DefaultParagraphFont"/>
    <w:uiPriority w:val="99"/>
    <w:semiHidden/>
    <w:unhideWhenUsed/>
    <w:rsid w:val="005F74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74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74FF"/>
    <w:rPr>
      <w:rFonts w:ascii="Arial" w:eastAsiaTheme="minorEastAsia" w:hAnsi="Arial" w:cs="Arial"/>
      <w:kern w:val="0"/>
      <w:sz w:val="20"/>
      <w:szCs w:val="2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Tarik Hadid</dc:creator>
  <cp:keywords/>
  <dc:description/>
  <cp:lastModifiedBy>Tarik Hadid</cp:lastModifiedBy>
  <cp:revision>2</cp:revision>
  <dcterms:created xsi:type="dcterms:W3CDTF">2024-11-12T02:44:00Z</dcterms:created>
  <dcterms:modified xsi:type="dcterms:W3CDTF">2024-11-12T02:44:00Z</dcterms:modified>
</cp:coreProperties>
</file>