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5B980" w14:textId="77777777" w:rsidR="00842E2B" w:rsidRPr="00D27CA2" w:rsidRDefault="00842E2B" w:rsidP="008F6770">
      <w:pPr>
        <w:jc w:val="center"/>
        <w:rPr>
          <w:rFonts w:ascii="Times New Roman" w:hAnsi="Times New Roman" w:cs="Times New Roman"/>
          <w:b/>
          <w:sz w:val="24"/>
          <w:szCs w:val="24"/>
        </w:rPr>
      </w:pPr>
      <w:r w:rsidRPr="00D27CA2">
        <w:rPr>
          <w:rFonts w:ascii="Times New Roman" w:hAnsi="Times New Roman" w:cs="Times New Roman"/>
          <w:b/>
          <w:sz w:val="24"/>
          <w:szCs w:val="24"/>
        </w:rPr>
        <w:t>Verbal learning and memory in cannabis and alcohol users: An event-related potential investigation</w:t>
      </w:r>
    </w:p>
    <w:p w14:paraId="7B8A20F0" w14:textId="77777777" w:rsidR="00842E2B" w:rsidRPr="00D27CA2" w:rsidRDefault="00842E2B" w:rsidP="008F6770">
      <w:pPr>
        <w:jc w:val="center"/>
        <w:rPr>
          <w:rFonts w:ascii="Times New Roman" w:hAnsi="Times New Roman" w:cs="Times New Roman"/>
          <w:b/>
          <w:sz w:val="24"/>
          <w:szCs w:val="24"/>
        </w:rPr>
      </w:pPr>
      <w:r w:rsidRPr="00D27CA2">
        <w:rPr>
          <w:rFonts w:ascii="Times New Roman" w:hAnsi="Times New Roman" w:cs="Times New Roman"/>
          <w:b/>
          <w:sz w:val="24"/>
          <w:szCs w:val="24"/>
        </w:rPr>
        <w:t>Supplementary Material</w:t>
      </w:r>
    </w:p>
    <w:p w14:paraId="7D1E954A" w14:textId="056942F9" w:rsidR="00842E2B" w:rsidRPr="00D27CA2" w:rsidRDefault="00842E2B" w:rsidP="008F6770">
      <w:pPr>
        <w:jc w:val="center"/>
        <w:rPr>
          <w:rFonts w:ascii="Times New Roman" w:hAnsi="Times New Roman" w:cs="Times New Roman"/>
          <w:sz w:val="24"/>
          <w:szCs w:val="24"/>
          <w:vertAlign w:val="superscript"/>
        </w:rPr>
      </w:pPr>
      <w:r w:rsidRPr="00D27CA2">
        <w:rPr>
          <w:rFonts w:ascii="Times New Roman" w:hAnsi="Times New Roman" w:cs="Times New Roman"/>
          <w:sz w:val="24"/>
          <w:szCs w:val="24"/>
        </w:rPr>
        <w:t>Janette L. Smith, Frances M. De Blasio,</w:t>
      </w:r>
      <w:r w:rsidRPr="00D27CA2">
        <w:rPr>
          <w:rFonts w:ascii="Times New Roman" w:hAnsi="Times New Roman" w:cs="Times New Roman"/>
          <w:sz w:val="24"/>
          <w:szCs w:val="24"/>
          <w:vertAlign w:val="superscript"/>
        </w:rPr>
        <w:t xml:space="preserve"> </w:t>
      </w:r>
      <w:r w:rsidRPr="00D27CA2">
        <w:rPr>
          <w:rFonts w:ascii="Times New Roman" w:hAnsi="Times New Roman" w:cs="Times New Roman"/>
          <w:sz w:val="24"/>
          <w:szCs w:val="24"/>
        </w:rPr>
        <w:t>Jaimi M. Iredale, Allison Matthews, Raimondo Bruno, Michelle Dwyer, Tessa Batt, Allison M. Fox, Nadia Solowij &amp; Richard P. Mattick</w:t>
      </w:r>
    </w:p>
    <w:p w14:paraId="19522CB3" w14:textId="77777777" w:rsidR="00EA062D" w:rsidRPr="00D27CA2" w:rsidRDefault="00842E2B" w:rsidP="008F6770">
      <w:pPr>
        <w:rPr>
          <w:rFonts w:ascii="Times New Roman" w:hAnsi="Times New Roman" w:cs="Times New Roman"/>
          <w:sz w:val="24"/>
          <w:szCs w:val="24"/>
        </w:rPr>
      </w:pPr>
      <w:r w:rsidRPr="00D27CA2">
        <w:rPr>
          <w:rFonts w:ascii="Times New Roman" w:hAnsi="Times New Roman" w:cs="Times New Roman"/>
          <w:sz w:val="24"/>
          <w:szCs w:val="24"/>
        </w:rPr>
        <w:t>There is some evidence for other ERP ‘differences based on later memory’ at the encoding stage beyond the P2 covered in the main article, but they were not the main focus of our investigation and could not be included in the main article for space reasons. Later recalled words are associated not only with a larger P2 co</w:t>
      </w:r>
      <w:bookmarkStart w:id="0" w:name="_GoBack"/>
      <w:bookmarkEnd w:id="0"/>
      <w:r w:rsidRPr="00D27CA2">
        <w:rPr>
          <w:rFonts w:ascii="Times New Roman" w:hAnsi="Times New Roman" w:cs="Times New Roman"/>
          <w:sz w:val="24"/>
          <w:szCs w:val="24"/>
        </w:rPr>
        <w:t xml:space="preserve">mponent </w:t>
      </w:r>
      <w:r w:rsidRPr="00D27CA2">
        <w:rPr>
          <w:rFonts w:ascii="Times New Roman" w:hAnsi="Times New Roman" w:cs="Times New Roman"/>
          <w:noProof/>
          <w:sz w:val="24"/>
          <w:szCs w:val="24"/>
        </w:rPr>
        <w:t>(e.g., Babiloni et al., 2010; Chapman et al., 1978; Smith, 1993)</w:t>
      </w:r>
      <w:r w:rsidRPr="00D27CA2">
        <w:rPr>
          <w:rFonts w:ascii="Times New Roman" w:hAnsi="Times New Roman" w:cs="Times New Roman"/>
          <w:sz w:val="24"/>
          <w:szCs w:val="24"/>
        </w:rPr>
        <w:t xml:space="preserve">, but also a smaller (less negative) N400 </w:t>
      </w:r>
      <w:r w:rsidRPr="00D27CA2">
        <w:rPr>
          <w:rFonts w:ascii="Times New Roman" w:hAnsi="Times New Roman" w:cs="Times New Roman"/>
          <w:noProof/>
          <w:sz w:val="24"/>
          <w:szCs w:val="24"/>
        </w:rPr>
        <w:t>(e.g., Dunn et al., 1998; Fox et al., 1995)</w:t>
      </w:r>
      <w:r w:rsidRPr="00D27CA2">
        <w:rPr>
          <w:rFonts w:ascii="Times New Roman" w:hAnsi="Times New Roman" w:cs="Times New Roman"/>
          <w:sz w:val="24"/>
          <w:szCs w:val="24"/>
        </w:rPr>
        <w:t xml:space="preserve">, and a larger late positivity from about 500-900ms post-stimulus </w:t>
      </w:r>
      <w:r w:rsidRPr="00D27CA2">
        <w:rPr>
          <w:rFonts w:ascii="Times New Roman" w:hAnsi="Times New Roman" w:cs="Times New Roman"/>
          <w:noProof/>
          <w:sz w:val="24"/>
          <w:szCs w:val="24"/>
        </w:rPr>
        <w:t>(Blanchet et al., 2007; Dunn et al., 1998; Fox et al., 1995)</w:t>
      </w:r>
      <w:r w:rsidRPr="00D27CA2">
        <w:rPr>
          <w:rFonts w:ascii="Times New Roman" w:hAnsi="Times New Roman" w:cs="Times New Roman"/>
          <w:sz w:val="24"/>
          <w:szCs w:val="24"/>
        </w:rPr>
        <w:t xml:space="preserve">. Cannabis-related differences in these components have been reported by our group previously </w:t>
      </w:r>
      <w:r w:rsidRPr="00D27CA2">
        <w:rPr>
          <w:rFonts w:ascii="Times New Roman" w:hAnsi="Times New Roman" w:cs="Times New Roman"/>
          <w:noProof/>
          <w:sz w:val="24"/>
          <w:szCs w:val="24"/>
        </w:rPr>
        <w:t>(Battisti et al., 2010)</w:t>
      </w:r>
      <w:r w:rsidRPr="00D27CA2">
        <w:rPr>
          <w:rFonts w:ascii="Times New Roman" w:hAnsi="Times New Roman" w:cs="Times New Roman"/>
          <w:sz w:val="24"/>
          <w:szCs w:val="24"/>
        </w:rPr>
        <w:t>. Our PCAs for both adolescents and young adults identified such components in the Recall phase. We also present analyses for the additional PCA derived components identified within the P2 latency range in each analysis</w:t>
      </w:r>
      <w:r w:rsidR="00EA062D" w:rsidRPr="00D27CA2">
        <w:rPr>
          <w:rFonts w:ascii="Times New Roman" w:hAnsi="Times New Roman" w:cs="Times New Roman"/>
          <w:sz w:val="24"/>
          <w:szCs w:val="24"/>
        </w:rPr>
        <w:t>.</w:t>
      </w:r>
    </w:p>
    <w:p w14:paraId="00898967" w14:textId="7F8ED33E" w:rsidR="00842E2B" w:rsidRPr="00D27CA2" w:rsidRDefault="00EA062D" w:rsidP="008F6770">
      <w:pPr>
        <w:rPr>
          <w:rFonts w:ascii="Times New Roman" w:hAnsi="Times New Roman" w:cs="Times New Roman"/>
          <w:sz w:val="24"/>
          <w:szCs w:val="24"/>
        </w:rPr>
      </w:pPr>
      <w:r w:rsidRPr="00D27CA2">
        <w:rPr>
          <w:rFonts w:ascii="Times New Roman" w:hAnsi="Times New Roman" w:cs="Times New Roman"/>
          <w:sz w:val="24"/>
          <w:szCs w:val="24"/>
        </w:rPr>
        <w:t>Furthermore, the adolescents recruited in Study 1 were selected to include a range of alcohol and cannabis consumption behaviours; however, since the samples were small and the alcohol and cannabis user groups were not particularly heavy users, we did not expect to observe large/significant differences between groups.</w:t>
      </w:r>
      <w:r w:rsidR="00F963B4" w:rsidRPr="00D27CA2">
        <w:rPr>
          <w:rFonts w:ascii="Times New Roman" w:hAnsi="Times New Roman" w:cs="Times New Roman"/>
          <w:sz w:val="24"/>
          <w:szCs w:val="24"/>
        </w:rPr>
        <w:t xml:space="preserve"> However, to spur interest in future research using this paradigm in these populations, </w:t>
      </w:r>
      <w:r w:rsidRPr="00D27CA2">
        <w:rPr>
          <w:rFonts w:ascii="Times New Roman" w:hAnsi="Times New Roman" w:cs="Times New Roman"/>
          <w:sz w:val="24"/>
          <w:szCs w:val="24"/>
        </w:rPr>
        <w:t xml:space="preserve">we </w:t>
      </w:r>
      <w:r w:rsidR="00F963B4" w:rsidRPr="00D27CA2">
        <w:rPr>
          <w:rFonts w:ascii="Times New Roman" w:hAnsi="Times New Roman" w:cs="Times New Roman"/>
          <w:sz w:val="24"/>
          <w:szCs w:val="24"/>
        </w:rPr>
        <w:t xml:space="preserve">also </w:t>
      </w:r>
      <w:r w:rsidRPr="00D27CA2">
        <w:rPr>
          <w:rFonts w:ascii="Times New Roman" w:hAnsi="Times New Roman" w:cs="Times New Roman"/>
          <w:sz w:val="24"/>
          <w:szCs w:val="24"/>
        </w:rPr>
        <w:t>include group analyses</w:t>
      </w:r>
      <w:r w:rsidR="0023386A" w:rsidRPr="00D27CA2">
        <w:rPr>
          <w:rFonts w:ascii="Times New Roman" w:hAnsi="Times New Roman" w:cs="Times New Roman"/>
          <w:sz w:val="24"/>
          <w:szCs w:val="24"/>
        </w:rPr>
        <w:t xml:space="preserve"> for behavioural and ERP data from </w:t>
      </w:r>
      <w:r w:rsidR="00F963B4" w:rsidRPr="00D27CA2">
        <w:rPr>
          <w:rFonts w:ascii="Times New Roman" w:hAnsi="Times New Roman" w:cs="Times New Roman"/>
          <w:sz w:val="24"/>
          <w:szCs w:val="24"/>
        </w:rPr>
        <w:t>this study as Supplementary Material.</w:t>
      </w:r>
    </w:p>
    <w:p w14:paraId="3768D4A3" w14:textId="77777777" w:rsidR="00842E2B" w:rsidRPr="00D27CA2" w:rsidRDefault="00842E2B" w:rsidP="002A3454">
      <w:pPr>
        <w:pStyle w:val="Heading1"/>
        <w:rPr>
          <w:rFonts w:cs="Times New Roman"/>
          <w:color w:val="auto"/>
          <w:szCs w:val="24"/>
        </w:rPr>
      </w:pPr>
      <w:r w:rsidRPr="00D27CA2">
        <w:rPr>
          <w:rFonts w:cs="Times New Roman"/>
          <w:color w:val="auto"/>
          <w:szCs w:val="24"/>
        </w:rPr>
        <w:t>Study 1: Adolescents</w:t>
      </w:r>
    </w:p>
    <w:p w14:paraId="4BB24F1A" w14:textId="77777777" w:rsidR="0008026F" w:rsidRPr="00D27CA2" w:rsidRDefault="0008026F" w:rsidP="002A3454">
      <w:pPr>
        <w:pStyle w:val="Heading2"/>
        <w:rPr>
          <w:color w:val="auto"/>
        </w:rPr>
      </w:pPr>
      <w:r w:rsidRPr="00D27CA2">
        <w:rPr>
          <w:color w:val="auto"/>
        </w:rPr>
        <w:t>Participants</w:t>
      </w:r>
    </w:p>
    <w:p w14:paraId="12916E3E" w14:textId="1D92D9E5" w:rsidR="005E5782" w:rsidRPr="00D27CA2" w:rsidRDefault="00AB0ABF" w:rsidP="008F6770">
      <w:pPr>
        <w:rPr>
          <w:rFonts w:ascii="Times New Roman" w:hAnsi="Times New Roman" w:cs="Times New Roman"/>
          <w:sz w:val="24"/>
          <w:szCs w:val="24"/>
        </w:rPr>
      </w:pPr>
      <w:r w:rsidRPr="00D27CA2">
        <w:rPr>
          <w:rFonts w:ascii="Times New Roman" w:hAnsi="Times New Roman" w:cs="Times New Roman"/>
          <w:sz w:val="24"/>
          <w:szCs w:val="24"/>
        </w:rPr>
        <w:t xml:space="preserve">The 33 participants described in the main article were recruited into three groups: </w:t>
      </w:r>
      <w:r w:rsidR="005D21FE" w:rsidRPr="00D27CA2">
        <w:rPr>
          <w:rFonts w:ascii="Times New Roman" w:hAnsi="Times New Roman" w:cs="Times New Roman"/>
          <w:sz w:val="24"/>
          <w:szCs w:val="24"/>
        </w:rPr>
        <w:t xml:space="preserve">‘Heavy Drinkers’ (HD, n = 12) were defined as those who had engaged in heavy drinking (four or more Australian standard drinks, equal to 40g alcohol, on one occasion) at least once in the preceding 12 month period, but reported no previous use of cannabis. ‘Cannabis Users’ (CU, n = 8) were defined as those who reported cannabis use at least once in the </w:t>
      </w:r>
      <w:r w:rsidR="00D1433D" w:rsidRPr="00D27CA2">
        <w:rPr>
          <w:rFonts w:ascii="Times New Roman" w:hAnsi="Times New Roman" w:cs="Times New Roman"/>
          <w:sz w:val="24"/>
          <w:szCs w:val="24"/>
        </w:rPr>
        <w:t xml:space="preserve">last </w:t>
      </w:r>
      <w:r w:rsidR="005D21FE" w:rsidRPr="00D27CA2">
        <w:rPr>
          <w:rFonts w:ascii="Times New Roman" w:hAnsi="Times New Roman" w:cs="Times New Roman"/>
          <w:sz w:val="24"/>
          <w:szCs w:val="24"/>
        </w:rPr>
        <w:t>12 month</w:t>
      </w:r>
      <w:r w:rsidR="00D1433D" w:rsidRPr="00D27CA2">
        <w:rPr>
          <w:rFonts w:ascii="Times New Roman" w:hAnsi="Times New Roman" w:cs="Times New Roman"/>
          <w:sz w:val="24"/>
          <w:szCs w:val="24"/>
        </w:rPr>
        <w:t>s</w:t>
      </w:r>
      <w:r w:rsidR="005D21FE" w:rsidRPr="00D27CA2">
        <w:rPr>
          <w:rFonts w:ascii="Times New Roman" w:hAnsi="Times New Roman" w:cs="Times New Roman"/>
          <w:sz w:val="24"/>
          <w:szCs w:val="24"/>
        </w:rPr>
        <w:t xml:space="preserve">. Two of these participants reported using cannabis 2-5 times, the remaining 6 reported using 6 or more times; all CU also reported heavy drinking in the preceding 12 months. Participants who neither engaged in heavy drinking nor cannabis use were in the ‘Drug-Naive Controls’ (DNC, n = 13) group. We focused on a single sex to reduce heterogeneity in this pilot study, and on males since the prevalence of alcohol and cannabis use is slightly higher than in females in this age range </w:t>
      </w:r>
      <w:r w:rsidR="005D21FE" w:rsidRPr="00D27CA2">
        <w:rPr>
          <w:rFonts w:ascii="Times New Roman" w:hAnsi="Times New Roman" w:cs="Times New Roman"/>
          <w:noProof/>
          <w:sz w:val="24"/>
          <w:szCs w:val="24"/>
        </w:rPr>
        <w:t>(AIHW, 2011)</w:t>
      </w:r>
      <w:r w:rsidR="005D21FE" w:rsidRPr="00D27CA2">
        <w:rPr>
          <w:rFonts w:ascii="Times New Roman" w:hAnsi="Times New Roman" w:cs="Times New Roman"/>
          <w:sz w:val="24"/>
          <w:szCs w:val="24"/>
        </w:rPr>
        <w:t xml:space="preserve">. Our aim was not to capture the heaviest users in their cohort, but rather to examine the possibility of cognitive deficits among ‘typical’ users for this age range: approximately 58.5% of males aged 16-19 have at least one alcohol binge episode in a 12 month period, while, by interpolation, around 19.5% of males in this age range have used cannabis at least once in the past year </w:t>
      </w:r>
      <w:r w:rsidR="005D21FE" w:rsidRPr="00D27CA2">
        <w:rPr>
          <w:rFonts w:ascii="Times New Roman" w:hAnsi="Times New Roman" w:cs="Times New Roman"/>
          <w:noProof/>
          <w:sz w:val="24"/>
          <w:szCs w:val="24"/>
        </w:rPr>
        <w:t>(AIHW, 2011)</w:t>
      </w:r>
      <w:r w:rsidR="005D21FE" w:rsidRPr="00D27CA2">
        <w:rPr>
          <w:rFonts w:ascii="Times New Roman" w:hAnsi="Times New Roman" w:cs="Times New Roman"/>
          <w:sz w:val="24"/>
          <w:szCs w:val="24"/>
        </w:rPr>
        <w:t>.</w:t>
      </w:r>
    </w:p>
    <w:p w14:paraId="703EF32C" w14:textId="77777777" w:rsidR="00AB0ABF" w:rsidRPr="00D27CA2" w:rsidRDefault="00F963B4" w:rsidP="002A3454">
      <w:pPr>
        <w:pStyle w:val="Heading2"/>
        <w:rPr>
          <w:rFonts w:cs="Times New Roman"/>
          <w:color w:val="auto"/>
          <w:szCs w:val="24"/>
        </w:rPr>
      </w:pPr>
      <w:r w:rsidRPr="00D27CA2">
        <w:rPr>
          <w:rFonts w:cs="Times New Roman"/>
          <w:color w:val="auto"/>
          <w:szCs w:val="24"/>
        </w:rPr>
        <w:lastRenderedPageBreak/>
        <w:t>ERPs and PCA results</w:t>
      </w:r>
    </w:p>
    <w:p w14:paraId="3A03D718" w14:textId="77777777" w:rsidR="00F963B4" w:rsidRPr="00D27CA2" w:rsidRDefault="00F963B4" w:rsidP="00F963B4">
      <w:pPr>
        <w:rPr>
          <w:rFonts w:ascii="Times New Roman" w:hAnsi="Times New Roman" w:cs="Times New Roman"/>
          <w:sz w:val="24"/>
          <w:szCs w:val="24"/>
        </w:rPr>
      </w:pPr>
      <w:r w:rsidRPr="00D27CA2">
        <w:rPr>
          <w:rFonts w:ascii="Times New Roman" w:hAnsi="Times New Roman" w:cs="Times New Roman"/>
          <w:sz w:val="24"/>
          <w:szCs w:val="24"/>
        </w:rPr>
        <w:t>Supplementary Figure 1 (top) shows the grand mean waveforms in the Recall phase for Remembered and Not Remembered words, while Supplementary Figure 2 shows the unscaled factor loadings associated with each of the major components identified by the PCA. In addition to the P175 described in the main text, the PCA identified two other components in the P2 range (Factor 4, peaking at 210ms, Fz maximum, 6.49% of variance, labelled P210; and Factor 8, peaking at 260ms, P4 maximum, explaining 3.64% of variance, labelled P260). Additionally, the first factor showed a negative peak at 440ms, maximal at Fz, and explained 29.35% of variance (labelled N440), and Factor 2 showed a positive peak at 630ms, maximal at Pz and explained 15.31% of variance (labelled P630). Peak component amplitudes for these additional factors were analysed in a similar stepwise fashion as described in the main article.</w:t>
      </w:r>
    </w:p>
    <w:p w14:paraId="68F4FDAE" w14:textId="77777777" w:rsidR="00D606D1" w:rsidRPr="00D27CA2" w:rsidRDefault="00D606D1" w:rsidP="00D606D1">
      <w:pPr>
        <w:pStyle w:val="Heading2"/>
        <w:rPr>
          <w:rFonts w:cs="Times New Roman"/>
          <w:color w:val="auto"/>
          <w:szCs w:val="24"/>
        </w:rPr>
      </w:pPr>
      <w:r w:rsidRPr="00D27CA2">
        <w:rPr>
          <w:rFonts w:cs="Times New Roman"/>
          <w:color w:val="auto"/>
          <w:szCs w:val="24"/>
        </w:rPr>
        <w:t>Statistical analysis</w:t>
      </w:r>
    </w:p>
    <w:p w14:paraId="19B4F227" w14:textId="77777777" w:rsidR="00D606D1" w:rsidRPr="00D27CA2" w:rsidRDefault="00D606D1" w:rsidP="00D606D1">
      <w:pPr>
        <w:spacing w:after="120"/>
        <w:rPr>
          <w:rFonts w:ascii="Times New Roman" w:hAnsi="Times New Roman" w:cs="Times New Roman"/>
          <w:sz w:val="24"/>
          <w:szCs w:val="24"/>
        </w:rPr>
      </w:pPr>
      <w:r w:rsidRPr="00D27CA2">
        <w:rPr>
          <w:rFonts w:ascii="Times New Roman" w:hAnsi="Times New Roman" w:cs="Times New Roman"/>
          <w:sz w:val="24"/>
          <w:szCs w:val="24"/>
        </w:rPr>
        <w:t xml:space="preserve">Statistical analysis for behavioural data proceeded as described in the main article, with the addition of a Group factor (DNC, HD, CU) in each MANOVA. Contrasts on the Group factor (for this and all other analyses) separately compared the performance of DNC with HD, and HD with CU. These group comparisons were selected because the CU group all reported heavy drinking; thus the DNC vs. HD comparison assesses the effect of heavy drinking, while the CU vs. HD comparison assesses the effect of cannabis use while controlling for heavy drinking (although we allow that there could be interactive effects of alcohol and cannabis, examination of these is beyond the scope of this study). For recognition accuracy, we ran Group ANOVAs for List A, List B, and New words separately, while for reaction time, we ran Type (List A, List B, New) × Group MANOVAs, with contrasts on the Type factor comparing List A performance with List B words, and with New words. </w:t>
      </w:r>
    </w:p>
    <w:p w14:paraId="75D0117D" w14:textId="77777777" w:rsidR="00D1433D" w:rsidRPr="00D27CA2" w:rsidRDefault="00D606D1" w:rsidP="00D1433D">
      <w:pPr>
        <w:rPr>
          <w:rFonts w:ascii="Times New Roman" w:hAnsi="Times New Roman" w:cs="Times New Roman"/>
        </w:rPr>
      </w:pPr>
      <w:r w:rsidRPr="00D27CA2">
        <w:rPr>
          <w:rFonts w:ascii="Times New Roman" w:hAnsi="Times New Roman" w:cs="Times New Roman"/>
          <w:sz w:val="24"/>
          <w:szCs w:val="24"/>
        </w:rPr>
        <w:t xml:space="preserve">A two-step approach was taken with analyses of ERP data, to accurately describe the topography of the PCA-identified components, and to assess the important Group main effects and interactions. First, peak component amplitudes from the sites F3, Fz, F4, C3, Cz, C4, P3, Pz and P4 were each assessed with three-way MANOVAs with factors Lateral (left/midline/right), Sagittal (frontal/central/parietal) and Type (for the recall phase: Remembered, Not Remembered; for the recognition phase: List A, List B, New). Contrasts on the Sagittal factor compared activity at frontal sites with that at parietal sites, and their average with activity at central sites. Contrasts on the Lateral factor compared activity at left hemisphere sites with that at right hemisphere sites, and their average with activity at midline sites. Such contrasts are optimal for efficiently deriving maximal information about component topography. For the recognition phase, planned contrasts on the Type factor for N415 (indexing familiarity) compared activity for List A vs. List B words (highly familiar words vs. less so), and their mean (words which had been presented before) vs. New (not seen before). For the P640 (indexing recognition), we compared List A words with the mean of List B and New words (indicating correct source recollection of the word as being List A vs. Other), and compared List B with New words (although this is necessarily confounded </w:t>
      </w:r>
      <w:r w:rsidR="00D1433D" w:rsidRPr="00D27CA2">
        <w:rPr>
          <w:rFonts w:ascii="Times New Roman" w:hAnsi="Times New Roman" w:cs="Times New Roman"/>
          <w:sz w:val="24"/>
          <w:szCs w:val="24"/>
        </w:rPr>
        <w:t>with familiarity). The results of this step are important for characterising the topographic distribution of the component, and differences in amplitude and topography between different trial types.</w:t>
      </w:r>
    </w:p>
    <w:p w14:paraId="405F9427" w14:textId="03D8A02C" w:rsidR="00F963B4" w:rsidRPr="00D27CA2" w:rsidRDefault="00AD20A3" w:rsidP="00AD20A3">
      <w:pPr>
        <w:jc w:val="center"/>
        <w:rPr>
          <w:rFonts w:ascii="Times New Roman" w:hAnsi="Times New Roman" w:cs="Times New Roman"/>
          <w:sz w:val="24"/>
          <w:szCs w:val="24"/>
        </w:rPr>
      </w:pPr>
      <w:r w:rsidRPr="00D27CA2">
        <w:rPr>
          <w:rFonts w:ascii="Times New Roman" w:hAnsi="Times New Roman" w:cs="Times New Roman"/>
          <w:noProof/>
          <w:sz w:val="24"/>
          <w:szCs w:val="24"/>
          <w:lang w:eastAsia="en-AU"/>
        </w:rPr>
        <w:lastRenderedPageBreak/>
        <w:drawing>
          <wp:inline distT="0" distB="0" distL="0" distR="0" wp14:anchorId="75581A5F" wp14:editId="25669FEB">
            <wp:extent cx="4687200" cy="738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 adolescent group waveforms.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87200" cy="7387200"/>
                    </a:xfrm>
                    <a:prstGeom prst="rect">
                      <a:avLst/>
                    </a:prstGeom>
                  </pic:spPr>
                </pic:pic>
              </a:graphicData>
            </a:graphic>
          </wp:inline>
        </w:drawing>
      </w:r>
    </w:p>
    <w:p w14:paraId="3D42AB88" w14:textId="77777777" w:rsidR="00F963B4" w:rsidRPr="00D27CA2" w:rsidRDefault="00F963B4" w:rsidP="00F963B4">
      <w:pPr>
        <w:autoSpaceDE w:val="0"/>
        <w:autoSpaceDN w:val="0"/>
        <w:adjustRightInd w:val="0"/>
        <w:spacing w:after="120"/>
        <w:rPr>
          <w:rFonts w:ascii="Times New Roman" w:hAnsi="Times New Roman" w:cs="Times New Roman"/>
          <w:sz w:val="24"/>
          <w:szCs w:val="24"/>
        </w:rPr>
      </w:pPr>
      <w:r w:rsidRPr="00D27CA2">
        <w:rPr>
          <w:rFonts w:ascii="Times New Roman" w:hAnsi="Times New Roman" w:cs="Times New Roman"/>
          <w:b/>
          <w:sz w:val="24"/>
          <w:szCs w:val="24"/>
        </w:rPr>
        <w:t>Supplementary Figure 1</w:t>
      </w:r>
      <w:r w:rsidRPr="00D27CA2">
        <w:rPr>
          <w:rFonts w:ascii="Times New Roman" w:hAnsi="Times New Roman" w:cs="Times New Roman"/>
          <w:sz w:val="24"/>
          <w:szCs w:val="24"/>
        </w:rPr>
        <w:t>. Grand mean ERPs at midline sites for (top panel) words which were later Remembered (dashed) and Not Remembered (solid) in the Recall phase, and (bottom panel), List A (dashed), List B (black solid) and New (grey solid) words in the Recognition phase, for adolescent males (Study 1) in the Drug-Naïve Control (DNC), Heavy Drinker (HD) and Cannabis User (CU) groups.</w:t>
      </w:r>
    </w:p>
    <w:p w14:paraId="48F571EA" w14:textId="77777777" w:rsidR="00AB0ABF" w:rsidRPr="00D27CA2" w:rsidRDefault="00AB0ABF" w:rsidP="00AD20A3">
      <w:pPr>
        <w:autoSpaceDE w:val="0"/>
        <w:autoSpaceDN w:val="0"/>
        <w:adjustRightInd w:val="0"/>
        <w:spacing w:after="120"/>
        <w:jc w:val="center"/>
        <w:rPr>
          <w:rFonts w:ascii="Times New Roman" w:hAnsi="Times New Roman" w:cs="Times New Roman"/>
          <w:sz w:val="24"/>
          <w:szCs w:val="24"/>
        </w:rPr>
      </w:pPr>
      <w:r w:rsidRPr="00D27CA2">
        <w:rPr>
          <w:rFonts w:ascii="Times New Roman" w:hAnsi="Times New Roman" w:cs="Times New Roman"/>
          <w:noProof/>
          <w:sz w:val="24"/>
          <w:szCs w:val="24"/>
          <w:lang w:eastAsia="en-AU"/>
        </w:rPr>
        <w:lastRenderedPageBreak/>
        <w:drawing>
          <wp:inline distT="0" distB="0" distL="0" distR="0" wp14:anchorId="6F08998D" wp14:editId="37F7A664">
            <wp:extent cx="4578350" cy="2749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14:paraId="0B200629" w14:textId="77777777" w:rsidR="00AB0ABF" w:rsidRPr="00D27CA2" w:rsidRDefault="00AB0ABF" w:rsidP="00AB0ABF">
      <w:pPr>
        <w:autoSpaceDE w:val="0"/>
        <w:autoSpaceDN w:val="0"/>
        <w:adjustRightInd w:val="0"/>
        <w:spacing w:after="120"/>
        <w:rPr>
          <w:rFonts w:ascii="Times New Roman" w:hAnsi="Times New Roman" w:cs="Times New Roman"/>
          <w:sz w:val="24"/>
          <w:szCs w:val="24"/>
        </w:rPr>
      </w:pPr>
      <w:r w:rsidRPr="00D27CA2">
        <w:rPr>
          <w:rFonts w:ascii="Times New Roman" w:hAnsi="Times New Roman" w:cs="Times New Roman"/>
          <w:b/>
          <w:sz w:val="24"/>
          <w:szCs w:val="24"/>
        </w:rPr>
        <w:t xml:space="preserve">Supplementary Figure </w:t>
      </w:r>
      <w:r w:rsidR="00F963B4" w:rsidRPr="00D27CA2">
        <w:rPr>
          <w:rFonts w:ascii="Times New Roman" w:hAnsi="Times New Roman" w:cs="Times New Roman"/>
          <w:b/>
          <w:sz w:val="24"/>
          <w:szCs w:val="24"/>
        </w:rPr>
        <w:t>2</w:t>
      </w:r>
      <w:r w:rsidRPr="00D27CA2">
        <w:rPr>
          <w:rFonts w:ascii="Times New Roman" w:hAnsi="Times New Roman" w:cs="Times New Roman"/>
          <w:sz w:val="24"/>
          <w:szCs w:val="24"/>
        </w:rPr>
        <w:t>. Unscaled factor loadings over time for the Recall phase for adolescent males in Study 1.</w:t>
      </w:r>
    </w:p>
    <w:p w14:paraId="669918CD" w14:textId="77777777" w:rsidR="00AB0ABF" w:rsidRPr="00D27CA2" w:rsidRDefault="00AB0ABF" w:rsidP="00EA062D">
      <w:pPr>
        <w:rPr>
          <w:rFonts w:ascii="Times New Roman" w:hAnsi="Times New Roman" w:cs="Times New Roman"/>
        </w:rPr>
      </w:pPr>
    </w:p>
    <w:p w14:paraId="36C1B02E" w14:textId="77777777" w:rsidR="00AB0ABF" w:rsidRPr="00D27CA2" w:rsidRDefault="002212E2" w:rsidP="00AB0ABF">
      <w:pPr>
        <w:spacing w:after="120"/>
        <w:rPr>
          <w:rFonts w:ascii="Times New Roman" w:hAnsi="Times New Roman" w:cs="Times New Roman"/>
          <w:sz w:val="24"/>
          <w:szCs w:val="24"/>
        </w:rPr>
      </w:pPr>
      <w:r w:rsidRPr="00D27CA2">
        <w:rPr>
          <w:rFonts w:ascii="Times New Roman" w:hAnsi="Times New Roman" w:cs="Times New Roman"/>
          <w:sz w:val="24"/>
          <w:szCs w:val="24"/>
        </w:rPr>
        <w:t xml:space="preserve">In the second step, the average activity was calculated from a number of sites identified via the above step as the regions of maximum amplitude, and these single variables (one for each component) were entered into separate Type × Group MANOVAs. Contrasts on the Group and Type factors were as mentioned above. </w:t>
      </w:r>
      <w:r w:rsidR="00AB0ABF" w:rsidRPr="00D27CA2">
        <w:rPr>
          <w:rFonts w:ascii="Times New Roman" w:hAnsi="Times New Roman" w:cs="Times New Roman"/>
          <w:sz w:val="24"/>
          <w:szCs w:val="24"/>
        </w:rPr>
        <w:t xml:space="preserve">As the contrasts were planned and there were no more of them than the degrees of freedom for effect, no Bonferroni-type adjustment to alpha was necessary </w:t>
      </w:r>
      <w:r w:rsidR="00AB0ABF" w:rsidRPr="00D27CA2">
        <w:rPr>
          <w:rFonts w:ascii="Times New Roman" w:hAnsi="Times New Roman" w:cs="Times New Roman"/>
          <w:noProof/>
          <w:sz w:val="24"/>
          <w:szCs w:val="24"/>
        </w:rPr>
        <w:t>(Tabachnick and Fidell, 2001)</w:t>
      </w:r>
      <w:r w:rsidR="00AB0ABF" w:rsidRPr="00D27CA2">
        <w:rPr>
          <w:rFonts w:ascii="Times New Roman" w:hAnsi="Times New Roman" w:cs="Times New Roman"/>
          <w:sz w:val="24"/>
          <w:szCs w:val="24"/>
        </w:rPr>
        <w:t xml:space="preserve">. Because this is a first step in examining ERPs in the RAVLT, with a small sample size and low power, but with an aim to report potential discoveries to spur future research, we report any effect with </w:t>
      </w:r>
      <w:r w:rsidR="00AB0ABF" w:rsidRPr="00D27CA2">
        <w:rPr>
          <w:rFonts w:ascii="Times New Roman" w:hAnsi="Times New Roman" w:cs="Times New Roman"/>
          <w:i/>
          <w:sz w:val="24"/>
          <w:szCs w:val="24"/>
        </w:rPr>
        <w:t>p&lt;</w:t>
      </w:r>
      <w:r w:rsidR="00AB0ABF" w:rsidRPr="00D27CA2">
        <w:rPr>
          <w:rFonts w:ascii="Times New Roman" w:hAnsi="Times New Roman" w:cs="Times New Roman"/>
          <w:sz w:val="24"/>
          <w:szCs w:val="24"/>
        </w:rPr>
        <w:t>0.100.</w:t>
      </w:r>
    </w:p>
    <w:p w14:paraId="3F90A9AE" w14:textId="2464AF68" w:rsidR="002212E2" w:rsidRPr="00D27CA2" w:rsidRDefault="00AB0ABF" w:rsidP="002A3454">
      <w:pPr>
        <w:pStyle w:val="Heading2"/>
        <w:tabs>
          <w:tab w:val="left" w:pos="6780"/>
        </w:tabs>
        <w:rPr>
          <w:rFonts w:cs="Times New Roman"/>
          <w:color w:val="auto"/>
          <w:szCs w:val="24"/>
        </w:rPr>
      </w:pPr>
      <w:r w:rsidRPr="00D27CA2">
        <w:rPr>
          <w:rFonts w:cs="Times New Roman"/>
          <w:color w:val="auto"/>
          <w:szCs w:val="24"/>
        </w:rPr>
        <w:t>Demographics</w:t>
      </w:r>
      <w:r w:rsidR="002A3454" w:rsidRPr="00D27CA2">
        <w:rPr>
          <w:rFonts w:cs="Times New Roman"/>
          <w:color w:val="auto"/>
          <w:szCs w:val="24"/>
        </w:rPr>
        <w:tab/>
      </w:r>
    </w:p>
    <w:p w14:paraId="0B9DCFB1" w14:textId="2402D8A7" w:rsidR="005E5782" w:rsidRPr="00D27CA2" w:rsidRDefault="00AB0ABF" w:rsidP="005E5782">
      <w:pPr>
        <w:spacing w:after="120"/>
        <w:rPr>
          <w:rFonts w:ascii="Times New Roman" w:hAnsi="Times New Roman" w:cs="Times New Roman"/>
          <w:sz w:val="24"/>
          <w:szCs w:val="24"/>
        </w:rPr>
      </w:pPr>
      <w:r w:rsidRPr="00D27CA2">
        <w:rPr>
          <w:rFonts w:ascii="Times New Roman" w:hAnsi="Times New Roman" w:cs="Times New Roman"/>
          <w:sz w:val="24"/>
          <w:szCs w:val="24"/>
        </w:rPr>
        <w:t xml:space="preserve">Supplementary Table 1 displays the demographic information for each group in the study. </w:t>
      </w:r>
      <w:r w:rsidR="005E5782" w:rsidRPr="00D27CA2">
        <w:rPr>
          <w:rFonts w:ascii="Times New Roman" w:hAnsi="Times New Roman" w:cs="Times New Roman"/>
          <w:sz w:val="24"/>
          <w:szCs w:val="24"/>
        </w:rPr>
        <w:t>The groups were well matched for age (</w:t>
      </w:r>
      <w:r w:rsidR="005E5782" w:rsidRPr="00D27CA2">
        <w:rPr>
          <w:rFonts w:ascii="Times New Roman" w:hAnsi="Times New Roman" w:cs="Times New Roman"/>
          <w:i/>
          <w:sz w:val="24"/>
          <w:szCs w:val="24"/>
        </w:rPr>
        <w:t>p&gt;</w:t>
      </w:r>
      <w:r w:rsidR="005E5782" w:rsidRPr="00D27CA2">
        <w:rPr>
          <w:rFonts w:ascii="Times New Roman" w:hAnsi="Times New Roman" w:cs="Times New Roman"/>
          <w:sz w:val="24"/>
          <w:szCs w:val="24"/>
        </w:rPr>
        <w:t>0.643), and for the proportion of right handed participants (</w:t>
      </w:r>
      <w:r w:rsidR="005E5782" w:rsidRPr="00D27CA2">
        <w:rPr>
          <w:rFonts w:ascii="Times New Roman" w:hAnsi="Times New Roman" w:cs="Times New Roman"/>
          <w:i/>
          <w:sz w:val="24"/>
          <w:szCs w:val="24"/>
        </w:rPr>
        <w:t>χ</w:t>
      </w:r>
      <w:r w:rsidR="005E5782" w:rsidRPr="00D27CA2">
        <w:rPr>
          <w:rFonts w:ascii="Times New Roman" w:hAnsi="Times New Roman" w:cs="Times New Roman"/>
          <w:i/>
          <w:sz w:val="24"/>
          <w:szCs w:val="24"/>
          <w:vertAlign w:val="superscript"/>
        </w:rPr>
        <w:t>2</w:t>
      </w:r>
      <w:r w:rsidR="005E5782" w:rsidRPr="00D27CA2">
        <w:rPr>
          <w:rFonts w:ascii="Times New Roman" w:hAnsi="Times New Roman" w:cs="Times New Roman"/>
          <w:sz w:val="24"/>
          <w:szCs w:val="24"/>
        </w:rPr>
        <w:t xml:space="preserve">(2)=1.19, </w:t>
      </w:r>
      <w:r w:rsidR="005E5782" w:rsidRPr="00D27CA2">
        <w:rPr>
          <w:rFonts w:ascii="Times New Roman" w:hAnsi="Times New Roman" w:cs="Times New Roman"/>
          <w:i/>
          <w:sz w:val="24"/>
          <w:szCs w:val="24"/>
        </w:rPr>
        <w:t>p=</w:t>
      </w:r>
      <w:r w:rsidR="005E5782" w:rsidRPr="00D27CA2">
        <w:rPr>
          <w:rFonts w:ascii="Times New Roman" w:hAnsi="Times New Roman" w:cs="Times New Roman"/>
          <w:sz w:val="24"/>
          <w:szCs w:val="24"/>
        </w:rPr>
        <w:t xml:space="preserve">0.552). DNC and HD were mostly non-smokers, with one participant in each group reporting smoking tobacco on 2-5 occasions (the remainder reporting never smoking) in the previous 12 months, while 6 CU reported smoking on 6 or more occasions in the previous 12 months (the other two reporting smoking once or never; </w:t>
      </w:r>
      <w:r w:rsidR="005E5782" w:rsidRPr="00D27CA2">
        <w:rPr>
          <w:rFonts w:ascii="Times New Roman" w:hAnsi="Times New Roman" w:cs="Times New Roman"/>
          <w:i/>
          <w:sz w:val="24"/>
          <w:szCs w:val="24"/>
        </w:rPr>
        <w:t>χ</w:t>
      </w:r>
      <w:r w:rsidR="005E5782" w:rsidRPr="00D27CA2">
        <w:rPr>
          <w:rFonts w:ascii="Times New Roman" w:hAnsi="Times New Roman" w:cs="Times New Roman"/>
          <w:i/>
          <w:sz w:val="24"/>
          <w:szCs w:val="24"/>
          <w:vertAlign w:val="superscript"/>
        </w:rPr>
        <w:t>2</w:t>
      </w:r>
      <w:r w:rsidR="005E5782" w:rsidRPr="00D27CA2">
        <w:rPr>
          <w:rFonts w:ascii="Times New Roman" w:hAnsi="Times New Roman" w:cs="Times New Roman"/>
          <w:sz w:val="24"/>
          <w:szCs w:val="24"/>
        </w:rPr>
        <w:t xml:space="preserve">(2)=27.79, </w:t>
      </w:r>
      <w:r w:rsidR="005E5782" w:rsidRPr="00D27CA2">
        <w:rPr>
          <w:rFonts w:ascii="Times New Roman" w:hAnsi="Times New Roman" w:cs="Times New Roman"/>
          <w:i/>
          <w:sz w:val="24"/>
          <w:szCs w:val="24"/>
        </w:rPr>
        <w:t>p&lt;</w:t>
      </w:r>
      <w:r w:rsidR="005E5782" w:rsidRPr="00D27CA2">
        <w:rPr>
          <w:rFonts w:ascii="Times New Roman" w:hAnsi="Times New Roman" w:cs="Times New Roman"/>
          <w:sz w:val="24"/>
          <w:szCs w:val="24"/>
        </w:rPr>
        <w:t xml:space="preserve">0.001). One participant in the CU group reported one-time use of ecstasy, another reported one-time use of speed, and a third reported one-time use of LSD. Standardised scores on the WTAR were in the normal range and not significantly different between groups (both </w:t>
      </w:r>
      <w:r w:rsidR="005E5782" w:rsidRPr="00D27CA2">
        <w:rPr>
          <w:rFonts w:ascii="Times New Roman" w:hAnsi="Times New Roman" w:cs="Times New Roman"/>
          <w:i/>
          <w:sz w:val="24"/>
          <w:szCs w:val="24"/>
        </w:rPr>
        <w:t>p&gt;</w:t>
      </w:r>
      <w:r w:rsidR="005E5782" w:rsidRPr="00D27CA2">
        <w:rPr>
          <w:rFonts w:ascii="Times New Roman" w:hAnsi="Times New Roman" w:cs="Times New Roman"/>
          <w:sz w:val="24"/>
          <w:szCs w:val="24"/>
        </w:rPr>
        <w:t>0.494). Thus, we recruited a relatively homogenous sample of participants, who differ on alcohol and cannabis use according to the selection criteria, and who represent ‘typical’ users of their age</w:t>
      </w:r>
      <w:r w:rsidRPr="00D27CA2">
        <w:rPr>
          <w:rFonts w:ascii="Times New Roman" w:hAnsi="Times New Roman" w:cs="Times New Roman"/>
          <w:sz w:val="24"/>
          <w:szCs w:val="24"/>
        </w:rPr>
        <w:t xml:space="preserve"> (AIHW, </w:t>
      </w:r>
      <w:r w:rsidR="00E838B8" w:rsidRPr="00D27CA2">
        <w:rPr>
          <w:rFonts w:ascii="Times New Roman" w:hAnsi="Times New Roman" w:cs="Times New Roman"/>
          <w:sz w:val="24"/>
          <w:szCs w:val="24"/>
        </w:rPr>
        <w:t>2011</w:t>
      </w:r>
      <w:r w:rsidRPr="00D27CA2">
        <w:rPr>
          <w:rFonts w:ascii="Times New Roman" w:hAnsi="Times New Roman" w:cs="Times New Roman"/>
          <w:sz w:val="24"/>
          <w:szCs w:val="24"/>
        </w:rPr>
        <w:t>)</w:t>
      </w:r>
      <w:r w:rsidR="005E5782" w:rsidRPr="00D27CA2">
        <w:rPr>
          <w:rFonts w:ascii="Times New Roman" w:hAnsi="Times New Roman" w:cs="Times New Roman"/>
          <w:sz w:val="24"/>
          <w:szCs w:val="24"/>
        </w:rPr>
        <w:t>, rather than heavy users.</w:t>
      </w:r>
    </w:p>
    <w:p w14:paraId="76C8387B" w14:textId="77777777" w:rsidR="00D1433D" w:rsidRPr="00D27CA2" w:rsidRDefault="00D1433D" w:rsidP="007339A7">
      <w:pPr>
        <w:spacing w:after="120"/>
        <w:rPr>
          <w:rFonts w:ascii="Times New Roman" w:hAnsi="Times New Roman" w:cs="Times New Roman"/>
          <w:b/>
          <w:sz w:val="24"/>
          <w:szCs w:val="24"/>
        </w:rPr>
      </w:pPr>
    </w:p>
    <w:p w14:paraId="055C1CA0" w14:textId="660A5E8D" w:rsidR="007339A7" w:rsidRPr="00D27CA2" w:rsidRDefault="00AB0ABF" w:rsidP="007339A7">
      <w:pPr>
        <w:spacing w:after="120"/>
        <w:rPr>
          <w:rFonts w:ascii="Times New Roman" w:hAnsi="Times New Roman" w:cs="Times New Roman"/>
          <w:sz w:val="24"/>
          <w:szCs w:val="24"/>
        </w:rPr>
      </w:pPr>
      <w:r w:rsidRPr="00D27CA2">
        <w:rPr>
          <w:rFonts w:ascii="Times New Roman" w:hAnsi="Times New Roman" w:cs="Times New Roman"/>
          <w:b/>
          <w:sz w:val="24"/>
          <w:szCs w:val="24"/>
        </w:rPr>
        <w:lastRenderedPageBreak/>
        <w:t xml:space="preserve">Supplementary </w:t>
      </w:r>
      <w:r w:rsidR="007339A7" w:rsidRPr="00D27CA2">
        <w:rPr>
          <w:rFonts w:ascii="Times New Roman" w:hAnsi="Times New Roman" w:cs="Times New Roman"/>
          <w:b/>
          <w:sz w:val="24"/>
          <w:szCs w:val="24"/>
        </w:rPr>
        <w:t>Table 1</w:t>
      </w:r>
      <w:r w:rsidR="007339A7" w:rsidRPr="00D27CA2">
        <w:rPr>
          <w:rFonts w:ascii="Times New Roman" w:hAnsi="Times New Roman" w:cs="Times New Roman"/>
          <w:sz w:val="24"/>
          <w:szCs w:val="24"/>
        </w:rPr>
        <w:t>. Demographic information</w:t>
      </w:r>
      <w:r w:rsidR="008F6770" w:rsidRPr="00D27CA2">
        <w:rPr>
          <w:rFonts w:ascii="Times New Roman" w:hAnsi="Times New Roman" w:cs="Times New Roman"/>
          <w:sz w:val="24"/>
          <w:szCs w:val="24"/>
        </w:rPr>
        <w:t xml:space="preserve"> and</w:t>
      </w:r>
      <w:r w:rsidR="007339A7" w:rsidRPr="00D27CA2">
        <w:rPr>
          <w:rFonts w:ascii="Times New Roman" w:hAnsi="Times New Roman" w:cs="Times New Roman"/>
          <w:sz w:val="24"/>
          <w:szCs w:val="24"/>
        </w:rPr>
        <w:t xml:space="preserve"> behavioural performance means for Drug-Naïve Controls (DNC), Heavy Drinkers (HD) and Cannabis Users (CU) in the sample of adolescent males (Study 1).</w:t>
      </w:r>
    </w:p>
    <w:tbl>
      <w:tblPr>
        <w:tblStyle w:val="TableGrid"/>
        <w:tblW w:w="8755" w:type="dxa"/>
        <w:tblLayout w:type="fixed"/>
        <w:tblLook w:val="04A0" w:firstRow="1" w:lastRow="0" w:firstColumn="1" w:lastColumn="0" w:noHBand="0" w:noVBand="1"/>
      </w:tblPr>
      <w:tblGrid>
        <w:gridCol w:w="3652"/>
        <w:gridCol w:w="851"/>
        <w:gridCol w:w="850"/>
        <w:gridCol w:w="851"/>
        <w:gridCol w:w="850"/>
        <w:gridCol w:w="851"/>
        <w:gridCol w:w="850"/>
      </w:tblGrid>
      <w:tr w:rsidR="00D27CA2" w:rsidRPr="00D27CA2" w14:paraId="1AE51BE8" w14:textId="77777777" w:rsidTr="00100E44">
        <w:tc>
          <w:tcPr>
            <w:tcW w:w="3652" w:type="dxa"/>
          </w:tcPr>
          <w:p w14:paraId="39C2D9FA" w14:textId="77777777" w:rsidR="007339A7" w:rsidRPr="00D27CA2" w:rsidRDefault="007339A7" w:rsidP="008F6770">
            <w:pPr>
              <w:rPr>
                <w:rFonts w:ascii="Times New Roman" w:hAnsi="Times New Roman" w:cs="Times New Roman"/>
                <w:szCs w:val="18"/>
              </w:rPr>
            </w:pPr>
          </w:p>
        </w:tc>
        <w:tc>
          <w:tcPr>
            <w:tcW w:w="1701" w:type="dxa"/>
            <w:gridSpan w:val="2"/>
            <w:vAlign w:val="center"/>
          </w:tcPr>
          <w:p w14:paraId="033119F9"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DNC</w:t>
            </w:r>
          </w:p>
          <w:p w14:paraId="0DBE2A3F"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(n = 13)</w:t>
            </w:r>
          </w:p>
        </w:tc>
        <w:tc>
          <w:tcPr>
            <w:tcW w:w="1701" w:type="dxa"/>
            <w:gridSpan w:val="2"/>
            <w:vAlign w:val="center"/>
          </w:tcPr>
          <w:p w14:paraId="53675CA0"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HD</w:t>
            </w:r>
          </w:p>
          <w:p w14:paraId="3F593746"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(n = 12)</w:t>
            </w:r>
          </w:p>
        </w:tc>
        <w:tc>
          <w:tcPr>
            <w:tcW w:w="1701" w:type="dxa"/>
            <w:gridSpan w:val="2"/>
            <w:vAlign w:val="center"/>
          </w:tcPr>
          <w:p w14:paraId="5CAA4767"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CU</w:t>
            </w:r>
          </w:p>
          <w:p w14:paraId="0B82257E"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(n = 8)</w:t>
            </w:r>
          </w:p>
        </w:tc>
      </w:tr>
      <w:tr w:rsidR="00D27CA2" w:rsidRPr="00D27CA2" w14:paraId="0919F59F" w14:textId="77777777" w:rsidTr="00100E44">
        <w:tc>
          <w:tcPr>
            <w:tcW w:w="3652" w:type="dxa"/>
          </w:tcPr>
          <w:p w14:paraId="626C518B" w14:textId="77777777" w:rsidR="007339A7" w:rsidRPr="00D27CA2" w:rsidRDefault="007339A7" w:rsidP="008F6770">
            <w:pPr>
              <w:rPr>
                <w:rFonts w:ascii="Times New Roman" w:hAnsi="Times New Roman" w:cs="Times New Roman"/>
                <w:szCs w:val="18"/>
              </w:rPr>
            </w:pPr>
          </w:p>
        </w:tc>
        <w:tc>
          <w:tcPr>
            <w:tcW w:w="851" w:type="dxa"/>
            <w:vAlign w:val="center"/>
          </w:tcPr>
          <w:p w14:paraId="70813F86"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Mean</w:t>
            </w:r>
          </w:p>
        </w:tc>
        <w:tc>
          <w:tcPr>
            <w:tcW w:w="850" w:type="dxa"/>
            <w:vAlign w:val="center"/>
          </w:tcPr>
          <w:p w14:paraId="296EE574"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SD</w:t>
            </w:r>
          </w:p>
        </w:tc>
        <w:tc>
          <w:tcPr>
            <w:tcW w:w="851" w:type="dxa"/>
            <w:vAlign w:val="center"/>
          </w:tcPr>
          <w:p w14:paraId="1E654AAA"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Mean</w:t>
            </w:r>
          </w:p>
        </w:tc>
        <w:tc>
          <w:tcPr>
            <w:tcW w:w="850" w:type="dxa"/>
            <w:vAlign w:val="center"/>
          </w:tcPr>
          <w:p w14:paraId="2EEE2617"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SD</w:t>
            </w:r>
          </w:p>
        </w:tc>
        <w:tc>
          <w:tcPr>
            <w:tcW w:w="851" w:type="dxa"/>
            <w:vAlign w:val="center"/>
          </w:tcPr>
          <w:p w14:paraId="0137FB07"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Mean</w:t>
            </w:r>
          </w:p>
        </w:tc>
        <w:tc>
          <w:tcPr>
            <w:tcW w:w="850" w:type="dxa"/>
            <w:vAlign w:val="center"/>
          </w:tcPr>
          <w:p w14:paraId="5BA5F7A2" w14:textId="77777777" w:rsidR="007339A7" w:rsidRPr="00D27CA2" w:rsidRDefault="007339A7" w:rsidP="008F6770">
            <w:pPr>
              <w:jc w:val="center"/>
              <w:rPr>
                <w:rFonts w:ascii="Times New Roman" w:hAnsi="Times New Roman" w:cs="Times New Roman"/>
                <w:szCs w:val="18"/>
              </w:rPr>
            </w:pPr>
            <w:r w:rsidRPr="00D27CA2">
              <w:rPr>
                <w:rFonts w:ascii="Times New Roman" w:hAnsi="Times New Roman" w:cs="Times New Roman"/>
                <w:szCs w:val="18"/>
              </w:rPr>
              <w:t>SD</w:t>
            </w:r>
          </w:p>
        </w:tc>
      </w:tr>
      <w:tr w:rsidR="00D27CA2" w:rsidRPr="00D27CA2" w14:paraId="1C0E5D99" w14:textId="77777777" w:rsidTr="00100E44">
        <w:tc>
          <w:tcPr>
            <w:tcW w:w="3652" w:type="dxa"/>
            <w:vAlign w:val="center"/>
          </w:tcPr>
          <w:p w14:paraId="43F085B1"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Age (years)</w:t>
            </w:r>
          </w:p>
        </w:tc>
        <w:tc>
          <w:tcPr>
            <w:tcW w:w="851" w:type="dxa"/>
            <w:vAlign w:val="center"/>
          </w:tcPr>
          <w:p w14:paraId="7D45A23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17.3</w:t>
            </w:r>
          </w:p>
        </w:tc>
        <w:tc>
          <w:tcPr>
            <w:tcW w:w="850" w:type="dxa"/>
            <w:vAlign w:val="center"/>
          </w:tcPr>
          <w:p w14:paraId="736D7D7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0.7</w:t>
            </w:r>
          </w:p>
        </w:tc>
        <w:tc>
          <w:tcPr>
            <w:tcW w:w="851" w:type="dxa"/>
            <w:vAlign w:val="center"/>
          </w:tcPr>
          <w:p w14:paraId="4A73E5F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17.2</w:t>
            </w:r>
          </w:p>
        </w:tc>
        <w:tc>
          <w:tcPr>
            <w:tcW w:w="850" w:type="dxa"/>
            <w:vAlign w:val="center"/>
          </w:tcPr>
          <w:p w14:paraId="5B4A58E6"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0.7</w:t>
            </w:r>
          </w:p>
        </w:tc>
        <w:tc>
          <w:tcPr>
            <w:tcW w:w="851" w:type="dxa"/>
            <w:vAlign w:val="center"/>
          </w:tcPr>
          <w:p w14:paraId="4E41486B"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17.1</w:t>
            </w:r>
          </w:p>
        </w:tc>
        <w:tc>
          <w:tcPr>
            <w:tcW w:w="850" w:type="dxa"/>
            <w:vAlign w:val="center"/>
          </w:tcPr>
          <w:p w14:paraId="39841B0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0.8</w:t>
            </w:r>
          </w:p>
        </w:tc>
      </w:tr>
      <w:tr w:rsidR="00D27CA2" w:rsidRPr="00D27CA2" w14:paraId="483E44FF" w14:textId="77777777" w:rsidTr="00100E44">
        <w:tc>
          <w:tcPr>
            <w:tcW w:w="3652" w:type="dxa"/>
            <w:vAlign w:val="center"/>
          </w:tcPr>
          <w:p w14:paraId="6E297FEF"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 Right handed</w:t>
            </w:r>
          </w:p>
        </w:tc>
        <w:tc>
          <w:tcPr>
            <w:tcW w:w="851" w:type="dxa"/>
            <w:vAlign w:val="center"/>
          </w:tcPr>
          <w:p w14:paraId="491DED5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83.3</w:t>
            </w:r>
          </w:p>
        </w:tc>
        <w:tc>
          <w:tcPr>
            <w:tcW w:w="850" w:type="dxa"/>
            <w:vAlign w:val="center"/>
          </w:tcPr>
          <w:p w14:paraId="1C27ADE1" w14:textId="77777777" w:rsidR="007339A7" w:rsidRPr="00D27CA2" w:rsidRDefault="007339A7" w:rsidP="008F6770">
            <w:pPr>
              <w:jc w:val="right"/>
              <w:rPr>
                <w:rFonts w:ascii="Times New Roman" w:hAnsi="Times New Roman" w:cs="Times New Roman"/>
                <w:szCs w:val="18"/>
              </w:rPr>
            </w:pPr>
          </w:p>
        </w:tc>
        <w:tc>
          <w:tcPr>
            <w:tcW w:w="851" w:type="dxa"/>
            <w:vAlign w:val="center"/>
          </w:tcPr>
          <w:p w14:paraId="394640D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92.3</w:t>
            </w:r>
          </w:p>
        </w:tc>
        <w:tc>
          <w:tcPr>
            <w:tcW w:w="850" w:type="dxa"/>
            <w:vAlign w:val="center"/>
          </w:tcPr>
          <w:p w14:paraId="57326979" w14:textId="77777777" w:rsidR="007339A7" w:rsidRPr="00D27CA2" w:rsidRDefault="007339A7" w:rsidP="008F6770">
            <w:pPr>
              <w:jc w:val="right"/>
              <w:rPr>
                <w:rFonts w:ascii="Times New Roman" w:hAnsi="Times New Roman" w:cs="Times New Roman"/>
                <w:szCs w:val="18"/>
              </w:rPr>
            </w:pPr>
          </w:p>
        </w:tc>
        <w:tc>
          <w:tcPr>
            <w:tcW w:w="851" w:type="dxa"/>
            <w:vAlign w:val="center"/>
          </w:tcPr>
          <w:p w14:paraId="440519F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75.0</w:t>
            </w:r>
          </w:p>
        </w:tc>
        <w:tc>
          <w:tcPr>
            <w:tcW w:w="850" w:type="dxa"/>
            <w:vAlign w:val="center"/>
          </w:tcPr>
          <w:p w14:paraId="12C26F8E" w14:textId="77777777" w:rsidR="007339A7" w:rsidRPr="00D27CA2" w:rsidRDefault="007339A7" w:rsidP="008F6770">
            <w:pPr>
              <w:jc w:val="right"/>
              <w:rPr>
                <w:rFonts w:ascii="Times New Roman" w:hAnsi="Times New Roman" w:cs="Times New Roman"/>
                <w:szCs w:val="18"/>
              </w:rPr>
            </w:pPr>
          </w:p>
        </w:tc>
      </w:tr>
      <w:tr w:rsidR="00D27CA2" w:rsidRPr="00D27CA2" w14:paraId="08ABE686" w14:textId="77777777" w:rsidTr="00100E44">
        <w:tc>
          <w:tcPr>
            <w:tcW w:w="3652" w:type="dxa"/>
            <w:vAlign w:val="center"/>
          </w:tcPr>
          <w:p w14:paraId="17E9BD23"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WTAR standardised score</w:t>
            </w:r>
          </w:p>
        </w:tc>
        <w:tc>
          <w:tcPr>
            <w:tcW w:w="851" w:type="dxa"/>
            <w:vAlign w:val="center"/>
          </w:tcPr>
          <w:p w14:paraId="7D099AA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101.1</w:t>
            </w:r>
          </w:p>
        </w:tc>
        <w:tc>
          <w:tcPr>
            <w:tcW w:w="850" w:type="dxa"/>
            <w:vAlign w:val="center"/>
          </w:tcPr>
          <w:p w14:paraId="747F596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16.7</w:t>
            </w:r>
          </w:p>
        </w:tc>
        <w:tc>
          <w:tcPr>
            <w:tcW w:w="851" w:type="dxa"/>
            <w:vAlign w:val="center"/>
          </w:tcPr>
          <w:p w14:paraId="5494AE3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101.0</w:t>
            </w:r>
          </w:p>
        </w:tc>
        <w:tc>
          <w:tcPr>
            <w:tcW w:w="850" w:type="dxa"/>
            <w:vAlign w:val="center"/>
          </w:tcPr>
          <w:p w14:paraId="66EB3A1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15.1</w:t>
            </w:r>
          </w:p>
        </w:tc>
        <w:tc>
          <w:tcPr>
            <w:tcW w:w="851" w:type="dxa"/>
            <w:vAlign w:val="center"/>
          </w:tcPr>
          <w:p w14:paraId="69201EE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107.0</w:t>
            </w:r>
          </w:p>
        </w:tc>
        <w:tc>
          <w:tcPr>
            <w:tcW w:w="850" w:type="dxa"/>
            <w:vAlign w:val="center"/>
          </w:tcPr>
          <w:p w14:paraId="104D831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19.5</w:t>
            </w:r>
          </w:p>
        </w:tc>
      </w:tr>
      <w:tr w:rsidR="00D27CA2" w:rsidRPr="00D27CA2" w14:paraId="7B869927" w14:textId="77777777" w:rsidTr="00100E44">
        <w:tc>
          <w:tcPr>
            <w:tcW w:w="3652" w:type="dxa"/>
            <w:vAlign w:val="center"/>
          </w:tcPr>
          <w:p w14:paraId="45B7673D"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b/>
                <w:szCs w:val="18"/>
              </w:rPr>
              <w:t>Recall phase performance</w:t>
            </w:r>
          </w:p>
        </w:tc>
        <w:tc>
          <w:tcPr>
            <w:tcW w:w="851" w:type="dxa"/>
            <w:vAlign w:val="center"/>
          </w:tcPr>
          <w:p w14:paraId="280070B8" w14:textId="77777777" w:rsidR="007339A7" w:rsidRPr="00D27CA2" w:rsidRDefault="007339A7" w:rsidP="008F6770">
            <w:pPr>
              <w:rPr>
                <w:rFonts w:ascii="Times New Roman" w:hAnsi="Times New Roman" w:cs="Times New Roman"/>
                <w:szCs w:val="18"/>
              </w:rPr>
            </w:pPr>
          </w:p>
        </w:tc>
        <w:tc>
          <w:tcPr>
            <w:tcW w:w="850" w:type="dxa"/>
            <w:vAlign w:val="center"/>
          </w:tcPr>
          <w:p w14:paraId="33F1095A" w14:textId="77777777" w:rsidR="007339A7" w:rsidRPr="00D27CA2" w:rsidRDefault="007339A7" w:rsidP="008F6770">
            <w:pPr>
              <w:rPr>
                <w:rFonts w:ascii="Times New Roman" w:hAnsi="Times New Roman" w:cs="Times New Roman"/>
                <w:szCs w:val="18"/>
              </w:rPr>
            </w:pPr>
          </w:p>
        </w:tc>
        <w:tc>
          <w:tcPr>
            <w:tcW w:w="851" w:type="dxa"/>
            <w:vAlign w:val="center"/>
          </w:tcPr>
          <w:p w14:paraId="4100989D" w14:textId="77777777" w:rsidR="007339A7" w:rsidRPr="00D27CA2" w:rsidRDefault="007339A7" w:rsidP="008F6770">
            <w:pPr>
              <w:rPr>
                <w:rFonts w:ascii="Times New Roman" w:hAnsi="Times New Roman" w:cs="Times New Roman"/>
                <w:szCs w:val="18"/>
              </w:rPr>
            </w:pPr>
          </w:p>
        </w:tc>
        <w:tc>
          <w:tcPr>
            <w:tcW w:w="850" w:type="dxa"/>
            <w:vAlign w:val="center"/>
          </w:tcPr>
          <w:p w14:paraId="4EEB8D7C" w14:textId="77777777" w:rsidR="007339A7" w:rsidRPr="00D27CA2" w:rsidRDefault="007339A7" w:rsidP="008F6770">
            <w:pPr>
              <w:rPr>
                <w:rFonts w:ascii="Times New Roman" w:hAnsi="Times New Roman" w:cs="Times New Roman"/>
                <w:szCs w:val="18"/>
              </w:rPr>
            </w:pPr>
          </w:p>
        </w:tc>
        <w:tc>
          <w:tcPr>
            <w:tcW w:w="851" w:type="dxa"/>
            <w:vAlign w:val="center"/>
          </w:tcPr>
          <w:p w14:paraId="3D9FAEB4" w14:textId="77777777" w:rsidR="007339A7" w:rsidRPr="00D27CA2" w:rsidRDefault="007339A7" w:rsidP="008F6770">
            <w:pPr>
              <w:rPr>
                <w:rFonts w:ascii="Times New Roman" w:hAnsi="Times New Roman" w:cs="Times New Roman"/>
                <w:szCs w:val="18"/>
              </w:rPr>
            </w:pPr>
          </w:p>
        </w:tc>
        <w:tc>
          <w:tcPr>
            <w:tcW w:w="850" w:type="dxa"/>
            <w:vAlign w:val="center"/>
          </w:tcPr>
          <w:p w14:paraId="31FE155F" w14:textId="77777777" w:rsidR="007339A7" w:rsidRPr="00D27CA2" w:rsidRDefault="007339A7" w:rsidP="008F6770">
            <w:pPr>
              <w:rPr>
                <w:rFonts w:ascii="Times New Roman" w:hAnsi="Times New Roman" w:cs="Times New Roman"/>
                <w:szCs w:val="18"/>
              </w:rPr>
            </w:pPr>
          </w:p>
        </w:tc>
      </w:tr>
      <w:tr w:rsidR="00D27CA2" w:rsidRPr="00D27CA2" w14:paraId="55FF46A3" w14:textId="77777777" w:rsidTr="00100E44">
        <w:tc>
          <w:tcPr>
            <w:tcW w:w="3652" w:type="dxa"/>
            <w:vAlign w:val="center"/>
          </w:tcPr>
          <w:p w14:paraId="75AE5D7C"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I</w:t>
            </w:r>
          </w:p>
        </w:tc>
        <w:tc>
          <w:tcPr>
            <w:tcW w:w="851" w:type="dxa"/>
            <w:vAlign w:val="center"/>
          </w:tcPr>
          <w:p w14:paraId="3D4542AD"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4.8</w:t>
            </w:r>
          </w:p>
        </w:tc>
        <w:tc>
          <w:tcPr>
            <w:tcW w:w="850" w:type="dxa"/>
            <w:vAlign w:val="center"/>
          </w:tcPr>
          <w:p w14:paraId="251BBE97"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1.6</w:t>
            </w:r>
          </w:p>
        </w:tc>
        <w:tc>
          <w:tcPr>
            <w:tcW w:w="851" w:type="dxa"/>
            <w:vAlign w:val="center"/>
          </w:tcPr>
          <w:p w14:paraId="346B753B"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5.4</w:t>
            </w:r>
          </w:p>
        </w:tc>
        <w:tc>
          <w:tcPr>
            <w:tcW w:w="850" w:type="dxa"/>
            <w:vAlign w:val="center"/>
          </w:tcPr>
          <w:p w14:paraId="197D322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w:t>
            </w:r>
          </w:p>
        </w:tc>
        <w:tc>
          <w:tcPr>
            <w:tcW w:w="851" w:type="dxa"/>
            <w:vAlign w:val="center"/>
          </w:tcPr>
          <w:p w14:paraId="72F8B95B"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5.9</w:t>
            </w:r>
          </w:p>
        </w:tc>
        <w:tc>
          <w:tcPr>
            <w:tcW w:w="850" w:type="dxa"/>
            <w:vAlign w:val="center"/>
          </w:tcPr>
          <w:p w14:paraId="4AEBE00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1.6</w:t>
            </w:r>
          </w:p>
        </w:tc>
      </w:tr>
      <w:tr w:rsidR="00D27CA2" w:rsidRPr="00D27CA2" w14:paraId="5D77ACA1" w14:textId="77777777" w:rsidTr="00100E44">
        <w:tc>
          <w:tcPr>
            <w:tcW w:w="3652" w:type="dxa"/>
            <w:vAlign w:val="center"/>
          </w:tcPr>
          <w:p w14:paraId="3D45B4FB"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II</w:t>
            </w:r>
          </w:p>
        </w:tc>
        <w:tc>
          <w:tcPr>
            <w:tcW w:w="851" w:type="dxa"/>
            <w:vAlign w:val="center"/>
          </w:tcPr>
          <w:p w14:paraId="363CCBE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7.8</w:t>
            </w:r>
          </w:p>
        </w:tc>
        <w:tc>
          <w:tcPr>
            <w:tcW w:w="850" w:type="dxa"/>
            <w:vAlign w:val="center"/>
          </w:tcPr>
          <w:p w14:paraId="5566A0F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1" w:type="dxa"/>
            <w:vAlign w:val="center"/>
          </w:tcPr>
          <w:p w14:paraId="5D3A64AB"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7.9</w:t>
            </w:r>
          </w:p>
        </w:tc>
        <w:tc>
          <w:tcPr>
            <w:tcW w:w="850" w:type="dxa"/>
            <w:vAlign w:val="center"/>
          </w:tcPr>
          <w:p w14:paraId="2434E9C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1" w:type="dxa"/>
            <w:vAlign w:val="center"/>
          </w:tcPr>
          <w:p w14:paraId="1CF8981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7.9</w:t>
            </w:r>
          </w:p>
        </w:tc>
        <w:tc>
          <w:tcPr>
            <w:tcW w:w="850" w:type="dxa"/>
            <w:vAlign w:val="center"/>
          </w:tcPr>
          <w:p w14:paraId="07EE5676"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3.3</w:t>
            </w:r>
          </w:p>
        </w:tc>
      </w:tr>
      <w:tr w:rsidR="00D27CA2" w:rsidRPr="00D27CA2" w14:paraId="27AEF27C" w14:textId="77777777" w:rsidTr="00100E44">
        <w:tc>
          <w:tcPr>
            <w:tcW w:w="3652" w:type="dxa"/>
            <w:vAlign w:val="center"/>
          </w:tcPr>
          <w:p w14:paraId="53268C6E"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III</w:t>
            </w:r>
          </w:p>
        </w:tc>
        <w:tc>
          <w:tcPr>
            <w:tcW w:w="851" w:type="dxa"/>
            <w:vAlign w:val="center"/>
          </w:tcPr>
          <w:p w14:paraId="08E6400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8.7</w:t>
            </w:r>
          </w:p>
        </w:tc>
        <w:tc>
          <w:tcPr>
            <w:tcW w:w="850" w:type="dxa"/>
            <w:vAlign w:val="center"/>
          </w:tcPr>
          <w:p w14:paraId="04337E94"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2.6</w:t>
            </w:r>
          </w:p>
        </w:tc>
        <w:tc>
          <w:tcPr>
            <w:tcW w:w="851" w:type="dxa"/>
            <w:vAlign w:val="center"/>
          </w:tcPr>
          <w:p w14:paraId="468B970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10.0</w:t>
            </w:r>
          </w:p>
        </w:tc>
        <w:tc>
          <w:tcPr>
            <w:tcW w:w="850" w:type="dxa"/>
            <w:vAlign w:val="center"/>
          </w:tcPr>
          <w:p w14:paraId="742EE32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1.8</w:t>
            </w:r>
          </w:p>
        </w:tc>
        <w:tc>
          <w:tcPr>
            <w:tcW w:w="851" w:type="dxa"/>
            <w:vAlign w:val="center"/>
          </w:tcPr>
          <w:p w14:paraId="45CC4A2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10.0</w:t>
            </w:r>
          </w:p>
        </w:tc>
        <w:tc>
          <w:tcPr>
            <w:tcW w:w="850" w:type="dxa"/>
            <w:vAlign w:val="center"/>
          </w:tcPr>
          <w:p w14:paraId="49464417"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2.9</w:t>
            </w:r>
          </w:p>
        </w:tc>
      </w:tr>
      <w:tr w:rsidR="00D27CA2" w:rsidRPr="00D27CA2" w14:paraId="5CB0B866" w14:textId="77777777" w:rsidTr="00100E44">
        <w:tc>
          <w:tcPr>
            <w:tcW w:w="3652" w:type="dxa"/>
            <w:vAlign w:val="center"/>
          </w:tcPr>
          <w:p w14:paraId="7D994780"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IV</w:t>
            </w:r>
          </w:p>
        </w:tc>
        <w:tc>
          <w:tcPr>
            <w:tcW w:w="851" w:type="dxa"/>
            <w:vAlign w:val="center"/>
          </w:tcPr>
          <w:p w14:paraId="7C58EC2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10.0</w:t>
            </w:r>
          </w:p>
        </w:tc>
        <w:tc>
          <w:tcPr>
            <w:tcW w:w="850" w:type="dxa"/>
            <w:vAlign w:val="center"/>
          </w:tcPr>
          <w:p w14:paraId="7A67F79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3.1</w:t>
            </w:r>
          </w:p>
        </w:tc>
        <w:tc>
          <w:tcPr>
            <w:tcW w:w="851" w:type="dxa"/>
            <w:vAlign w:val="center"/>
          </w:tcPr>
          <w:p w14:paraId="019360D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11.3</w:t>
            </w:r>
          </w:p>
        </w:tc>
        <w:tc>
          <w:tcPr>
            <w:tcW w:w="850" w:type="dxa"/>
            <w:vAlign w:val="center"/>
          </w:tcPr>
          <w:p w14:paraId="0DF5BB2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1" w:type="dxa"/>
            <w:vAlign w:val="center"/>
          </w:tcPr>
          <w:p w14:paraId="27193B0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10.9</w:t>
            </w:r>
          </w:p>
        </w:tc>
        <w:tc>
          <w:tcPr>
            <w:tcW w:w="850" w:type="dxa"/>
            <w:vAlign w:val="center"/>
          </w:tcPr>
          <w:p w14:paraId="0DFA76E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w:t>
            </w:r>
          </w:p>
        </w:tc>
      </w:tr>
      <w:tr w:rsidR="00D27CA2" w:rsidRPr="00D27CA2" w14:paraId="49E6CAA2" w14:textId="77777777" w:rsidTr="00100E44">
        <w:tc>
          <w:tcPr>
            <w:tcW w:w="3652" w:type="dxa"/>
            <w:vAlign w:val="center"/>
          </w:tcPr>
          <w:p w14:paraId="029F0AE5"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V</w:t>
            </w:r>
          </w:p>
        </w:tc>
        <w:tc>
          <w:tcPr>
            <w:tcW w:w="851" w:type="dxa"/>
            <w:vAlign w:val="center"/>
          </w:tcPr>
          <w:p w14:paraId="2A71A94B"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11.1</w:t>
            </w:r>
          </w:p>
        </w:tc>
        <w:tc>
          <w:tcPr>
            <w:tcW w:w="850" w:type="dxa"/>
            <w:vAlign w:val="center"/>
          </w:tcPr>
          <w:p w14:paraId="65785B44"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1" w:type="dxa"/>
            <w:vAlign w:val="center"/>
          </w:tcPr>
          <w:p w14:paraId="5552395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11.3</w:t>
            </w:r>
          </w:p>
        </w:tc>
        <w:tc>
          <w:tcPr>
            <w:tcW w:w="850" w:type="dxa"/>
            <w:vAlign w:val="center"/>
          </w:tcPr>
          <w:p w14:paraId="4E6D845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2.3</w:t>
            </w:r>
          </w:p>
        </w:tc>
        <w:tc>
          <w:tcPr>
            <w:tcW w:w="851" w:type="dxa"/>
            <w:vAlign w:val="center"/>
          </w:tcPr>
          <w:p w14:paraId="5A7A9BA7"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11.8</w:t>
            </w:r>
          </w:p>
        </w:tc>
        <w:tc>
          <w:tcPr>
            <w:tcW w:w="850" w:type="dxa"/>
            <w:vAlign w:val="center"/>
          </w:tcPr>
          <w:p w14:paraId="2CB2294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2.4</w:t>
            </w:r>
          </w:p>
        </w:tc>
      </w:tr>
      <w:tr w:rsidR="00D27CA2" w:rsidRPr="00D27CA2" w14:paraId="27B43F7A" w14:textId="77777777" w:rsidTr="00100E44">
        <w:tc>
          <w:tcPr>
            <w:tcW w:w="3652" w:type="dxa"/>
            <w:vAlign w:val="center"/>
          </w:tcPr>
          <w:p w14:paraId="35F87F05"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B</w:t>
            </w:r>
          </w:p>
        </w:tc>
        <w:tc>
          <w:tcPr>
            <w:tcW w:w="851" w:type="dxa"/>
            <w:vAlign w:val="center"/>
          </w:tcPr>
          <w:p w14:paraId="192DB85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4.4</w:t>
            </w:r>
          </w:p>
        </w:tc>
        <w:tc>
          <w:tcPr>
            <w:tcW w:w="850" w:type="dxa"/>
            <w:vAlign w:val="center"/>
          </w:tcPr>
          <w:p w14:paraId="0A04923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1.6</w:t>
            </w:r>
          </w:p>
        </w:tc>
        <w:tc>
          <w:tcPr>
            <w:tcW w:w="851" w:type="dxa"/>
            <w:vAlign w:val="center"/>
          </w:tcPr>
          <w:p w14:paraId="6C69B71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4.4</w:t>
            </w:r>
          </w:p>
        </w:tc>
        <w:tc>
          <w:tcPr>
            <w:tcW w:w="850" w:type="dxa"/>
            <w:vAlign w:val="center"/>
          </w:tcPr>
          <w:p w14:paraId="2EA2FF1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1.6</w:t>
            </w:r>
          </w:p>
        </w:tc>
        <w:tc>
          <w:tcPr>
            <w:tcW w:w="851" w:type="dxa"/>
            <w:vAlign w:val="center"/>
          </w:tcPr>
          <w:p w14:paraId="3E22209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4.8</w:t>
            </w:r>
          </w:p>
        </w:tc>
        <w:tc>
          <w:tcPr>
            <w:tcW w:w="850" w:type="dxa"/>
            <w:vAlign w:val="center"/>
          </w:tcPr>
          <w:p w14:paraId="3E4993B4"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w:t>
            </w:r>
          </w:p>
        </w:tc>
      </w:tr>
      <w:tr w:rsidR="00D27CA2" w:rsidRPr="00D27CA2" w14:paraId="046F0162" w14:textId="77777777" w:rsidTr="00100E44">
        <w:tc>
          <w:tcPr>
            <w:tcW w:w="3652" w:type="dxa"/>
            <w:vAlign w:val="center"/>
          </w:tcPr>
          <w:p w14:paraId="48F3F20D"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VI</w:t>
            </w:r>
          </w:p>
        </w:tc>
        <w:tc>
          <w:tcPr>
            <w:tcW w:w="851" w:type="dxa"/>
            <w:vAlign w:val="center"/>
          </w:tcPr>
          <w:p w14:paraId="5199C88B"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9.7</w:t>
            </w:r>
          </w:p>
        </w:tc>
        <w:tc>
          <w:tcPr>
            <w:tcW w:w="850" w:type="dxa"/>
            <w:vAlign w:val="center"/>
          </w:tcPr>
          <w:p w14:paraId="13AF64F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3.1</w:t>
            </w:r>
          </w:p>
        </w:tc>
        <w:tc>
          <w:tcPr>
            <w:tcW w:w="851" w:type="dxa"/>
            <w:vAlign w:val="center"/>
          </w:tcPr>
          <w:p w14:paraId="4AC079B2"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10.0</w:t>
            </w:r>
          </w:p>
        </w:tc>
        <w:tc>
          <w:tcPr>
            <w:tcW w:w="850" w:type="dxa"/>
            <w:vAlign w:val="center"/>
          </w:tcPr>
          <w:p w14:paraId="55097D1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2.4</w:t>
            </w:r>
          </w:p>
        </w:tc>
        <w:tc>
          <w:tcPr>
            <w:tcW w:w="851" w:type="dxa"/>
            <w:vAlign w:val="center"/>
          </w:tcPr>
          <w:p w14:paraId="681032D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11.5</w:t>
            </w:r>
          </w:p>
        </w:tc>
        <w:tc>
          <w:tcPr>
            <w:tcW w:w="850" w:type="dxa"/>
            <w:vAlign w:val="center"/>
          </w:tcPr>
          <w:p w14:paraId="507A71DD"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r>
      <w:tr w:rsidR="00D27CA2" w:rsidRPr="00D27CA2" w14:paraId="4A2DFB9A" w14:textId="77777777" w:rsidTr="00100E44">
        <w:tc>
          <w:tcPr>
            <w:tcW w:w="3652" w:type="dxa"/>
            <w:vAlign w:val="center"/>
          </w:tcPr>
          <w:p w14:paraId="3194B4C4"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Trial VII</w:t>
            </w:r>
          </w:p>
        </w:tc>
        <w:tc>
          <w:tcPr>
            <w:tcW w:w="851" w:type="dxa"/>
            <w:vAlign w:val="center"/>
          </w:tcPr>
          <w:p w14:paraId="30E7847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9.6</w:t>
            </w:r>
          </w:p>
        </w:tc>
        <w:tc>
          <w:tcPr>
            <w:tcW w:w="850" w:type="dxa"/>
            <w:vAlign w:val="center"/>
          </w:tcPr>
          <w:p w14:paraId="3CD1AB16"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2.7</w:t>
            </w:r>
          </w:p>
        </w:tc>
        <w:tc>
          <w:tcPr>
            <w:tcW w:w="851" w:type="dxa"/>
            <w:vAlign w:val="center"/>
          </w:tcPr>
          <w:p w14:paraId="529D4D5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9.3</w:t>
            </w:r>
          </w:p>
        </w:tc>
        <w:tc>
          <w:tcPr>
            <w:tcW w:w="850" w:type="dxa"/>
            <w:vAlign w:val="center"/>
          </w:tcPr>
          <w:p w14:paraId="77AE224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2.2</w:t>
            </w:r>
          </w:p>
        </w:tc>
        <w:tc>
          <w:tcPr>
            <w:tcW w:w="851" w:type="dxa"/>
            <w:vAlign w:val="center"/>
          </w:tcPr>
          <w:p w14:paraId="6E6700A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10.3</w:t>
            </w:r>
          </w:p>
        </w:tc>
        <w:tc>
          <w:tcPr>
            <w:tcW w:w="850" w:type="dxa"/>
            <w:vAlign w:val="center"/>
          </w:tcPr>
          <w:p w14:paraId="0090B2F4"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2.6</w:t>
            </w:r>
          </w:p>
        </w:tc>
      </w:tr>
      <w:tr w:rsidR="00D27CA2" w:rsidRPr="00D27CA2" w14:paraId="70FD4088" w14:textId="77777777" w:rsidTr="00100E44">
        <w:tc>
          <w:tcPr>
            <w:tcW w:w="3652" w:type="dxa"/>
            <w:vAlign w:val="center"/>
          </w:tcPr>
          <w:p w14:paraId="611A2F4B"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Total words recalled (Trials I-V)</w:t>
            </w:r>
          </w:p>
        </w:tc>
        <w:tc>
          <w:tcPr>
            <w:tcW w:w="851" w:type="dxa"/>
            <w:vAlign w:val="center"/>
          </w:tcPr>
          <w:p w14:paraId="44952836"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42.4</w:t>
            </w:r>
          </w:p>
        </w:tc>
        <w:tc>
          <w:tcPr>
            <w:tcW w:w="850" w:type="dxa"/>
            <w:vAlign w:val="center"/>
          </w:tcPr>
          <w:p w14:paraId="293482E6"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9.3</w:t>
            </w:r>
          </w:p>
        </w:tc>
        <w:tc>
          <w:tcPr>
            <w:tcW w:w="851" w:type="dxa"/>
            <w:vAlign w:val="center"/>
          </w:tcPr>
          <w:p w14:paraId="5E8E7EE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45.9</w:t>
            </w:r>
          </w:p>
        </w:tc>
        <w:tc>
          <w:tcPr>
            <w:tcW w:w="850" w:type="dxa"/>
            <w:vAlign w:val="center"/>
          </w:tcPr>
          <w:p w14:paraId="1BA668F7"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6.4</w:t>
            </w:r>
          </w:p>
        </w:tc>
        <w:tc>
          <w:tcPr>
            <w:tcW w:w="851" w:type="dxa"/>
            <w:vAlign w:val="center"/>
          </w:tcPr>
          <w:p w14:paraId="5A157C6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46.4</w:t>
            </w:r>
          </w:p>
        </w:tc>
        <w:tc>
          <w:tcPr>
            <w:tcW w:w="850" w:type="dxa"/>
            <w:vAlign w:val="center"/>
          </w:tcPr>
          <w:p w14:paraId="05538AB7"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10.8</w:t>
            </w:r>
          </w:p>
        </w:tc>
      </w:tr>
      <w:tr w:rsidR="00D27CA2" w:rsidRPr="00D27CA2" w14:paraId="5A69F2C6" w14:textId="77777777" w:rsidTr="00100E44">
        <w:tc>
          <w:tcPr>
            <w:tcW w:w="3652" w:type="dxa"/>
            <w:vAlign w:val="center"/>
          </w:tcPr>
          <w:p w14:paraId="3EA18822"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Learning rate (V minus I)</w:t>
            </w:r>
          </w:p>
        </w:tc>
        <w:tc>
          <w:tcPr>
            <w:tcW w:w="851" w:type="dxa"/>
            <w:vAlign w:val="center"/>
          </w:tcPr>
          <w:p w14:paraId="55F05B6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6.3</w:t>
            </w:r>
          </w:p>
        </w:tc>
        <w:tc>
          <w:tcPr>
            <w:tcW w:w="850" w:type="dxa"/>
            <w:vAlign w:val="center"/>
          </w:tcPr>
          <w:p w14:paraId="00EED96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1" w:type="dxa"/>
            <w:vAlign w:val="center"/>
          </w:tcPr>
          <w:p w14:paraId="6617289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5.8</w:t>
            </w:r>
          </w:p>
        </w:tc>
        <w:tc>
          <w:tcPr>
            <w:tcW w:w="850" w:type="dxa"/>
            <w:vAlign w:val="center"/>
          </w:tcPr>
          <w:p w14:paraId="217D49C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2.6</w:t>
            </w:r>
          </w:p>
        </w:tc>
        <w:tc>
          <w:tcPr>
            <w:tcW w:w="851" w:type="dxa"/>
            <w:vAlign w:val="center"/>
          </w:tcPr>
          <w:p w14:paraId="5E85291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5.9</w:t>
            </w:r>
          </w:p>
        </w:tc>
        <w:tc>
          <w:tcPr>
            <w:tcW w:w="850" w:type="dxa"/>
            <w:vAlign w:val="center"/>
          </w:tcPr>
          <w:p w14:paraId="35856B16"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2.2</w:t>
            </w:r>
          </w:p>
        </w:tc>
      </w:tr>
      <w:tr w:rsidR="00D27CA2" w:rsidRPr="00D27CA2" w14:paraId="4864311B" w14:textId="77777777" w:rsidTr="00100E44">
        <w:tc>
          <w:tcPr>
            <w:tcW w:w="3652" w:type="dxa"/>
            <w:vAlign w:val="center"/>
          </w:tcPr>
          <w:p w14:paraId="2D937038"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Proactive interference (I minus B)</w:t>
            </w:r>
          </w:p>
        </w:tc>
        <w:tc>
          <w:tcPr>
            <w:tcW w:w="851" w:type="dxa"/>
            <w:vAlign w:val="center"/>
          </w:tcPr>
          <w:p w14:paraId="0C44E977"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0.4</w:t>
            </w:r>
          </w:p>
        </w:tc>
        <w:tc>
          <w:tcPr>
            <w:tcW w:w="850" w:type="dxa"/>
            <w:vAlign w:val="center"/>
          </w:tcPr>
          <w:p w14:paraId="4ABD3AE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2.3</w:t>
            </w:r>
          </w:p>
        </w:tc>
        <w:tc>
          <w:tcPr>
            <w:tcW w:w="851" w:type="dxa"/>
            <w:vAlign w:val="center"/>
          </w:tcPr>
          <w:p w14:paraId="588933A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w:t>
            </w:r>
          </w:p>
        </w:tc>
        <w:tc>
          <w:tcPr>
            <w:tcW w:w="850" w:type="dxa"/>
            <w:vAlign w:val="center"/>
          </w:tcPr>
          <w:p w14:paraId="228FDDB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w:t>
            </w:r>
          </w:p>
        </w:tc>
        <w:tc>
          <w:tcPr>
            <w:tcW w:w="851" w:type="dxa"/>
            <w:vAlign w:val="center"/>
          </w:tcPr>
          <w:p w14:paraId="043AABD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w:t>
            </w:r>
          </w:p>
        </w:tc>
        <w:tc>
          <w:tcPr>
            <w:tcW w:w="850" w:type="dxa"/>
            <w:vAlign w:val="center"/>
          </w:tcPr>
          <w:p w14:paraId="59DE836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2.3</w:t>
            </w:r>
          </w:p>
        </w:tc>
      </w:tr>
      <w:tr w:rsidR="00D27CA2" w:rsidRPr="00D27CA2" w14:paraId="5E910DCA" w14:textId="77777777" w:rsidTr="00100E44">
        <w:tc>
          <w:tcPr>
            <w:tcW w:w="3652" w:type="dxa"/>
            <w:vAlign w:val="center"/>
          </w:tcPr>
          <w:p w14:paraId="46BCAA1B"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Retroactive interference (V minus VI)</w:t>
            </w:r>
          </w:p>
        </w:tc>
        <w:tc>
          <w:tcPr>
            <w:tcW w:w="851" w:type="dxa"/>
            <w:vAlign w:val="center"/>
          </w:tcPr>
          <w:p w14:paraId="4ED6AAB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w:t>
            </w:r>
          </w:p>
        </w:tc>
        <w:tc>
          <w:tcPr>
            <w:tcW w:w="850" w:type="dxa"/>
            <w:vAlign w:val="center"/>
          </w:tcPr>
          <w:p w14:paraId="1C6037AD"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2.0</w:t>
            </w:r>
          </w:p>
        </w:tc>
        <w:tc>
          <w:tcPr>
            <w:tcW w:w="851" w:type="dxa"/>
            <w:vAlign w:val="center"/>
          </w:tcPr>
          <w:p w14:paraId="3244B1B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1.3</w:t>
            </w:r>
          </w:p>
        </w:tc>
        <w:tc>
          <w:tcPr>
            <w:tcW w:w="850" w:type="dxa"/>
            <w:vAlign w:val="center"/>
          </w:tcPr>
          <w:p w14:paraId="10630A2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1" w:type="dxa"/>
            <w:vAlign w:val="center"/>
          </w:tcPr>
          <w:p w14:paraId="4289755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0.3</w:t>
            </w:r>
          </w:p>
        </w:tc>
        <w:tc>
          <w:tcPr>
            <w:tcW w:w="850" w:type="dxa"/>
            <w:vAlign w:val="center"/>
          </w:tcPr>
          <w:p w14:paraId="2E67C8D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r>
      <w:tr w:rsidR="00D27CA2" w:rsidRPr="00D27CA2" w14:paraId="636FA739" w14:textId="77777777" w:rsidTr="00100E44">
        <w:tc>
          <w:tcPr>
            <w:tcW w:w="3652" w:type="dxa"/>
            <w:vAlign w:val="center"/>
          </w:tcPr>
          <w:p w14:paraId="7DCAD9DE"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Forgetting (V minus VII)</w:t>
            </w:r>
          </w:p>
        </w:tc>
        <w:tc>
          <w:tcPr>
            <w:tcW w:w="851" w:type="dxa"/>
            <w:vAlign w:val="center"/>
          </w:tcPr>
          <w:p w14:paraId="6A15118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1.5</w:t>
            </w:r>
          </w:p>
        </w:tc>
        <w:tc>
          <w:tcPr>
            <w:tcW w:w="850" w:type="dxa"/>
            <w:vAlign w:val="center"/>
          </w:tcPr>
          <w:p w14:paraId="454E803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2.1</w:t>
            </w:r>
          </w:p>
        </w:tc>
        <w:tc>
          <w:tcPr>
            <w:tcW w:w="851" w:type="dxa"/>
            <w:vAlign w:val="center"/>
          </w:tcPr>
          <w:p w14:paraId="6F99E12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w:t>
            </w:r>
          </w:p>
        </w:tc>
        <w:tc>
          <w:tcPr>
            <w:tcW w:w="850" w:type="dxa"/>
            <w:vAlign w:val="center"/>
          </w:tcPr>
          <w:p w14:paraId="7D60465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1.5</w:t>
            </w:r>
          </w:p>
        </w:tc>
        <w:tc>
          <w:tcPr>
            <w:tcW w:w="851" w:type="dxa"/>
            <w:vAlign w:val="center"/>
          </w:tcPr>
          <w:p w14:paraId="7177BDC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w:t>
            </w:r>
          </w:p>
        </w:tc>
        <w:tc>
          <w:tcPr>
            <w:tcW w:w="850" w:type="dxa"/>
            <w:vAlign w:val="center"/>
          </w:tcPr>
          <w:p w14:paraId="19B8D92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2.5</w:t>
            </w:r>
          </w:p>
        </w:tc>
      </w:tr>
      <w:tr w:rsidR="00D27CA2" w:rsidRPr="00D27CA2" w14:paraId="2AD459E6" w14:textId="77777777" w:rsidTr="00100E44">
        <w:tc>
          <w:tcPr>
            <w:tcW w:w="3652" w:type="dxa"/>
            <w:vAlign w:val="center"/>
          </w:tcPr>
          <w:p w14:paraId="4D6F31CA"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b/>
                <w:szCs w:val="18"/>
              </w:rPr>
              <w:t>Recognition phase performance</w:t>
            </w:r>
          </w:p>
        </w:tc>
        <w:tc>
          <w:tcPr>
            <w:tcW w:w="851" w:type="dxa"/>
            <w:vAlign w:val="center"/>
          </w:tcPr>
          <w:p w14:paraId="3DD5E46E" w14:textId="77777777" w:rsidR="007339A7" w:rsidRPr="00D27CA2" w:rsidRDefault="007339A7" w:rsidP="008F6770">
            <w:pPr>
              <w:rPr>
                <w:rFonts w:ascii="Times New Roman" w:hAnsi="Times New Roman" w:cs="Times New Roman"/>
                <w:szCs w:val="18"/>
              </w:rPr>
            </w:pPr>
          </w:p>
        </w:tc>
        <w:tc>
          <w:tcPr>
            <w:tcW w:w="850" w:type="dxa"/>
            <w:vAlign w:val="center"/>
          </w:tcPr>
          <w:p w14:paraId="51A925D4" w14:textId="77777777" w:rsidR="007339A7" w:rsidRPr="00D27CA2" w:rsidRDefault="007339A7" w:rsidP="008F6770">
            <w:pPr>
              <w:rPr>
                <w:rFonts w:ascii="Times New Roman" w:hAnsi="Times New Roman" w:cs="Times New Roman"/>
                <w:szCs w:val="18"/>
              </w:rPr>
            </w:pPr>
          </w:p>
        </w:tc>
        <w:tc>
          <w:tcPr>
            <w:tcW w:w="851" w:type="dxa"/>
            <w:vAlign w:val="center"/>
          </w:tcPr>
          <w:p w14:paraId="611D15FF" w14:textId="77777777" w:rsidR="007339A7" w:rsidRPr="00D27CA2" w:rsidRDefault="007339A7" w:rsidP="008F6770">
            <w:pPr>
              <w:rPr>
                <w:rFonts w:ascii="Times New Roman" w:hAnsi="Times New Roman" w:cs="Times New Roman"/>
                <w:szCs w:val="18"/>
              </w:rPr>
            </w:pPr>
          </w:p>
        </w:tc>
        <w:tc>
          <w:tcPr>
            <w:tcW w:w="850" w:type="dxa"/>
            <w:vAlign w:val="center"/>
          </w:tcPr>
          <w:p w14:paraId="33E1CBA0" w14:textId="77777777" w:rsidR="007339A7" w:rsidRPr="00D27CA2" w:rsidRDefault="007339A7" w:rsidP="008F6770">
            <w:pPr>
              <w:rPr>
                <w:rFonts w:ascii="Times New Roman" w:hAnsi="Times New Roman" w:cs="Times New Roman"/>
                <w:szCs w:val="18"/>
              </w:rPr>
            </w:pPr>
          </w:p>
        </w:tc>
        <w:tc>
          <w:tcPr>
            <w:tcW w:w="851" w:type="dxa"/>
            <w:vAlign w:val="center"/>
          </w:tcPr>
          <w:p w14:paraId="784D99DB" w14:textId="77777777" w:rsidR="007339A7" w:rsidRPr="00D27CA2" w:rsidRDefault="007339A7" w:rsidP="008F6770">
            <w:pPr>
              <w:rPr>
                <w:rFonts w:ascii="Times New Roman" w:hAnsi="Times New Roman" w:cs="Times New Roman"/>
                <w:szCs w:val="18"/>
              </w:rPr>
            </w:pPr>
          </w:p>
        </w:tc>
        <w:tc>
          <w:tcPr>
            <w:tcW w:w="850" w:type="dxa"/>
            <w:vAlign w:val="center"/>
          </w:tcPr>
          <w:p w14:paraId="54145381" w14:textId="77777777" w:rsidR="007339A7" w:rsidRPr="00D27CA2" w:rsidRDefault="007339A7" w:rsidP="008F6770">
            <w:pPr>
              <w:rPr>
                <w:rFonts w:ascii="Times New Roman" w:hAnsi="Times New Roman" w:cs="Times New Roman"/>
                <w:szCs w:val="18"/>
              </w:rPr>
            </w:pPr>
          </w:p>
        </w:tc>
      </w:tr>
      <w:tr w:rsidR="00D27CA2" w:rsidRPr="00D27CA2" w14:paraId="71CACF4E" w14:textId="77777777" w:rsidTr="00100E44">
        <w:tc>
          <w:tcPr>
            <w:tcW w:w="3652" w:type="dxa"/>
            <w:vAlign w:val="center"/>
          </w:tcPr>
          <w:p w14:paraId="2F89A4D2"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List A accuracy (number correct/15)</w:t>
            </w:r>
          </w:p>
        </w:tc>
        <w:tc>
          <w:tcPr>
            <w:tcW w:w="851" w:type="dxa"/>
            <w:vAlign w:val="center"/>
          </w:tcPr>
          <w:p w14:paraId="4E84E514"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13.6</w:t>
            </w:r>
          </w:p>
        </w:tc>
        <w:tc>
          <w:tcPr>
            <w:tcW w:w="850" w:type="dxa"/>
            <w:vAlign w:val="center"/>
          </w:tcPr>
          <w:p w14:paraId="5B55137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1.5</w:t>
            </w:r>
          </w:p>
        </w:tc>
        <w:tc>
          <w:tcPr>
            <w:tcW w:w="851" w:type="dxa"/>
            <w:vAlign w:val="center"/>
          </w:tcPr>
          <w:p w14:paraId="69D8CF5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14.2</w:t>
            </w:r>
          </w:p>
        </w:tc>
        <w:tc>
          <w:tcPr>
            <w:tcW w:w="850" w:type="dxa"/>
            <w:vAlign w:val="center"/>
          </w:tcPr>
          <w:p w14:paraId="3D961F6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0.9</w:t>
            </w:r>
          </w:p>
        </w:tc>
        <w:tc>
          <w:tcPr>
            <w:tcW w:w="851" w:type="dxa"/>
            <w:vAlign w:val="center"/>
          </w:tcPr>
          <w:p w14:paraId="433FAF7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12.3</w:t>
            </w:r>
          </w:p>
        </w:tc>
        <w:tc>
          <w:tcPr>
            <w:tcW w:w="850" w:type="dxa"/>
            <w:vAlign w:val="center"/>
          </w:tcPr>
          <w:p w14:paraId="7D3B94DD"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4.0</w:t>
            </w:r>
          </w:p>
        </w:tc>
      </w:tr>
      <w:tr w:rsidR="00D27CA2" w:rsidRPr="00D27CA2" w14:paraId="77704DDE" w14:textId="77777777" w:rsidTr="00100E44">
        <w:tc>
          <w:tcPr>
            <w:tcW w:w="3652" w:type="dxa"/>
            <w:vAlign w:val="center"/>
          </w:tcPr>
          <w:p w14:paraId="0C7FC845"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List B accuracy (number correct/15)</w:t>
            </w:r>
          </w:p>
        </w:tc>
        <w:tc>
          <w:tcPr>
            <w:tcW w:w="851" w:type="dxa"/>
            <w:vAlign w:val="center"/>
          </w:tcPr>
          <w:p w14:paraId="1D32A5F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14.3</w:t>
            </w:r>
          </w:p>
        </w:tc>
        <w:tc>
          <w:tcPr>
            <w:tcW w:w="850" w:type="dxa"/>
            <w:vAlign w:val="center"/>
          </w:tcPr>
          <w:p w14:paraId="3B1565E5"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0.9</w:t>
            </w:r>
          </w:p>
        </w:tc>
        <w:tc>
          <w:tcPr>
            <w:tcW w:w="851" w:type="dxa"/>
            <w:vAlign w:val="center"/>
          </w:tcPr>
          <w:p w14:paraId="3EF2DD6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13.8</w:t>
            </w:r>
          </w:p>
        </w:tc>
        <w:tc>
          <w:tcPr>
            <w:tcW w:w="850" w:type="dxa"/>
            <w:vAlign w:val="center"/>
          </w:tcPr>
          <w:p w14:paraId="0623AE4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w:t>
            </w:r>
          </w:p>
        </w:tc>
        <w:tc>
          <w:tcPr>
            <w:tcW w:w="851" w:type="dxa"/>
            <w:vAlign w:val="center"/>
          </w:tcPr>
          <w:p w14:paraId="21E0A93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13.8</w:t>
            </w:r>
          </w:p>
        </w:tc>
        <w:tc>
          <w:tcPr>
            <w:tcW w:w="850" w:type="dxa"/>
            <w:vAlign w:val="center"/>
          </w:tcPr>
          <w:p w14:paraId="42C76B6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w:t>
            </w:r>
          </w:p>
        </w:tc>
      </w:tr>
      <w:tr w:rsidR="00D27CA2" w:rsidRPr="00D27CA2" w14:paraId="7DEA132D" w14:textId="77777777" w:rsidTr="00100E44">
        <w:tc>
          <w:tcPr>
            <w:tcW w:w="3652" w:type="dxa"/>
            <w:vAlign w:val="center"/>
          </w:tcPr>
          <w:p w14:paraId="2A683CBA"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New accuracy (number correct/20)</w:t>
            </w:r>
          </w:p>
        </w:tc>
        <w:tc>
          <w:tcPr>
            <w:tcW w:w="851" w:type="dxa"/>
            <w:vAlign w:val="center"/>
          </w:tcPr>
          <w:p w14:paraId="7BEE87C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18.4</w:t>
            </w:r>
          </w:p>
        </w:tc>
        <w:tc>
          <w:tcPr>
            <w:tcW w:w="850" w:type="dxa"/>
            <w:vAlign w:val="center"/>
          </w:tcPr>
          <w:p w14:paraId="08DCDAAF"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w:t>
            </w:r>
          </w:p>
        </w:tc>
        <w:tc>
          <w:tcPr>
            <w:tcW w:w="851" w:type="dxa"/>
            <w:vAlign w:val="center"/>
          </w:tcPr>
          <w:p w14:paraId="1BBE0DF8"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18.8</w:t>
            </w:r>
          </w:p>
        </w:tc>
        <w:tc>
          <w:tcPr>
            <w:tcW w:w="850" w:type="dxa"/>
            <w:vAlign w:val="center"/>
          </w:tcPr>
          <w:p w14:paraId="652AA4E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2.1</w:t>
            </w:r>
          </w:p>
        </w:tc>
        <w:tc>
          <w:tcPr>
            <w:tcW w:w="851" w:type="dxa"/>
            <w:vAlign w:val="center"/>
          </w:tcPr>
          <w:p w14:paraId="3004380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17.5</w:t>
            </w:r>
          </w:p>
        </w:tc>
        <w:tc>
          <w:tcPr>
            <w:tcW w:w="850" w:type="dxa"/>
            <w:vAlign w:val="center"/>
          </w:tcPr>
          <w:p w14:paraId="2CE590A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2.3</w:t>
            </w:r>
          </w:p>
        </w:tc>
      </w:tr>
      <w:tr w:rsidR="00D27CA2" w:rsidRPr="00D27CA2" w14:paraId="3B63385C" w14:textId="77777777" w:rsidTr="00100E44">
        <w:tc>
          <w:tcPr>
            <w:tcW w:w="3652" w:type="dxa"/>
            <w:vAlign w:val="center"/>
          </w:tcPr>
          <w:p w14:paraId="17EEA960"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List A RT (ms)</w:t>
            </w:r>
          </w:p>
        </w:tc>
        <w:tc>
          <w:tcPr>
            <w:tcW w:w="851" w:type="dxa"/>
            <w:vAlign w:val="center"/>
          </w:tcPr>
          <w:p w14:paraId="39E47D7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903.7</w:t>
            </w:r>
          </w:p>
        </w:tc>
        <w:tc>
          <w:tcPr>
            <w:tcW w:w="850" w:type="dxa"/>
            <w:vAlign w:val="center"/>
          </w:tcPr>
          <w:p w14:paraId="0DAD79C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208.6</w:t>
            </w:r>
          </w:p>
        </w:tc>
        <w:tc>
          <w:tcPr>
            <w:tcW w:w="851" w:type="dxa"/>
            <w:vAlign w:val="center"/>
          </w:tcPr>
          <w:p w14:paraId="53246D7A"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967.5</w:t>
            </w:r>
          </w:p>
        </w:tc>
        <w:tc>
          <w:tcPr>
            <w:tcW w:w="850" w:type="dxa"/>
            <w:vAlign w:val="center"/>
          </w:tcPr>
          <w:p w14:paraId="3788BA0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444.7</w:t>
            </w:r>
          </w:p>
        </w:tc>
        <w:tc>
          <w:tcPr>
            <w:tcW w:w="851" w:type="dxa"/>
            <w:vAlign w:val="center"/>
          </w:tcPr>
          <w:p w14:paraId="1355C782"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733.5</w:t>
            </w:r>
          </w:p>
        </w:tc>
        <w:tc>
          <w:tcPr>
            <w:tcW w:w="850" w:type="dxa"/>
            <w:vAlign w:val="center"/>
          </w:tcPr>
          <w:p w14:paraId="5CD390B4"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117.3</w:t>
            </w:r>
          </w:p>
        </w:tc>
      </w:tr>
      <w:tr w:rsidR="00D27CA2" w:rsidRPr="00D27CA2" w14:paraId="27F5D7AB" w14:textId="77777777" w:rsidTr="00100E44">
        <w:tc>
          <w:tcPr>
            <w:tcW w:w="3652" w:type="dxa"/>
            <w:vAlign w:val="center"/>
          </w:tcPr>
          <w:p w14:paraId="6875FBA2"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List B RT (ms)</w:t>
            </w:r>
          </w:p>
        </w:tc>
        <w:tc>
          <w:tcPr>
            <w:tcW w:w="851" w:type="dxa"/>
            <w:vAlign w:val="center"/>
          </w:tcPr>
          <w:p w14:paraId="11436A5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894.2</w:t>
            </w:r>
          </w:p>
        </w:tc>
        <w:tc>
          <w:tcPr>
            <w:tcW w:w="850" w:type="dxa"/>
            <w:vAlign w:val="center"/>
          </w:tcPr>
          <w:p w14:paraId="62545CE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193.8</w:t>
            </w:r>
          </w:p>
        </w:tc>
        <w:tc>
          <w:tcPr>
            <w:tcW w:w="851" w:type="dxa"/>
            <w:vAlign w:val="center"/>
          </w:tcPr>
          <w:p w14:paraId="597E0CE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951.3</w:t>
            </w:r>
          </w:p>
        </w:tc>
        <w:tc>
          <w:tcPr>
            <w:tcW w:w="850" w:type="dxa"/>
            <w:vAlign w:val="center"/>
          </w:tcPr>
          <w:p w14:paraId="53C29A3E"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218.4</w:t>
            </w:r>
          </w:p>
        </w:tc>
        <w:tc>
          <w:tcPr>
            <w:tcW w:w="851" w:type="dxa"/>
            <w:vAlign w:val="center"/>
          </w:tcPr>
          <w:p w14:paraId="6BA4149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749.7</w:t>
            </w:r>
          </w:p>
        </w:tc>
        <w:tc>
          <w:tcPr>
            <w:tcW w:w="850" w:type="dxa"/>
            <w:vAlign w:val="center"/>
          </w:tcPr>
          <w:p w14:paraId="10B5C290"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155.6</w:t>
            </w:r>
          </w:p>
        </w:tc>
      </w:tr>
      <w:tr w:rsidR="00D27CA2" w:rsidRPr="00D27CA2" w14:paraId="0A4F114E" w14:textId="77777777" w:rsidTr="00100E44">
        <w:tc>
          <w:tcPr>
            <w:tcW w:w="3652" w:type="dxa"/>
            <w:vAlign w:val="center"/>
          </w:tcPr>
          <w:p w14:paraId="1D5F8E4B" w14:textId="77777777" w:rsidR="007339A7" w:rsidRPr="00D27CA2" w:rsidRDefault="007339A7" w:rsidP="008F6770">
            <w:pPr>
              <w:rPr>
                <w:rFonts w:ascii="Times New Roman" w:hAnsi="Times New Roman" w:cs="Times New Roman"/>
                <w:szCs w:val="18"/>
              </w:rPr>
            </w:pPr>
            <w:r w:rsidRPr="00D27CA2">
              <w:rPr>
                <w:rFonts w:ascii="Times New Roman" w:hAnsi="Times New Roman" w:cs="Times New Roman"/>
                <w:szCs w:val="18"/>
              </w:rPr>
              <w:t>New RT (ms)</w:t>
            </w:r>
          </w:p>
        </w:tc>
        <w:tc>
          <w:tcPr>
            <w:tcW w:w="851" w:type="dxa"/>
            <w:vAlign w:val="center"/>
          </w:tcPr>
          <w:p w14:paraId="75E29E8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933.4</w:t>
            </w:r>
          </w:p>
        </w:tc>
        <w:tc>
          <w:tcPr>
            <w:tcW w:w="850" w:type="dxa"/>
            <w:vAlign w:val="center"/>
          </w:tcPr>
          <w:p w14:paraId="11E94FC2"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149.3</w:t>
            </w:r>
          </w:p>
        </w:tc>
        <w:tc>
          <w:tcPr>
            <w:tcW w:w="851" w:type="dxa"/>
            <w:vAlign w:val="center"/>
          </w:tcPr>
          <w:p w14:paraId="3EA5725C"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1003.8</w:t>
            </w:r>
          </w:p>
        </w:tc>
        <w:tc>
          <w:tcPr>
            <w:tcW w:w="850" w:type="dxa"/>
            <w:vAlign w:val="center"/>
          </w:tcPr>
          <w:p w14:paraId="6C2105B1"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295.1</w:t>
            </w:r>
          </w:p>
        </w:tc>
        <w:tc>
          <w:tcPr>
            <w:tcW w:w="851" w:type="dxa"/>
            <w:vAlign w:val="center"/>
          </w:tcPr>
          <w:p w14:paraId="49E44213"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823.8</w:t>
            </w:r>
          </w:p>
        </w:tc>
        <w:tc>
          <w:tcPr>
            <w:tcW w:w="850" w:type="dxa"/>
            <w:vAlign w:val="center"/>
          </w:tcPr>
          <w:p w14:paraId="54C7A699" w14:textId="77777777" w:rsidR="007339A7" w:rsidRPr="00D27CA2" w:rsidRDefault="007339A7" w:rsidP="008F6770">
            <w:pPr>
              <w:jc w:val="right"/>
              <w:rPr>
                <w:rFonts w:ascii="Times New Roman" w:hAnsi="Times New Roman" w:cs="Times New Roman"/>
                <w:szCs w:val="18"/>
              </w:rPr>
            </w:pPr>
            <w:r w:rsidRPr="00D27CA2">
              <w:rPr>
                <w:rFonts w:ascii="Times New Roman" w:hAnsi="Times New Roman" w:cs="Times New Roman"/>
                <w:szCs w:val="18"/>
              </w:rPr>
              <w:t>218.4</w:t>
            </w:r>
          </w:p>
        </w:tc>
      </w:tr>
    </w:tbl>
    <w:p w14:paraId="76C81378" w14:textId="77777777" w:rsidR="00720901" w:rsidRPr="00D27CA2" w:rsidRDefault="007339A7" w:rsidP="008F6770">
      <w:pPr>
        <w:rPr>
          <w:rFonts w:ascii="Times New Roman" w:hAnsi="Times New Roman" w:cs="Times New Roman"/>
        </w:rPr>
      </w:pPr>
      <w:r w:rsidRPr="00D27CA2">
        <w:rPr>
          <w:rFonts w:ascii="Times New Roman" w:hAnsi="Times New Roman" w:cs="Times New Roman"/>
        </w:rPr>
        <w:t>* N = 7 for the CU group</w:t>
      </w:r>
      <w:r w:rsidR="005D21FE" w:rsidRPr="00D27CA2">
        <w:rPr>
          <w:rFonts w:ascii="Times New Roman" w:hAnsi="Times New Roman" w:cs="Times New Roman"/>
        </w:rPr>
        <w:t>, since one participant performed poorly on the recognition task such that reliable ERPs could not be calculated.</w:t>
      </w:r>
      <w:r w:rsidR="00AB0ABF" w:rsidRPr="00D27CA2" w:rsidDel="005D21FE">
        <w:rPr>
          <w:rFonts w:ascii="Times New Roman" w:hAnsi="Times New Roman" w:cs="Times New Roman"/>
        </w:rPr>
        <w:t xml:space="preserve"> </w:t>
      </w:r>
    </w:p>
    <w:p w14:paraId="600037B9" w14:textId="77777777" w:rsidR="00281075" w:rsidRPr="00D27CA2" w:rsidRDefault="00281075" w:rsidP="002A3454">
      <w:pPr>
        <w:pStyle w:val="Heading2"/>
        <w:rPr>
          <w:rFonts w:cs="Times New Roman"/>
          <w:color w:val="auto"/>
          <w:szCs w:val="24"/>
        </w:rPr>
      </w:pPr>
    </w:p>
    <w:p w14:paraId="14738309" w14:textId="1163A2FE" w:rsidR="007339A7" w:rsidRPr="00D27CA2" w:rsidRDefault="00AB0ABF" w:rsidP="002A3454">
      <w:pPr>
        <w:pStyle w:val="Heading2"/>
        <w:rPr>
          <w:rFonts w:cs="Times New Roman"/>
          <w:color w:val="auto"/>
          <w:szCs w:val="24"/>
        </w:rPr>
      </w:pPr>
      <w:r w:rsidRPr="00D27CA2">
        <w:rPr>
          <w:rFonts w:cs="Times New Roman"/>
          <w:color w:val="auto"/>
          <w:szCs w:val="24"/>
        </w:rPr>
        <w:t>Behavioural performance</w:t>
      </w:r>
    </w:p>
    <w:p w14:paraId="75FE6C81" w14:textId="463A47FF" w:rsidR="0023386A" w:rsidRPr="00D27CA2" w:rsidRDefault="00AB0ABF" w:rsidP="0023386A">
      <w:pPr>
        <w:rPr>
          <w:rFonts w:ascii="Times New Roman" w:hAnsi="Times New Roman" w:cs="Times New Roman"/>
          <w:sz w:val="24"/>
          <w:szCs w:val="24"/>
        </w:rPr>
      </w:pPr>
      <w:r w:rsidRPr="00D27CA2">
        <w:rPr>
          <w:rFonts w:ascii="Times New Roman" w:hAnsi="Times New Roman" w:cs="Times New Roman"/>
          <w:sz w:val="24"/>
          <w:szCs w:val="24"/>
        </w:rPr>
        <w:t xml:space="preserve">The within-subject effects described in the main article were upheld: that is, typical effects of learning over trials, proactive and retroactive interference, and forgetting after a delay, were all observed. </w:t>
      </w:r>
      <w:r w:rsidR="0023386A" w:rsidRPr="00D27CA2">
        <w:rPr>
          <w:rFonts w:ascii="Times New Roman" w:hAnsi="Times New Roman" w:cs="Times New Roman"/>
          <w:sz w:val="24"/>
          <w:szCs w:val="24"/>
        </w:rPr>
        <w:t xml:space="preserve">However, there were no significant effects </w:t>
      </w:r>
      <w:r w:rsidR="00FC39B1" w:rsidRPr="00D27CA2">
        <w:rPr>
          <w:rFonts w:ascii="Times New Roman" w:hAnsi="Times New Roman" w:cs="Times New Roman"/>
          <w:sz w:val="24"/>
          <w:szCs w:val="24"/>
        </w:rPr>
        <w:t xml:space="preserve">or interactions involving </w:t>
      </w:r>
      <w:r w:rsidR="0023386A" w:rsidRPr="00D27CA2">
        <w:rPr>
          <w:rFonts w:ascii="Times New Roman" w:hAnsi="Times New Roman" w:cs="Times New Roman"/>
          <w:sz w:val="24"/>
          <w:szCs w:val="24"/>
        </w:rPr>
        <w:t>group</w:t>
      </w:r>
      <w:r w:rsidR="00610F05" w:rsidRPr="00D27CA2">
        <w:rPr>
          <w:rFonts w:ascii="Times New Roman" w:hAnsi="Times New Roman" w:cs="Times New Roman"/>
          <w:sz w:val="24"/>
          <w:szCs w:val="24"/>
        </w:rPr>
        <w:t xml:space="preserve"> (</w:t>
      </w:r>
      <w:r w:rsidR="00610F05" w:rsidRPr="00D27CA2">
        <w:rPr>
          <w:rFonts w:ascii="Times New Roman" w:hAnsi="Times New Roman" w:cs="Times New Roman"/>
          <w:i/>
          <w:sz w:val="24"/>
          <w:szCs w:val="24"/>
        </w:rPr>
        <w:t>df</w:t>
      </w:r>
      <w:r w:rsidR="00610F05" w:rsidRPr="00D27CA2">
        <w:rPr>
          <w:rFonts w:ascii="Times New Roman" w:hAnsi="Times New Roman" w:cs="Times New Roman"/>
          <w:sz w:val="24"/>
          <w:szCs w:val="24"/>
        </w:rPr>
        <w:t xml:space="preserve"> = 1,31</w:t>
      </w:r>
      <w:r w:rsidR="00FC39B1" w:rsidRPr="00D27CA2">
        <w:rPr>
          <w:rFonts w:ascii="Times New Roman" w:hAnsi="Times New Roman" w:cs="Times New Roman"/>
          <w:sz w:val="24"/>
          <w:szCs w:val="24"/>
        </w:rPr>
        <w:t xml:space="preserve">) for learning over trials (all </w:t>
      </w:r>
      <w:r w:rsidR="00FC39B1" w:rsidRPr="00D27CA2">
        <w:rPr>
          <w:rFonts w:ascii="Times New Roman" w:hAnsi="Times New Roman" w:cs="Times New Roman"/>
          <w:i/>
          <w:sz w:val="24"/>
          <w:szCs w:val="24"/>
        </w:rPr>
        <w:t>p</w:t>
      </w:r>
      <w:r w:rsidR="00FC39B1" w:rsidRPr="00D27CA2">
        <w:rPr>
          <w:rFonts w:ascii="Times New Roman" w:hAnsi="Times New Roman" w:cs="Times New Roman"/>
          <w:sz w:val="24"/>
          <w:szCs w:val="24"/>
        </w:rPr>
        <w:t>&gt;0.321), proactive interference</w:t>
      </w:r>
      <w:r w:rsidR="0023386A" w:rsidRPr="00D27CA2">
        <w:rPr>
          <w:rFonts w:ascii="Times New Roman" w:hAnsi="Times New Roman" w:cs="Times New Roman"/>
          <w:sz w:val="24"/>
          <w:szCs w:val="24"/>
        </w:rPr>
        <w:t xml:space="preserve"> </w:t>
      </w:r>
      <w:r w:rsidR="00FC39B1" w:rsidRPr="00D27CA2">
        <w:rPr>
          <w:rFonts w:ascii="Times New Roman" w:hAnsi="Times New Roman" w:cs="Times New Roman"/>
          <w:sz w:val="24"/>
          <w:szCs w:val="24"/>
        </w:rPr>
        <w:t xml:space="preserve">(all </w:t>
      </w:r>
      <w:r w:rsidR="00FC39B1" w:rsidRPr="00D27CA2">
        <w:rPr>
          <w:rFonts w:ascii="Times New Roman" w:hAnsi="Times New Roman" w:cs="Times New Roman"/>
          <w:i/>
          <w:sz w:val="24"/>
          <w:szCs w:val="24"/>
        </w:rPr>
        <w:t>p</w:t>
      </w:r>
      <w:r w:rsidR="00FC39B1" w:rsidRPr="00D27CA2">
        <w:rPr>
          <w:rFonts w:ascii="Times New Roman" w:hAnsi="Times New Roman" w:cs="Times New Roman"/>
          <w:sz w:val="24"/>
          <w:szCs w:val="24"/>
        </w:rPr>
        <w:t xml:space="preserve">&gt;0.417), retroactive interference (all </w:t>
      </w:r>
      <w:r w:rsidR="00FC39B1" w:rsidRPr="00D27CA2">
        <w:rPr>
          <w:rFonts w:ascii="Times New Roman" w:hAnsi="Times New Roman" w:cs="Times New Roman"/>
          <w:i/>
          <w:sz w:val="24"/>
          <w:szCs w:val="24"/>
        </w:rPr>
        <w:t>p</w:t>
      </w:r>
      <w:r w:rsidR="00720901" w:rsidRPr="00D27CA2">
        <w:rPr>
          <w:rFonts w:ascii="Times New Roman" w:hAnsi="Times New Roman" w:cs="Times New Roman"/>
          <w:sz w:val="24"/>
          <w:szCs w:val="24"/>
        </w:rPr>
        <w:t>&gt;</w:t>
      </w:r>
      <w:r w:rsidR="00FC39B1" w:rsidRPr="00D27CA2">
        <w:rPr>
          <w:rFonts w:ascii="Times New Roman" w:hAnsi="Times New Roman" w:cs="Times New Roman"/>
          <w:sz w:val="24"/>
          <w:szCs w:val="24"/>
        </w:rPr>
        <w:t xml:space="preserve">0.268) and forgetting (all </w:t>
      </w:r>
      <w:r w:rsidR="00FC39B1" w:rsidRPr="00D27CA2">
        <w:rPr>
          <w:rFonts w:ascii="Times New Roman" w:hAnsi="Times New Roman" w:cs="Times New Roman"/>
          <w:i/>
          <w:sz w:val="24"/>
          <w:szCs w:val="24"/>
        </w:rPr>
        <w:t>p</w:t>
      </w:r>
      <w:r w:rsidR="00FC39B1" w:rsidRPr="00D27CA2">
        <w:rPr>
          <w:rFonts w:ascii="Times New Roman" w:hAnsi="Times New Roman" w:cs="Times New Roman"/>
          <w:sz w:val="24"/>
          <w:szCs w:val="24"/>
        </w:rPr>
        <w:t xml:space="preserve">&gt;0.365). Similarly, </w:t>
      </w:r>
      <w:r w:rsidR="0023386A" w:rsidRPr="00D27CA2">
        <w:rPr>
          <w:rFonts w:ascii="Times New Roman" w:hAnsi="Times New Roman" w:cs="Times New Roman"/>
          <w:sz w:val="24"/>
          <w:szCs w:val="24"/>
        </w:rPr>
        <w:t xml:space="preserve">small-medium effect sizes </w:t>
      </w:r>
      <w:r w:rsidR="00FC39B1" w:rsidRPr="00D27CA2">
        <w:rPr>
          <w:rFonts w:ascii="Times New Roman" w:hAnsi="Times New Roman" w:cs="Times New Roman"/>
          <w:sz w:val="24"/>
          <w:szCs w:val="24"/>
        </w:rPr>
        <w:t xml:space="preserve">were observed </w:t>
      </w:r>
      <w:r w:rsidR="0023386A" w:rsidRPr="00D27CA2">
        <w:rPr>
          <w:rFonts w:ascii="Times New Roman" w:hAnsi="Times New Roman" w:cs="Times New Roman"/>
          <w:sz w:val="24"/>
          <w:szCs w:val="24"/>
        </w:rPr>
        <w:t>for all comparisons (total words recalled, DNC vs. HD:</w:t>
      </w:r>
      <w:r w:rsidR="00FC39B1" w:rsidRPr="00D27CA2">
        <w:rPr>
          <w:rFonts w:ascii="Times New Roman" w:hAnsi="Times New Roman" w:cs="Times New Roman"/>
          <w:sz w:val="24"/>
          <w:szCs w:val="24"/>
        </w:rPr>
        <w:t xml:space="preserve"> Cohen’s</w:t>
      </w:r>
      <w:r w:rsidR="0023386A" w:rsidRPr="00D27CA2">
        <w:rPr>
          <w:rFonts w:ascii="Times New Roman" w:hAnsi="Times New Roman" w:cs="Times New Roman"/>
          <w:sz w:val="24"/>
          <w:szCs w:val="24"/>
        </w:rPr>
        <w:t xml:space="preserve">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=0.440; HD vs. CU: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=0.055; proactive interference, DNC vs. HD: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=-0.300; HD vs. CU: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=0.064; retroactive interference DNC vs. HD: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=0.069; HD vs. CU: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=0.531; forgetting, DNC vs. HD,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=-0.250, HD vs. CU: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=0.408; in all cases, a negative effect size represents poorer performance in the HD than DNC group, or in the CU than HD group).</w:t>
      </w:r>
      <w:r w:rsidR="00610F05" w:rsidRPr="00D27CA2">
        <w:rPr>
          <w:rFonts w:ascii="Times New Roman" w:hAnsi="Times New Roman" w:cs="Times New Roman"/>
          <w:sz w:val="24"/>
          <w:szCs w:val="24"/>
        </w:rPr>
        <w:t xml:space="preserve"> </w:t>
      </w:r>
      <w:r w:rsidR="0023386A" w:rsidRPr="00D27CA2">
        <w:rPr>
          <w:rFonts w:ascii="Times New Roman" w:hAnsi="Times New Roman" w:cs="Times New Roman"/>
          <w:sz w:val="24"/>
          <w:szCs w:val="24"/>
        </w:rPr>
        <w:t>There were</w:t>
      </w:r>
      <w:r w:rsidR="00610F05" w:rsidRPr="00D27CA2">
        <w:rPr>
          <w:rFonts w:ascii="Times New Roman" w:hAnsi="Times New Roman" w:cs="Times New Roman"/>
          <w:sz w:val="24"/>
          <w:szCs w:val="24"/>
        </w:rPr>
        <w:t xml:space="preserve"> also</w:t>
      </w:r>
      <w:r w:rsidR="0023386A" w:rsidRPr="00D27CA2">
        <w:rPr>
          <w:rFonts w:ascii="Times New Roman" w:hAnsi="Times New Roman" w:cs="Times New Roman"/>
          <w:sz w:val="24"/>
          <w:szCs w:val="24"/>
        </w:rPr>
        <w:t xml:space="preserve"> no differences between groups in the recognition accuracy rates for List B (all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&gt;0.282) or New words (all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&gt;0.162), but CU correctly categorised marginally fewer List A words compared to HD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=3.62,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=0.067,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=-0.745). Responses in the recognition phase were faster for CU </w:t>
      </w:r>
      <w:r w:rsidR="0023386A" w:rsidRPr="00D27CA2">
        <w:rPr>
          <w:rFonts w:ascii="Times New Roman" w:hAnsi="Times New Roman" w:cs="Times New Roman"/>
          <w:sz w:val="24"/>
          <w:szCs w:val="24"/>
        </w:rPr>
        <w:lastRenderedPageBreak/>
        <w:t>than HD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4.18,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0.050,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=0.829) across stimulus types, but there were no other significant effects.</w:t>
      </w:r>
    </w:p>
    <w:p w14:paraId="3C957CFC" w14:textId="00D3A063" w:rsidR="00610F05" w:rsidRPr="00D27CA2" w:rsidRDefault="00610F05" w:rsidP="002A3454">
      <w:pPr>
        <w:pStyle w:val="Heading2"/>
        <w:rPr>
          <w:rFonts w:cs="Times New Roman"/>
          <w:color w:val="auto"/>
          <w:szCs w:val="24"/>
        </w:rPr>
      </w:pPr>
      <w:r w:rsidRPr="00D27CA2">
        <w:rPr>
          <w:rFonts w:cs="Times New Roman"/>
          <w:color w:val="auto"/>
          <w:szCs w:val="24"/>
        </w:rPr>
        <w:t>Recall ERP components</w:t>
      </w:r>
    </w:p>
    <w:p w14:paraId="4DE8AD95" w14:textId="1B143BD3" w:rsidR="0023386A" w:rsidRPr="00D27CA2" w:rsidRDefault="00610F05" w:rsidP="0023386A">
      <w:pPr>
        <w:rPr>
          <w:rFonts w:ascii="Times New Roman" w:hAnsi="Times New Roman" w:cs="Times New Roman"/>
          <w:sz w:val="24"/>
          <w:szCs w:val="24"/>
        </w:rPr>
      </w:pPr>
      <w:r w:rsidRPr="00D27CA2">
        <w:rPr>
          <w:rFonts w:ascii="Times New Roman" w:hAnsi="Times New Roman" w:cs="Times New Roman"/>
          <w:sz w:val="24"/>
          <w:szCs w:val="24"/>
        </w:rPr>
        <w:t>The results of the topographic analyses of the P175 component are reported in the main text. For the second ANOVA, t</w:t>
      </w:r>
      <w:r w:rsidR="0023386A" w:rsidRPr="00D27CA2">
        <w:rPr>
          <w:rFonts w:ascii="Times New Roman" w:hAnsi="Times New Roman" w:cs="Times New Roman"/>
          <w:sz w:val="24"/>
          <w:szCs w:val="24"/>
        </w:rPr>
        <w:t xml:space="preserve">he average of sites F3, Fz, F4, FC3, FCz and FC4 was entered into the </w:t>
      </w:r>
      <w:r w:rsidRPr="00D27CA2">
        <w:rPr>
          <w:rFonts w:ascii="Times New Roman" w:hAnsi="Times New Roman" w:cs="Times New Roman"/>
          <w:sz w:val="24"/>
          <w:szCs w:val="24"/>
        </w:rPr>
        <w:t xml:space="preserve">Type × Group </w:t>
      </w:r>
      <w:r w:rsidR="0023386A" w:rsidRPr="00D27CA2">
        <w:rPr>
          <w:rFonts w:ascii="Times New Roman" w:hAnsi="Times New Roman" w:cs="Times New Roman"/>
          <w:sz w:val="24"/>
          <w:szCs w:val="24"/>
        </w:rPr>
        <w:t>ANOVA. The Type main effect remained significant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8.07,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0.008; all </w:t>
      </w:r>
      <w:r w:rsidR="0023386A" w:rsidRPr="00D27CA2">
        <w:rPr>
          <w:rFonts w:ascii="Times New Roman" w:hAnsi="Times New Roman" w:cs="Times New Roman"/>
          <w:i/>
          <w:sz w:val="24"/>
          <w:szCs w:val="24"/>
        </w:rPr>
        <w:t>df=</w:t>
      </w:r>
      <w:r w:rsidR="0023386A" w:rsidRPr="00D27CA2">
        <w:rPr>
          <w:rFonts w:ascii="Times New Roman" w:hAnsi="Times New Roman" w:cs="Times New Roman"/>
          <w:sz w:val="24"/>
          <w:szCs w:val="24"/>
        </w:rPr>
        <w:t>1,30</w:t>
      </w:r>
      <w:r w:rsidR="00720901" w:rsidRPr="00D27CA2">
        <w:rPr>
          <w:rFonts w:ascii="Times New Roman" w:hAnsi="Times New Roman" w:cs="Times New Roman"/>
          <w:sz w:val="24"/>
          <w:szCs w:val="24"/>
        </w:rPr>
        <w:t xml:space="preserve">, see Supplementary Figure </w:t>
      </w:r>
      <w:r w:rsidR="00382A20" w:rsidRPr="00D27CA2">
        <w:rPr>
          <w:rFonts w:ascii="Times New Roman" w:hAnsi="Times New Roman" w:cs="Times New Roman"/>
          <w:sz w:val="24"/>
          <w:szCs w:val="24"/>
        </w:rPr>
        <w:t>3</w:t>
      </w:r>
      <w:r w:rsidR="00720901" w:rsidRPr="00D27CA2">
        <w:rPr>
          <w:rFonts w:ascii="Times New Roman" w:hAnsi="Times New Roman" w:cs="Times New Roman"/>
          <w:sz w:val="24"/>
          <w:szCs w:val="24"/>
        </w:rPr>
        <w:t xml:space="preserve"> for topographic maps of activity</w:t>
      </w:r>
      <w:r w:rsidR="0023386A" w:rsidRPr="00D27CA2">
        <w:rPr>
          <w:rFonts w:ascii="Times New Roman" w:hAnsi="Times New Roman" w:cs="Times New Roman"/>
          <w:sz w:val="24"/>
          <w:szCs w:val="24"/>
        </w:rPr>
        <w:t xml:space="preserve">), but there were no significant effects of group (magnitude of Remembered &gt; Not Remembered effect difference between groups DNC vs. HD: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=0.37,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=0.550,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 xml:space="preserve">=0.242; HD vs. CU: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=0.62,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=0.435, </w:t>
      </w:r>
      <w:r w:rsidR="0023386A" w:rsidRPr="00D27CA2">
        <w:rPr>
          <w:rFonts w:ascii="Times New Roman" w:hAnsi="Times New Roman" w:cs="Times New Roman"/>
          <w:i/>
          <w:sz w:val="24"/>
          <w:szCs w:val="24"/>
        </w:rPr>
        <w:t>d</w:t>
      </w:r>
      <w:r w:rsidR="0023386A" w:rsidRPr="00D27CA2">
        <w:rPr>
          <w:rFonts w:ascii="Times New Roman" w:hAnsi="Times New Roman" w:cs="Times New Roman"/>
          <w:sz w:val="24"/>
          <w:szCs w:val="24"/>
        </w:rPr>
        <w:t>=0.366; see Table 1 for mean and SD for each condition and group).</w:t>
      </w:r>
    </w:p>
    <w:p w14:paraId="17CC067F" w14:textId="77777777" w:rsidR="00281075" w:rsidRPr="00D27CA2" w:rsidRDefault="00281075" w:rsidP="0023386A">
      <w:pPr>
        <w:rPr>
          <w:rFonts w:ascii="Times New Roman" w:hAnsi="Times New Roman" w:cs="Times New Roman"/>
          <w:sz w:val="24"/>
          <w:szCs w:val="24"/>
        </w:rPr>
      </w:pPr>
    </w:p>
    <w:p w14:paraId="3C3F99CD" w14:textId="77777777" w:rsidR="00281075" w:rsidRPr="00D27CA2" w:rsidRDefault="0049260E" w:rsidP="00720901">
      <w:pPr>
        <w:rPr>
          <w:rFonts w:ascii="Times New Roman" w:hAnsi="Times New Roman" w:cs="Times New Roman"/>
          <w:b/>
          <w:sz w:val="24"/>
          <w:szCs w:val="24"/>
        </w:rPr>
      </w:pPr>
      <w:r w:rsidRPr="00D27CA2">
        <w:rPr>
          <w:rFonts w:ascii="Times New Roman" w:hAnsi="Times New Roman" w:cs="Times New Roman"/>
          <w:b/>
          <w:noProof/>
          <w:sz w:val="24"/>
          <w:szCs w:val="24"/>
          <w:lang w:eastAsia="en-AU"/>
        </w:rPr>
        <w:drawing>
          <wp:inline distT="0" distB="0" distL="0" distR="0" wp14:anchorId="4A25E286" wp14:editId="2A700CB7">
            <wp:extent cx="5731510" cy="25615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adolescent headmaps recall.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561590"/>
                    </a:xfrm>
                    <a:prstGeom prst="rect">
                      <a:avLst/>
                    </a:prstGeom>
                  </pic:spPr>
                </pic:pic>
              </a:graphicData>
            </a:graphic>
          </wp:inline>
        </w:drawing>
      </w:r>
    </w:p>
    <w:p w14:paraId="4B8AFF4C" w14:textId="6EFC1DF1" w:rsidR="00720901" w:rsidRPr="00D27CA2" w:rsidRDefault="00720901" w:rsidP="00720901">
      <w:pPr>
        <w:rPr>
          <w:rFonts w:ascii="Times New Roman" w:hAnsi="Times New Roman" w:cs="Times New Roman"/>
          <w:sz w:val="24"/>
          <w:szCs w:val="24"/>
        </w:rPr>
      </w:pPr>
      <w:r w:rsidRPr="00D27CA2">
        <w:rPr>
          <w:rFonts w:ascii="Times New Roman" w:hAnsi="Times New Roman" w:cs="Times New Roman"/>
          <w:b/>
          <w:sz w:val="24"/>
          <w:szCs w:val="24"/>
        </w:rPr>
        <w:t xml:space="preserve">Supplementary Figure </w:t>
      </w:r>
      <w:r w:rsidR="00382A20" w:rsidRPr="00D27CA2">
        <w:rPr>
          <w:rFonts w:ascii="Times New Roman" w:hAnsi="Times New Roman" w:cs="Times New Roman"/>
          <w:b/>
          <w:sz w:val="24"/>
          <w:szCs w:val="24"/>
        </w:rPr>
        <w:t>3</w:t>
      </w:r>
      <w:r w:rsidRPr="00D27CA2">
        <w:rPr>
          <w:rFonts w:ascii="Times New Roman" w:hAnsi="Times New Roman" w:cs="Times New Roman"/>
          <w:b/>
          <w:sz w:val="24"/>
          <w:szCs w:val="24"/>
        </w:rPr>
        <w:t xml:space="preserve">. </w:t>
      </w:r>
      <w:r w:rsidRPr="00D27CA2">
        <w:rPr>
          <w:rFonts w:ascii="Times New Roman" w:hAnsi="Times New Roman" w:cs="Times New Roman"/>
          <w:sz w:val="24"/>
          <w:szCs w:val="24"/>
        </w:rPr>
        <w:t>Topographic plots of activity across sites, groups and conditions for P175</w:t>
      </w:r>
      <w:r w:rsidR="008F6770" w:rsidRPr="00D27CA2">
        <w:rPr>
          <w:rFonts w:ascii="Times New Roman" w:hAnsi="Times New Roman" w:cs="Times New Roman"/>
          <w:sz w:val="24"/>
          <w:szCs w:val="24"/>
        </w:rPr>
        <w:t>,</w:t>
      </w:r>
      <w:r w:rsidRPr="00D27CA2">
        <w:rPr>
          <w:rFonts w:ascii="Times New Roman" w:hAnsi="Times New Roman" w:cs="Times New Roman"/>
          <w:sz w:val="24"/>
          <w:szCs w:val="24"/>
        </w:rPr>
        <w:t xml:space="preserve"> P210, P260, N440 and P630 components in the Recall phase for adolescent males (Study 1). </w:t>
      </w:r>
    </w:p>
    <w:p w14:paraId="5C2E455E" w14:textId="77777777" w:rsidR="00281075" w:rsidRPr="00D27CA2" w:rsidRDefault="00281075" w:rsidP="008F6770">
      <w:pPr>
        <w:rPr>
          <w:rFonts w:ascii="Times New Roman" w:hAnsi="Times New Roman" w:cs="Times New Roman"/>
          <w:sz w:val="24"/>
          <w:szCs w:val="24"/>
        </w:rPr>
      </w:pPr>
    </w:p>
    <w:p w14:paraId="2D717E70" w14:textId="613539AE" w:rsidR="00842E2B" w:rsidRPr="00D27CA2" w:rsidRDefault="00842E2B" w:rsidP="008F6770">
      <w:pPr>
        <w:rPr>
          <w:rFonts w:ascii="Times New Roman" w:hAnsi="Times New Roman" w:cs="Times New Roman"/>
          <w:sz w:val="24"/>
          <w:szCs w:val="24"/>
        </w:rPr>
      </w:pPr>
      <w:r w:rsidRPr="00D27CA2">
        <w:rPr>
          <w:rFonts w:ascii="Times New Roman" w:hAnsi="Times New Roman" w:cs="Times New Roman"/>
          <w:sz w:val="24"/>
          <w:szCs w:val="24"/>
        </w:rPr>
        <w:t>For the P210, a Type × Lateral × Sagittal interaction was marginally significant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3.37, </w:t>
      </w:r>
      <w:r w:rsidRPr="00D27CA2">
        <w:rPr>
          <w:rFonts w:ascii="Times New Roman" w:hAnsi="Times New Roman" w:cs="Times New Roman"/>
          <w:i/>
          <w:sz w:val="24"/>
          <w:szCs w:val="24"/>
        </w:rPr>
        <w:t>p=</w:t>
      </w:r>
      <w:r w:rsidRPr="00D27CA2">
        <w:rPr>
          <w:rFonts w:ascii="Times New Roman" w:hAnsi="Times New Roman" w:cs="Times New Roman"/>
          <w:sz w:val="24"/>
          <w:szCs w:val="24"/>
        </w:rPr>
        <w:t>0.076;), such that Not Remembered words were associated with a small midline &lt; hemispheres effect at central sites, with equal amplitude at frontal/parietal sites, and Remembered words showed equal amplitude at central sites, with a small midline &lt; hemispheres effect at frontal/parietal sites. No other effects approached significance.</w:t>
      </w:r>
      <w:r w:rsidR="008F6770" w:rsidRPr="00D27CA2">
        <w:rPr>
          <w:rFonts w:ascii="Times New Roman" w:hAnsi="Times New Roman" w:cs="Times New Roman"/>
          <w:sz w:val="24"/>
          <w:szCs w:val="24"/>
        </w:rPr>
        <w:t xml:space="preserve"> </w:t>
      </w:r>
      <w:r w:rsidRPr="00D27CA2">
        <w:rPr>
          <w:rFonts w:ascii="Times New Roman" w:hAnsi="Times New Roman" w:cs="Times New Roman"/>
          <w:sz w:val="24"/>
          <w:szCs w:val="24"/>
        </w:rPr>
        <w:t>The average of sites F3, Fz, F4, FC3, FCz and FC4 were entered into the second MANOVA. The only effect approaching significance was a Group × Type interaction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3.27, </w:t>
      </w:r>
      <w:r w:rsidRPr="00D27CA2">
        <w:rPr>
          <w:rFonts w:ascii="Times New Roman" w:hAnsi="Times New Roman" w:cs="Times New Roman"/>
          <w:i/>
          <w:sz w:val="24"/>
          <w:szCs w:val="24"/>
        </w:rPr>
        <w:t>p=</w:t>
      </w:r>
      <w:r w:rsidRPr="00D27CA2">
        <w:rPr>
          <w:rFonts w:ascii="Times New Roman" w:hAnsi="Times New Roman" w:cs="Times New Roman"/>
          <w:sz w:val="24"/>
          <w:szCs w:val="24"/>
        </w:rPr>
        <w:t xml:space="preserve">0.081), such that HD and </w:t>
      </w:r>
      <w:r w:rsidR="003D4FA6" w:rsidRPr="00D27CA2">
        <w:rPr>
          <w:rFonts w:ascii="Times New Roman" w:hAnsi="Times New Roman" w:cs="Times New Roman"/>
          <w:sz w:val="24"/>
          <w:szCs w:val="24"/>
        </w:rPr>
        <w:t>DNC</w:t>
      </w:r>
      <w:r w:rsidRPr="00D27CA2">
        <w:rPr>
          <w:rFonts w:ascii="Times New Roman" w:hAnsi="Times New Roman" w:cs="Times New Roman"/>
          <w:sz w:val="24"/>
          <w:szCs w:val="24"/>
        </w:rPr>
        <w:t xml:space="preserve"> showed similar amplitude for Remembered words, but HD showed a reduction </w:t>
      </w:r>
      <w:r w:rsidR="003D4FA6" w:rsidRPr="00D27CA2">
        <w:rPr>
          <w:rFonts w:ascii="Times New Roman" w:hAnsi="Times New Roman" w:cs="Times New Roman"/>
          <w:sz w:val="24"/>
          <w:szCs w:val="24"/>
        </w:rPr>
        <w:t>for Not Remembered words while DN</w:t>
      </w:r>
      <w:r w:rsidRPr="00D27CA2">
        <w:rPr>
          <w:rFonts w:ascii="Times New Roman" w:hAnsi="Times New Roman" w:cs="Times New Roman"/>
          <w:sz w:val="24"/>
          <w:szCs w:val="24"/>
        </w:rPr>
        <w:t>C showed an increase.</w:t>
      </w:r>
    </w:p>
    <w:p w14:paraId="5294B16D" w14:textId="5C64D3A1" w:rsidR="00842E2B" w:rsidRPr="00D27CA2" w:rsidRDefault="00842E2B" w:rsidP="008F6770">
      <w:pPr>
        <w:rPr>
          <w:rFonts w:ascii="Times New Roman" w:hAnsi="Times New Roman" w:cs="Times New Roman"/>
          <w:sz w:val="24"/>
          <w:szCs w:val="24"/>
        </w:rPr>
      </w:pPr>
      <w:r w:rsidRPr="00D27CA2">
        <w:rPr>
          <w:rFonts w:ascii="Times New Roman" w:hAnsi="Times New Roman" w:cs="Times New Roman"/>
          <w:sz w:val="24"/>
          <w:szCs w:val="24"/>
        </w:rPr>
        <w:t>The P260 was marginally larger at parietal than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3.24, </w:t>
      </w:r>
      <w:r w:rsidRPr="00D27CA2">
        <w:rPr>
          <w:rFonts w:ascii="Times New Roman" w:hAnsi="Times New Roman" w:cs="Times New Roman"/>
          <w:i/>
          <w:sz w:val="24"/>
          <w:szCs w:val="24"/>
        </w:rPr>
        <w:t>p=</w:t>
      </w:r>
      <w:r w:rsidRPr="00D27CA2">
        <w:rPr>
          <w:rFonts w:ascii="Times New Roman" w:hAnsi="Times New Roman" w:cs="Times New Roman"/>
          <w:sz w:val="24"/>
          <w:szCs w:val="24"/>
        </w:rPr>
        <w:t>0.081), and was larger in the hemispheres compared to the midline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26.42, </w:t>
      </w:r>
      <w:r w:rsidRPr="00D27CA2">
        <w:rPr>
          <w:rFonts w:ascii="Times New Roman" w:hAnsi="Times New Roman" w:cs="Times New Roman"/>
          <w:i/>
          <w:sz w:val="24"/>
          <w:szCs w:val="24"/>
        </w:rPr>
        <w:t>p&lt;</w:t>
      </w:r>
      <w:r w:rsidRPr="00D27CA2">
        <w:rPr>
          <w:rFonts w:ascii="Times New Roman" w:hAnsi="Times New Roman" w:cs="Times New Roman"/>
          <w:sz w:val="24"/>
          <w:szCs w:val="24"/>
        </w:rPr>
        <w:t xml:space="preserve">0.001). </w:t>
      </w:r>
      <w:r w:rsidR="008F6770" w:rsidRPr="00D27CA2">
        <w:rPr>
          <w:rFonts w:ascii="Times New Roman" w:hAnsi="Times New Roman" w:cs="Times New Roman"/>
          <w:sz w:val="24"/>
          <w:szCs w:val="24"/>
        </w:rPr>
        <w:t>T</w:t>
      </w:r>
      <w:r w:rsidRPr="00D27CA2">
        <w:rPr>
          <w:rFonts w:ascii="Times New Roman" w:hAnsi="Times New Roman" w:cs="Times New Roman"/>
          <w:sz w:val="24"/>
          <w:szCs w:val="24"/>
        </w:rPr>
        <w:t xml:space="preserve">he average of sites </w:t>
      </w:r>
      <w:r w:rsidRPr="00D27CA2">
        <w:rPr>
          <w:rFonts w:ascii="Times New Roman" w:hAnsi="Times New Roman" w:cs="Times New Roman"/>
          <w:sz w:val="24"/>
          <w:szCs w:val="24"/>
        </w:rPr>
        <w:lastRenderedPageBreak/>
        <w:t>CP3, CP4, P3 and P4 was entered into the second MANOVA. A Group × Type interaction was significant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4.25, </w:t>
      </w:r>
      <w:r w:rsidRPr="00D27CA2">
        <w:rPr>
          <w:rFonts w:ascii="Times New Roman" w:hAnsi="Times New Roman" w:cs="Times New Roman"/>
          <w:i/>
          <w:sz w:val="24"/>
          <w:szCs w:val="24"/>
        </w:rPr>
        <w:t>p=</w:t>
      </w:r>
      <w:r w:rsidRPr="00D27CA2">
        <w:rPr>
          <w:rFonts w:ascii="Times New Roman" w:hAnsi="Times New Roman" w:cs="Times New Roman"/>
          <w:sz w:val="24"/>
          <w:szCs w:val="24"/>
        </w:rPr>
        <w:t>0.</w:t>
      </w:r>
      <w:r w:rsidR="003D4FA6" w:rsidRPr="00D27CA2">
        <w:rPr>
          <w:rFonts w:ascii="Times New Roman" w:hAnsi="Times New Roman" w:cs="Times New Roman"/>
          <w:sz w:val="24"/>
          <w:szCs w:val="24"/>
        </w:rPr>
        <w:t>048), such that DNC</w:t>
      </w:r>
      <w:r w:rsidRPr="00D27CA2">
        <w:rPr>
          <w:rFonts w:ascii="Times New Roman" w:hAnsi="Times New Roman" w:cs="Times New Roman"/>
          <w:sz w:val="24"/>
          <w:szCs w:val="24"/>
        </w:rPr>
        <w:t xml:space="preserve"> and HD showed similar amplitudes to Not Remembered words</w:t>
      </w:r>
      <w:r w:rsidR="003D4FA6" w:rsidRPr="00D27CA2">
        <w:rPr>
          <w:rFonts w:ascii="Times New Roman" w:hAnsi="Times New Roman" w:cs="Times New Roman"/>
          <w:sz w:val="24"/>
          <w:szCs w:val="24"/>
        </w:rPr>
        <w:t>, while for Remembered words, DNC</w:t>
      </w:r>
      <w:r w:rsidRPr="00D27CA2">
        <w:rPr>
          <w:rFonts w:ascii="Times New Roman" w:hAnsi="Times New Roman" w:cs="Times New Roman"/>
          <w:sz w:val="24"/>
          <w:szCs w:val="24"/>
        </w:rPr>
        <w:t xml:space="preserve"> showed a slight increase in amplitude, while HD showed a marked decrease. No other interactions were significant.</w:t>
      </w:r>
    </w:p>
    <w:p w14:paraId="4DAFD8D4" w14:textId="0D945D8A" w:rsidR="00842E2B" w:rsidRPr="00D27CA2" w:rsidRDefault="00842E2B" w:rsidP="008F6770">
      <w:pPr>
        <w:rPr>
          <w:rFonts w:ascii="Times New Roman" w:hAnsi="Times New Roman" w:cs="Times New Roman"/>
          <w:sz w:val="24"/>
          <w:szCs w:val="24"/>
          <w:u w:val="single"/>
        </w:rPr>
      </w:pPr>
      <w:r w:rsidRPr="00D27CA2">
        <w:rPr>
          <w:rFonts w:ascii="Times New Roman" w:hAnsi="Times New Roman" w:cs="Times New Roman"/>
          <w:sz w:val="24"/>
          <w:szCs w:val="24"/>
        </w:rPr>
        <w:t>The N440 was more negative at frontal than 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66.95,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more negative centrally than at frontal/parietal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19.89, </w:t>
      </w:r>
      <w:r w:rsidRPr="00D27CA2">
        <w:rPr>
          <w:rFonts w:ascii="Times New Roman" w:hAnsi="Times New Roman" w:cs="Times New Roman"/>
          <w:i/>
          <w:sz w:val="24"/>
          <w:szCs w:val="24"/>
        </w:rPr>
        <w:t>p&lt;</w:t>
      </w:r>
      <w:r w:rsidRPr="00D27CA2">
        <w:rPr>
          <w:rFonts w:ascii="Times New Roman" w:hAnsi="Times New Roman" w:cs="Times New Roman"/>
          <w:sz w:val="24"/>
          <w:szCs w:val="24"/>
        </w:rPr>
        <w:t>0.001; see Supplementary Figure 2 for plots of topographic activity across trial types and groups for the N440 and P630). Amplitudes were more negative in the midline than hemispheres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41.26, </w:t>
      </w:r>
      <w:r w:rsidRPr="00D27CA2">
        <w:rPr>
          <w:rFonts w:ascii="Times New Roman" w:hAnsi="Times New Roman" w:cs="Times New Roman"/>
          <w:i/>
          <w:sz w:val="24"/>
          <w:szCs w:val="24"/>
        </w:rPr>
        <w:t>p&lt;</w:t>
      </w:r>
      <w:r w:rsidRPr="00D27CA2">
        <w:rPr>
          <w:rFonts w:ascii="Times New Roman" w:hAnsi="Times New Roman" w:cs="Times New Roman"/>
          <w:sz w:val="24"/>
          <w:szCs w:val="24"/>
        </w:rPr>
        <w:t>0.001). Increased negativity on the right compared to left was greater at parietal than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4.53, </w:t>
      </w:r>
      <w:r w:rsidRPr="00D27CA2">
        <w:rPr>
          <w:rFonts w:ascii="Times New Roman" w:hAnsi="Times New Roman" w:cs="Times New Roman"/>
          <w:i/>
          <w:sz w:val="24"/>
          <w:szCs w:val="24"/>
        </w:rPr>
        <w:t>p=</w:t>
      </w:r>
      <w:r w:rsidRPr="00D27CA2">
        <w:rPr>
          <w:rFonts w:ascii="Times New Roman" w:hAnsi="Times New Roman" w:cs="Times New Roman"/>
          <w:sz w:val="24"/>
          <w:szCs w:val="24"/>
        </w:rPr>
        <w:t>0.041), and the midline &gt; hemispheres effect was somewhat greater at parietal than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3.31, </w:t>
      </w:r>
      <w:r w:rsidRPr="00D27CA2">
        <w:rPr>
          <w:rFonts w:ascii="Times New Roman" w:hAnsi="Times New Roman" w:cs="Times New Roman"/>
          <w:i/>
          <w:sz w:val="24"/>
          <w:szCs w:val="24"/>
        </w:rPr>
        <w:t>p=</w:t>
      </w:r>
      <w:r w:rsidRPr="00D27CA2">
        <w:rPr>
          <w:rFonts w:ascii="Times New Roman" w:hAnsi="Times New Roman" w:cs="Times New Roman"/>
          <w:sz w:val="24"/>
          <w:szCs w:val="24"/>
        </w:rPr>
        <w:t>0.078), and much larger at central than frontal/parietal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4.90, </w:t>
      </w:r>
      <w:r w:rsidRPr="00D27CA2">
        <w:rPr>
          <w:rFonts w:ascii="Times New Roman" w:hAnsi="Times New Roman" w:cs="Times New Roman"/>
          <w:i/>
          <w:sz w:val="24"/>
          <w:szCs w:val="24"/>
        </w:rPr>
        <w:t>p=</w:t>
      </w:r>
      <w:r w:rsidRPr="00D27CA2">
        <w:rPr>
          <w:rFonts w:ascii="Times New Roman" w:hAnsi="Times New Roman" w:cs="Times New Roman"/>
          <w:sz w:val="24"/>
          <w:szCs w:val="24"/>
        </w:rPr>
        <w:t>0.034). The N440 was more negative for Not Remembered than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8.89, </w:t>
      </w:r>
      <w:r w:rsidRPr="00D27CA2">
        <w:rPr>
          <w:rFonts w:ascii="Times New Roman" w:hAnsi="Times New Roman" w:cs="Times New Roman"/>
          <w:i/>
          <w:sz w:val="24"/>
          <w:szCs w:val="24"/>
        </w:rPr>
        <w:t>p=</w:t>
      </w:r>
      <w:r w:rsidRPr="00D27CA2">
        <w:rPr>
          <w:rFonts w:ascii="Times New Roman" w:hAnsi="Times New Roman" w:cs="Times New Roman"/>
          <w:sz w:val="24"/>
          <w:szCs w:val="24"/>
        </w:rPr>
        <w:t>0.005). The frontal &gt; parietal gradient was marginally greater for Remembered than Not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3.57, </w:t>
      </w:r>
      <w:r w:rsidRPr="00D27CA2">
        <w:rPr>
          <w:rFonts w:ascii="Times New Roman" w:hAnsi="Times New Roman" w:cs="Times New Roman"/>
          <w:i/>
          <w:sz w:val="24"/>
          <w:szCs w:val="24"/>
        </w:rPr>
        <w:t>p=</w:t>
      </w:r>
      <w:r w:rsidRPr="00D27CA2">
        <w:rPr>
          <w:rFonts w:ascii="Times New Roman" w:hAnsi="Times New Roman" w:cs="Times New Roman"/>
          <w:sz w:val="24"/>
          <w:szCs w:val="24"/>
        </w:rPr>
        <w:t>0.068), while the central &gt; frontal/parietal effect was greater for Not Remembered than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4.43, </w:t>
      </w:r>
      <w:r w:rsidRPr="00D27CA2">
        <w:rPr>
          <w:rFonts w:ascii="Times New Roman" w:hAnsi="Times New Roman" w:cs="Times New Roman"/>
          <w:i/>
          <w:sz w:val="24"/>
          <w:szCs w:val="24"/>
        </w:rPr>
        <w:t>p=</w:t>
      </w:r>
      <w:r w:rsidRPr="00D27CA2">
        <w:rPr>
          <w:rFonts w:ascii="Times New Roman" w:hAnsi="Times New Roman" w:cs="Times New Roman"/>
          <w:sz w:val="24"/>
          <w:szCs w:val="24"/>
        </w:rPr>
        <w:t>0.043). For Not Remembered words, the midline &gt; hemispheres effect was greater at parietal than frontal sites, while for Remembered words, the effect was of similar amplitude parietally and frontally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5.93, </w:t>
      </w:r>
      <w:r w:rsidRPr="00D27CA2">
        <w:rPr>
          <w:rFonts w:ascii="Times New Roman" w:hAnsi="Times New Roman" w:cs="Times New Roman"/>
          <w:i/>
          <w:sz w:val="24"/>
          <w:szCs w:val="24"/>
        </w:rPr>
        <w:t>p=</w:t>
      </w:r>
      <w:r w:rsidRPr="00D27CA2">
        <w:rPr>
          <w:rFonts w:ascii="Times New Roman" w:hAnsi="Times New Roman" w:cs="Times New Roman"/>
          <w:sz w:val="24"/>
          <w:szCs w:val="24"/>
        </w:rPr>
        <w:t>0.021).</w:t>
      </w:r>
      <w:r w:rsidR="008F6770" w:rsidRPr="00D27CA2">
        <w:rPr>
          <w:rFonts w:ascii="Times New Roman" w:hAnsi="Times New Roman" w:cs="Times New Roman"/>
          <w:sz w:val="24"/>
          <w:szCs w:val="24"/>
        </w:rPr>
        <w:t xml:space="preserve"> </w:t>
      </w:r>
      <w:r w:rsidRPr="00D27CA2">
        <w:rPr>
          <w:rFonts w:ascii="Times New Roman" w:hAnsi="Times New Roman" w:cs="Times New Roman"/>
          <w:sz w:val="24"/>
          <w:szCs w:val="24"/>
        </w:rPr>
        <w:t>The average of sites F3, Fz, F4, FC3, FCz and FC4 was entered into the second MANOVA. The Type main effect was marginally significant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2.99, </w:t>
      </w:r>
      <w:r w:rsidRPr="00D27CA2">
        <w:rPr>
          <w:rFonts w:ascii="Times New Roman" w:hAnsi="Times New Roman" w:cs="Times New Roman"/>
          <w:i/>
          <w:sz w:val="24"/>
          <w:szCs w:val="24"/>
        </w:rPr>
        <w:t>p=</w:t>
      </w:r>
      <w:r w:rsidRPr="00D27CA2">
        <w:rPr>
          <w:rFonts w:ascii="Times New Roman" w:hAnsi="Times New Roman" w:cs="Times New Roman"/>
          <w:sz w:val="24"/>
          <w:szCs w:val="24"/>
        </w:rPr>
        <w:t>0.094), and Group × Type interactions were significant: the HD group showed a much larger N440 to Not Remembered than Re</w:t>
      </w:r>
      <w:r w:rsidR="003D4FA6" w:rsidRPr="00D27CA2">
        <w:rPr>
          <w:rFonts w:ascii="Times New Roman" w:hAnsi="Times New Roman" w:cs="Times New Roman"/>
          <w:sz w:val="24"/>
          <w:szCs w:val="24"/>
        </w:rPr>
        <w:t>membered words, in contrast to DN</w:t>
      </w:r>
      <w:r w:rsidRPr="00D27CA2">
        <w:rPr>
          <w:rFonts w:ascii="Times New Roman" w:hAnsi="Times New Roman" w:cs="Times New Roman"/>
          <w:sz w:val="24"/>
          <w:szCs w:val="24"/>
        </w:rPr>
        <w:t>C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4.38, </w:t>
      </w:r>
      <w:r w:rsidRPr="00D27CA2">
        <w:rPr>
          <w:rFonts w:ascii="Times New Roman" w:hAnsi="Times New Roman" w:cs="Times New Roman"/>
          <w:i/>
          <w:sz w:val="24"/>
          <w:szCs w:val="24"/>
        </w:rPr>
        <w:t>p=</w:t>
      </w:r>
      <w:r w:rsidRPr="00D27CA2">
        <w:rPr>
          <w:rFonts w:ascii="Times New Roman" w:hAnsi="Times New Roman" w:cs="Times New Roman"/>
          <w:sz w:val="24"/>
          <w:szCs w:val="24"/>
        </w:rPr>
        <w:t>0.045) and CU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3.98, </w:t>
      </w:r>
      <w:r w:rsidRPr="00D27CA2">
        <w:rPr>
          <w:rFonts w:ascii="Times New Roman" w:hAnsi="Times New Roman" w:cs="Times New Roman"/>
          <w:i/>
          <w:sz w:val="24"/>
          <w:szCs w:val="24"/>
        </w:rPr>
        <w:t>p=</w:t>
      </w:r>
      <w:r w:rsidRPr="00D27CA2">
        <w:rPr>
          <w:rFonts w:ascii="Times New Roman" w:hAnsi="Times New Roman" w:cs="Times New Roman"/>
          <w:sz w:val="24"/>
          <w:szCs w:val="24"/>
        </w:rPr>
        <w:t>0.055), which both showed similar amplitudes to Remembered and Not Remembered words.</w:t>
      </w:r>
    </w:p>
    <w:p w14:paraId="36B6727D" w14:textId="7B615513" w:rsidR="00842E2B" w:rsidRPr="00D27CA2" w:rsidRDefault="00842E2B">
      <w:pPr>
        <w:rPr>
          <w:rFonts w:ascii="Times New Roman" w:hAnsi="Times New Roman" w:cs="Times New Roman"/>
          <w:sz w:val="24"/>
          <w:szCs w:val="24"/>
        </w:rPr>
      </w:pPr>
      <w:r w:rsidRPr="00D27CA2">
        <w:rPr>
          <w:rFonts w:ascii="Times New Roman" w:hAnsi="Times New Roman" w:cs="Times New Roman"/>
          <w:sz w:val="24"/>
          <w:szCs w:val="24"/>
        </w:rPr>
        <w:t>The P630 was more positive parietally than frontally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38.67,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at central compared to frontal/parietal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52.17, </w:t>
      </w:r>
      <w:r w:rsidRPr="00D27CA2">
        <w:rPr>
          <w:rFonts w:ascii="Times New Roman" w:hAnsi="Times New Roman" w:cs="Times New Roman"/>
          <w:i/>
          <w:sz w:val="24"/>
          <w:szCs w:val="24"/>
        </w:rPr>
        <w:t>p&lt;</w:t>
      </w:r>
      <w:r w:rsidRPr="00D27CA2">
        <w:rPr>
          <w:rFonts w:ascii="Times New Roman" w:hAnsi="Times New Roman" w:cs="Times New Roman"/>
          <w:sz w:val="24"/>
          <w:szCs w:val="24"/>
        </w:rPr>
        <w:t>0.001). P630 was larger at right than left hemisphere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5.50, </w:t>
      </w:r>
      <w:r w:rsidRPr="00D27CA2">
        <w:rPr>
          <w:rFonts w:ascii="Times New Roman" w:hAnsi="Times New Roman" w:cs="Times New Roman"/>
          <w:i/>
          <w:sz w:val="24"/>
          <w:szCs w:val="24"/>
        </w:rPr>
        <w:t>p=</w:t>
      </w:r>
      <w:r w:rsidRPr="00D27CA2">
        <w:rPr>
          <w:rFonts w:ascii="Times New Roman" w:hAnsi="Times New Roman" w:cs="Times New Roman"/>
          <w:sz w:val="24"/>
          <w:szCs w:val="24"/>
        </w:rPr>
        <w:t>0.025), and larger still in the midline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21.77, </w:t>
      </w:r>
      <w:r w:rsidRPr="00D27CA2">
        <w:rPr>
          <w:rFonts w:ascii="Times New Roman" w:hAnsi="Times New Roman" w:cs="Times New Roman"/>
          <w:i/>
          <w:sz w:val="24"/>
          <w:szCs w:val="24"/>
        </w:rPr>
        <w:t>p&lt;</w:t>
      </w:r>
      <w:r w:rsidRPr="00D27CA2">
        <w:rPr>
          <w:rFonts w:ascii="Times New Roman" w:hAnsi="Times New Roman" w:cs="Times New Roman"/>
          <w:sz w:val="24"/>
          <w:szCs w:val="24"/>
        </w:rPr>
        <w:t>0.001). The right &gt; left effect was marginally greater at parietal than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3.37, </w:t>
      </w:r>
      <w:r w:rsidRPr="00D27CA2">
        <w:rPr>
          <w:rFonts w:ascii="Times New Roman" w:hAnsi="Times New Roman" w:cs="Times New Roman"/>
          <w:i/>
          <w:sz w:val="24"/>
          <w:szCs w:val="24"/>
        </w:rPr>
        <w:t>p=</w:t>
      </w:r>
      <w:r w:rsidRPr="00D27CA2">
        <w:rPr>
          <w:rFonts w:ascii="Times New Roman" w:hAnsi="Times New Roman" w:cs="Times New Roman"/>
          <w:sz w:val="24"/>
          <w:szCs w:val="24"/>
        </w:rPr>
        <w:t>0.076). The midline &gt; hemispheres effect was greater at parietal than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37.74,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at central compared to frontal/parietal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4.81, </w:t>
      </w:r>
      <w:r w:rsidRPr="00D27CA2">
        <w:rPr>
          <w:rFonts w:ascii="Times New Roman" w:hAnsi="Times New Roman" w:cs="Times New Roman"/>
          <w:i/>
          <w:sz w:val="24"/>
          <w:szCs w:val="24"/>
        </w:rPr>
        <w:t>p=</w:t>
      </w:r>
      <w:r w:rsidRPr="00D27CA2">
        <w:rPr>
          <w:rFonts w:ascii="Times New Roman" w:hAnsi="Times New Roman" w:cs="Times New Roman"/>
          <w:sz w:val="24"/>
          <w:szCs w:val="24"/>
        </w:rPr>
        <w:t>0.036). The central &gt; frontal/parietal effect was greater for Remembered than Not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6.37, </w:t>
      </w:r>
      <w:r w:rsidRPr="00D27CA2">
        <w:rPr>
          <w:rFonts w:ascii="Times New Roman" w:hAnsi="Times New Roman" w:cs="Times New Roman"/>
          <w:i/>
          <w:sz w:val="24"/>
          <w:szCs w:val="24"/>
        </w:rPr>
        <w:t>p=</w:t>
      </w:r>
      <w:r w:rsidRPr="00D27CA2">
        <w:rPr>
          <w:rFonts w:ascii="Times New Roman" w:hAnsi="Times New Roman" w:cs="Times New Roman"/>
          <w:sz w:val="24"/>
          <w:szCs w:val="24"/>
        </w:rPr>
        <w:t>0.017), as was the parietal &gt; frontal × right &gt; left effect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3.55, </w:t>
      </w:r>
      <w:r w:rsidRPr="00D27CA2">
        <w:rPr>
          <w:rFonts w:ascii="Times New Roman" w:hAnsi="Times New Roman" w:cs="Times New Roman"/>
          <w:i/>
          <w:sz w:val="24"/>
          <w:szCs w:val="24"/>
        </w:rPr>
        <w:t>p=</w:t>
      </w:r>
      <w:r w:rsidRPr="00D27CA2">
        <w:rPr>
          <w:rFonts w:ascii="Times New Roman" w:hAnsi="Times New Roman" w:cs="Times New Roman"/>
          <w:sz w:val="24"/>
          <w:szCs w:val="24"/>
        </w:rPr>
        <w:t xml:space="preserve">0.069). The average of sites Cz, CPz, CP4 and Pz was entered into the second MANOVA. Only a group main effect was of marginal significance: P630 tended to be larger in HD than </w:t>
      </w:r>
      <w:r w:rsidR="003D4FA6" w:rsidRPr="00D27CA2">
        <w:rPr>
          <w:rFonts w:ascii="Times New Roman" w:hAnsi="Times New Roman" w:cs="Times New Roman"/>
          <w:sz w:val="24"/>
          <w:szCs w:val="24"/>
        </w:rPr>
        <w:t>DN</w:t>
      </w:r>
      <w:r w:rsidRPr="00D27CA2">
        <w:rPr>
          <w:rFonts w:ascii="Times New Roman" w:hAnsi="Times New Roman" w:cs="Times New Roman"/>
          <w:sz w:val="24"/>
          <w:szCs w:val="24"/>
        </w:rPr>
        <w:t>C overall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2.92, </w:t>
      </w:r>
      <w:r w:rsidRPr="00D27CA2">
        <w:rPr>
          <w:rFonts w:ascii="Times New Roman" w:hAnsi="Times New Roman" w:cs="Times New Roman"/>
          <w:i/>
          <w:sz w:val="24"/>
          <w:szCs w:val="24"/>
        </w:rPr>
        <w:t>p=</w:t>
      </w:r>
      <w:r w:rsidRPr="00D27CA2">
        <w:rPr>
          <w:rFonts w:ascii="Times New Roman" w:hAnsi="Times New Roman" w:cs="Times New Roman"/>
          <w:sz w:val="24"/>
          <w:szCs w:val="24"/>
        </w:rPr>
        <w:t>0.098).</w:t>
      </w:r>
    </w:p>
    <w:p w14:paraId="1052EC4C" w14:textId="1B12E679" w:rsidR="0023386A" w:rsidRPr="00D27CA2" w:rsidRDefault="0023386A" w:rsidP="00D606D1">
      <w:pPr>
        <w:pStyle w:val="Heading2"/>
        <w:rPr>
          <w:rFonts w:cs="Times New Roman"/>
          <w:color w:val="auto"/>
          <w:szCs w:val="24"/>
        </w:rPr>
      </w:pPr>
      <w:r w:rsidRPr="00D27CA2">
        <w:rPr>
          <w:rFonts w:cs="Times New Roman"/>
          <w:color w:val="auto"/>
          <w:szCs w:val="24"/>
        </w:rPr>
        <w:t>Recognition</w:t>
      </w:r>
      <w:r w:rsidR="008F6770" w:rsidRPr="00D27CA2">
        <w:rPr>
          <w:rFonts w:cs="Times New Roman"/>
          <w:color w:val="auto"/>
          <w:szCs w:val="24"/>
        </w:rPr>
        <w:t xml:space="preserve"> ERP components</w:t>
      </w:r>
    </w:p>
    <w:p w14:paraId="583FCCA4" w14:textId="45D79E92" w:rsidR="0023386A" w:rsidRPr="00D27CA2" w:rsidRDefault="008F6770" w:rsidP="0023386A">
      <w:pPr>
        <w:rPr>
          <w:rFonts w:ascii="Times New Roman" w:hAnsi="Times New Roman" w:cs="Times New Roman"/>
          <w:sz w:val="24"/>
          <w:szCs w:val="24"/>
        </w:rPr>
      </w:pPr>
      <w:r w:rsidRPr="00D27CA2">
        <w:rPr>
          <w:rFonts w:ascii="Times New Roman" w:hAnsi="Times New Roman" w:cs="Times New Roman"/>
          <w:sz w:val="24"/>
          <w:szCs w:val="24"/>
        </w:rPr>
        <w:t>For both the Recognition N415 and Recognition P640 components, topographic results are presented in the main text; topographic maps for each group are displ</w:t>
      </w:r>
      <w:r w:rsidR="00382A20" w:rsidRPr="00D27CA2">
        <w:rPr>
          <w:rFonts w:ascii="Times New Roman" w:hAnsi="Times New Roman" w:cs="Times New Roman"/>
          <w:sz w:val="24"/>
          <w:szCs w:val="24"/>
        </w:rPr>
        <w:t>ayed in Supplementary Figure 4</w:t>
      </w:r>
      <w:r w:rsidRPr="00D27CA2">
        <w:rPr>
          <w:rFonts w:ascii="Times New Roman" w:hAnsi="Times New Roman" w:cs="Times New Roman"/>
          <w:sz w:val="24"/>
          <w:szCs w:val="24"/>
        </w:rPr>
        <w:t>. For N415, t</w:t>
      </w:r>
      <w:r w:rsidR="0023386A" w:rsidRPr="00D27CA2">
        <w:rPr>
          <w:rFonts w:ascii="Times New Roman" w:hAnsi="Times New Roman" w:cs="Times New Roman"/>
          <w:sz w:val="24"/>
          <w:szCs w:val="24"/>
        </w:rPr>
        <w:t>he average of sites Cz and C4 was entered into the second MANOVA. The N415 was more negative for New than List A/B words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5.35, </w:t>
      </w:r>
      <w:r w:rsidR="0023386A" w:rsidRPr="00D27CA2">
        <w:rPr>
          <w:rFonts w:ascii="Times New Roman" w:hAnsi="Times New Roman" w:cs="Times New Roman"/>
          <w:i/>
          <w:sz w:val="24"/>
          <w:szCs w:val="24"/>
        </w:rPr>
        <w:t>p=</w:t>
      </w:r>
      <w:r w:rsidR="0023386A" w:rsidRPr="00D27CA2">
        <w:rPr>
          <w:rFonts w:ascii="Times New Roman" w:hAnsi="Times New Roman" w:cs="Times New Roman"/>
          <w:sz w:val="24"/>
          <w:szCs w:val="24"/>
        </w:rPr>
        <w:t xml:space="preserve">0.028; </w:t>
      </w:r>
      <w:r w:rsidR="0023386A" w:rsidRPr="00D27CA2">
        <w:rPr>
          <w:rFonts w:ascii="Times New Roman" w:hAnsi="Times New Roman" w:cs="Times New Roman"/>
          <w:i/>
          <w:sz w:val="24"/>
          <w:szCs w:val="24"/>
        </w:rPr>
        <w:t>df=</w:t>
      </w:r>
      <w:r w:rsidR="0023386A" w:rsidRPr="00D27CA2">
        <w:rPr>
          <w:rFonts w:ascii="Times New Roman" w:hAnsi="Times New Roman" w:cs="Times New Roman"/>
          <w:sz w:val="24"/>
          <w:szCs w:val="24"/>
        </w:rPr>
        <w:t>1, 29 for the Group × Type analyses for this and P640), and more negative for List B than List A words (</w:t>
      </w:r>
      <w:r w:rsidR="0023386A" w:rsidRPr="00D27CA2">
        <w:rPr>
          <w:rFonts w:ascii="Times New Roman" w:hAnsi="Times New Roman" w:cs="Times New Roman"/>
          <w:i/>
          <w:sz w:val="24"/>
          <w:szCs w:val="24"/>
        </w:rPr>
        <w:t>F=</w:t>
      </w:r>
      <w:r w:rsidR="0023386A" w:rsidRPr="00D27CA2">
        <w:rPr>
          <w:rFonts w:ascii="Times New Roman" w:hAnsi="Times New Roman" w:cs="Times New Roman"/>
          <w:sz w:val="24"/>
          <w:szCs w:val="24"/>
        </w:rPr>
        <w:t xml:space="preserve">15.49, </w:t>
      </w:r>
      <w:r w:rsidR="0023386A" w:rsidRPr="00D27CA2">
        <w:rPr>
          <w:rFonts w:ascii="Times New Roman" w:hAnsi="Times New Roman" w:cs="Times New Roman"/>
          <w:i/>
          <w:sz w:val="24"/>
          <w:szCs w:val="24"/>
        </w:rPr>
        <w:t>p&lt;</w:t>
      </w:r>
      <w:r w:rsidR="0023386A" w:rsidRPr="00D27CA2">
        <w:rPr>
          <w:rFonts w:ascii="Times New Roman" w:hAnsi="Times New Roman" w:cs="Times New Roman"/>
          <w:sz w:val="24"/>
          <w:szCs w:val="24"/>
        </w:rPr>
        <w:t>0.001), but there were no significant effects of group.</w:t>
      </w:r>
    </w:p>
    <w:p w14:paraId="47878025" w14:textId="77777777" w:rsidR="00281075" w:rsidRPr="00D27CA2" w:rsidRDefault="0049260E" w:rsidP="008F6770">
      <w:pPr>
        <w:rPr>
          <w:rFonts w:ascii="Times New Roman" w:hAnsi="Times New Roman" w:cs="Times New Roman"/>
          <w:b/>
          <w:sz w:val="24"/>
          <w:szCs w:val="24"/>
        </w:rPr>
      </w:pPr>
      <w:r w:rsidRPr="00D27CA2">
        <w:rPr>
          <w:rFonts w:ascii="Times New Roman" w:hAnsi="Times New Roman" w:cs="Times New Roman"/>
          <w:noProof/>
          <w:lang w:eastAsia="en-AU"/>
        </w:rPr>
        <w:lastRenderedPageBreak/>
        <w:drawing>
          <wp:inline distT="0" distB="0" distL="0" distR="0" wp14:anchorId="27A4A0BF" wp14:editId="71B7982D">
            <wp:extent cx="5731510" cy="4004945"/>
            <wp:effectExtent l="0" t="0" r="254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adolescent headmaps recognition.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004945"/>
                    </a:xfrm>
                    <a:prstGeom prst="rect">
                      <a:avLst/>
                    </a:prstGeom>
                  </pic:spPr>
                </pic:pic>
              </a:graphicData>
            </a:graphic>
          </wp:inline>
        </w:drawing>
      </w:r>
    </w:p>
    <w:p w14:paraId="1E1523ED" w14:textId="344BF1F2" w:rsidR="008F6770" w:rsidRPr="00D27CA2" w:rsidRDefault="008F6770" w:rsidP="008F6770">
      <w:pPr>
        <w:rPr>
          <w:rFonts w:ascii="Times New Roman" w:hAnsi="Times New Roman" w:cs="Times New Roman"/>
          <w:sz w:val="24"/>
          <w:szCs w:val="24"/>
        </w:rPr>
      </w:pPr>
      <w:r w:rsidRPr="00D27CA2">
        <w:rPr>
          <w:rFonts w:ascii="Times New Roman" w:hAnsi="Times New Roman" w:cs="Times New Roman"/>
          <w:b/>
          <w:sz w:val="24"/>
          <w:szCs w:val="24"/>
        </w:rPr>
        <w:t xml:space="preserve">Supplementary Figure </w:t>
      </w:r>
      <w:r w:rsidR="00382A20" w:rsidRPr="00D27CA2">
        <w:rPr>
          <w:rFonts w:ascii="Times New Roman" w:hAnsi="Times New Roman" w:cs="Times New Roman"/>
          <w:b/>
          <w:sz w:val="24"/>
          <w:szCs w:val="24"/>
        </w:rPr>
        <w:t>4</w:t>
      </w:r>
      <w:r w:rsidRPr="00D27CA2">
        <w:rPr>
          <w:rFonts w:ascii="Times New Roman" w:hAnsi="Times New Roman" w:cs="Times New Roman"/>
          <w:b/>
          <w:sz w:val="24"/>
          <w:szCs w:val="24"/>
        </w:rPr>
        <w:t xml:space="preserve">. </w:t>
      </w:r>
      <w:r w:rsidRPr="00D27CA2">
        <w:rPr>
          <w:rFonts w:ascii="Times New Roman" w:hAnsi="Times New Roman" w:cs="Times New Roman"/>
          <w:sz w:val="24"/>
          <w:szCs w:val="24"/>
        </w:rPr>
        <w:t xml:space="preserve">Topographic plots of activity across sites, groups and conditions for the N415 and P640 components in the Recall phase for adolescent males (Study 1). </w:t>
      </w:r>
    </w:p>
    <w:p w14:paraId="317EE59A" w14:textId="77777777" w:rsidR="00D1433D" w:rsidRPr="00D27CA2" w:rsidRDefault="00D1433D" w:rsidP="00D1433D">
      <w:pPr>
        <w:rPr>
          <w:rFonts w:ascii="Times New Roman" w:hAnsi="Times New Roman" w:cs="Times New Roman"/>
          <w:sz w:val="24"/>
          <w:szCs w:val="24"/>
        </w:rPr>
      </w:pPr>
    </w:p>
    <w:p w14:paraId="35D0D203" w14:textId="77777777" w:rsidR="00D1433D" w:rsidRPr="00D27CA2" w:rsidRDefault="00D1433D" w:rsidP="00D1433D">
      <w:pPr>
        <w:rPr>
          <w:rFonts w:ascii="Times New Roman" w:hAnsi="Times New Roman" w:cs="Times New Roman"/>
          <w:sz w:val="24"/>
          <w:szCs w:val="24"/>
        </w:rPr>
      </w:pPr>
      <w:r w:rsidRPr="00D27CA2">
        <w:rPr>
          <w:rFonts w:ascii="Times New Roman" w:hAnsi="Times New Roman" w:cs="Times New Roman"/>
          <w:sz w:val="24"/>
          <w:szCs w:val="24"/>
        </w:rPr>
        <w:t>For the P640, the average of sites Cz, CPz, P3 and Pz was entered into the second MANOVA. List A remained greater in positivity than Other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11.84, </w:t>
      </w:r>
      <w:r w:rsidRPr="00D27CA2">
        <w:rPr>
          <w:rFonts w:ascii="Times New Roman" w:hAnsi="Times New Roman" w:cs="Times New Roman"/>
          <w:i/>
          <w:sz w:val="24"/>
          <w:szCs w:val="24"/>
        </w:rPr>
        <w:t>p=</w:t>
      </w:r>
      <w:r w:rsidRPr="00D27CA2">
        <w:rPr>
          <w:rFonts w:ascii="Times New Roman" w:hAnsi="Times New Roman" w:cs="Times New Roman"/>
          <w:sz w:val="24"/>
          <w:szCs w:val="24"/>
        </w:rPr>
        <w:t>0.002), and List B showed greater positivity than New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6.62, </w:t>
      </w:r>
      <w:r w:rsidRPr="00D27CA2">
        <w:rPr>
          <w:rFonts w:ascii="Times New Roman" w:hAnsi="Times New Roman" w:cs="Times New Roman"/>
          <w:i/>
          <w:sz w:val="24"/>
          <w:szCs w:val="24"/>
        </w:rPr>
        <w:t>p=</w:t>
      </w:r>
      <w:r w:rsidRPr="00D27CA2">
        <w:rPr>
          <w:rFonts w:ascii="Times New Roman" w:hAnsi="Times New Roman" w:cs="Times New Roman"/>
          <w:sz w:val="24"/>
          <w:szCs w:val="24"/>
        </w:rPr>
        <w:t>0.015), but there were no significant group effects.</w:t>
      </w:r>
    </w:p>
    <w:p w14:paraId="230C30D3" w14:textId="77777777" w:rsidR="00842E2B" w:rsidRPr="00D27CA2" w:rsidRDefault="00842E2B" w:rsidP="00D606D1">
      <w:pPr>
        <w:pStyle w:val="Heading1"/>
        <w:rPr>
          <w:rFonts w:cs="Times New Roman"/>
          <w:color w:val="auto"/>
        </w:rPr>
      </w:pPr>
      <w:r w:rsidRPr="00D27CA2">
        <w:rPr>
          <w:rFonts w:cs="Times New Roman"/>
          <w:color w:val="auto"/>
        </w:rPr>
        <w:t>Study 2: Young adults</w:t>
      </w:r>
    </w:p>
    <w:p w14:paraId="25B9E2CC" w14:textId="77777777" w:rsidR="008F6770" w:rsidRPr="00D27CA2" w:rsidRDefault="008F6770" w:rsidP="00D606D1">
      <w:pPr>
        <w:pStyle w:val="Heading2"/>
        <w:rPr>
          <w:rFonts w:cs="Times New Roman"/>
          <w:color w:val="auto"/>
        </w:rPr>
      </w:pPr>
      <w:r w:rsidRPr="00D27CA2">
        <w:rPr>
          <w:rFonts w:cs="Times New Roman"/>
          <w:color w:val="auto"/>
        </w:rPr>
        <w:t>PCA results</w:t>
      </w:r>
    </w:p>
    <w:p w14:paraId="673E8546" w14:textId="35D0A6E9" w:rsidR="00842E2B" w:rsidRPr="00D27CA2" w:rsidRDefault="00842E2B" w:rsidP="008F6770">
      <w:pPr>
        <w:rPr>
          <w:rFonts w:ascii="Times New Roman" w:hAnsi="Times New Roman" w:cs="Times New Roman"/>
          <w:sz w:val="24"/>
          <w:szCs w:val="24"/>
        </w:rPr>
      </w:pPr>
      <w:r w:rsidRPr="00D27CA2">
        <w:rPr>
          <w:rFonts w:ascii="Times New Roman" w:hAnsi="Times New Roman" w:cs="Times New Roman"/>
          <w:sz w:val="24"/>
          <w:szCs w:val="24"/>
        </w:rPr>
        <w:t xml:space="preserve">Supplementary Figure </w:t>
      </w:r>
      <w:r w:rsidR="00382A20" w:rsidRPr="00D27CA2">
        <w:rPr>
          <w:rFonts w:ascii="Times New Roman" w:hAnsi="Times New Roman" w:cs="Times New Roman"/>
          <w:sz w:val="24"/>
          <w:szCs w:val="24"/>
        </w:rPr>
        <w:t>5</w:t>
      </w:r>
      <w:r w:rsidRPr="00D27CA2">
        <w:rPr>
          <w:rFonts w:ascii="Times New Roman" w:hAnsi="Times New Roman" w:cs="Times New Roman"/>
          <w:sz w:val="24"/>
          <w:szCs w:val="24"/>
        </w:rPr>
        <w:t xml:space="preserve"> shows the unscaled factor loadings associated with each of the major components identified by the Recall PCA. In addition to the P185 described in the main text, the PCA extracted another component in the P2 range (Factor 4, labelled P255: P6 maximum, explaining 8.49% of variance), as well as a negative component peaking at 380ms (Factor 2, labelled N380, maximal at F2, explained 21.08% of variance), and a later positive component peaking at 535 ms (Factor 1, labelled P535, maximal at Pz, explained 23.02% of variance). Topographic maps of activity can be seen in Supplementary Figure </w:t>
      </w:r>
      <w:r w:rsidR="00382A20" w:rsidRPr="00D27CA2">
        <w:rPr>
          <w:rFonts w:ascii="Times New Roman" w:hAnsi="Times New Roman" w:cs="Times New Roman"/>
          <w:sz w:val="24"/>
          <w:szCs w:val="24"/>
        </w:rPr>
        <w:t>6</w:t>
      </w:r>
      <w:r w:rsidRPr="00D27CA2">
        <w:rPr>
          <w:rFonts w:ascii="Times New Roman" w:hAnsi="Times New Roman" w:cs="Times New Roman"/>
          <w:sz w:val="24"/>
          <w:szCs w:val="24"/>
        </w:rPr>
        <w:t>.</w:t>
      </w:r>
      <w:r w:rsidR="008F6770" w:rsidRPr="00D27CA2">
        <w:rPr>
          <w:rFonts w:ascii="Times New Roman" w:hAnsi="Times New Roman" w:cs="Times New Roman"/>
          <w:sz w:val="24"/>
          <w:szCs w:val="24"/>
        </w:rPr>
        <w:t xml:space="preserve"> Peak data from these components were entered into similar two-step analyses as described in the main text.</w:t>
      </w:r>
    </w:p>
    <w:p w14:paraId="648BAE1C" w14:textId="77777777" w:rsidR="00842E2B" w:rsidRPr="00D27CA2" w:rsidRDefault="00842E2B" w:rsidP="00D1433D">
      <w:pPr>
        <w:jc w:val="center"/>
        <w:rPr>
          <w:rFonts w:ascii="Times New Roman" w:hAnsi="Times New Roman" w:cs="Times New Roman"/>
          <w:sz w:val="24"/>
          <w:szCs w:val="24"/>
        </w:rPr>
      </w:pPr>
      <w:r w:rsidRPr="00D27CA2">
        <w:rPr>
          <w:rFonts w:ascii="Times New Roman" w:hAnsi="Times New Roman" w:cs="Times New Roman"/>
          <w:noProof/>
          <w:sz w:val="24"/>
          <w:szCs w:val="24"/>
          <w:lang w:eastAsia="en-AU"/>
        </w:rPr>
        <w:lastRenderedPageBreak/>
        <w:drawing>
          <wp:inline distT="0" distB="0" distL="0" distR="0" wp14:anchorId="2B55D98E" wp14:editId="1787E2F2">
            <wp:extent cx="4578350" cy="2749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14:paraId="5DA366A6" w14:textId="723FA0EA" w:rsidR="00842E2B" w:rsidRPr="00D27CA2" w:rsidRDefault="00842E2B" w:rsidP="008F6770">
      <w:pPr>
        <w:autoSpaceDE w:val="0"/>
        <w:autoSpaceDN w:val="0"/>
        <w:adjustRightInd w:val="0"/>
        <w:spacing w:after="120"/>
        <w:rPr>
          <w:rFonts w:ascii="Times New Roman" w:hAnsi="Times New Roman" w:cs="Times New Roman"/>
          <w:sz w:val="24"/>
          <w:szCs w:val="24"/>
        </w:rPr>
      </w:pPr>
      <w:r w:rsidRPr="00D27CA2">
        <w:rPr>
          <w:rFonts w:ascii="Times New Roman" w:hAnsi="Times New Roman" w:cs="Times New Roman"/>
          <w:b/>
          <w:sz w:val="24"/>
          <w:szCs w:val="24"/>
        </w:rPr>
        <w:t xml:space="preserve">Supplementary Figure </w:t>
      </w:r>
      <w:r w:rsidR="00382A20" w:rsidRPr="00D27CA2">
        <w:rPr>
          <w:rFonts w:ascii="Times New Roman" w:hAnsi="Times New Roman" w:cs="Times New Roman"/>
          <w:b/>
          <w:sz w:val="24"/>
          <w:szCs w:val="24"/>
        </w:rPr>
        <w:t>5</w:t>
      </w:r>
      <w:r w:rsidRPr="00D27CA2">
        <w:rPr>
          <w:rFonts w:ascii="Times New Roman" w:hAnsi="Times New Roman" w:cs="Times New Roman"/>
          <w:sz w:val="24"/>
          <w:szCs w:val="24"/>
        </w:rPr>
        <w:t>. Unscaled factor loadings over time for the Recall phase for female and male young adults in Study 2.</w:t>
      </w:r>
    </w:p>
    <w:p w14:paraId="04D4FC83" w14:textId="77777777" w:rsidR="00281075" w:rsidRPr="00D27CA2" w:rsidRDefault="00281075" w:rsidP="00D606D1">
      <w:pPr>
        <w:pStyle w:val="Heading2"/>
        <w:rPr>
          <w:rFonts w:cs="Times New Roman"/>
          <w:color w:val="auto"/>
        </w:rPr>
      </w:pPr>
    </w:p>
    <w:p w14:paraId="60A5DF85" w14:textId="4699B385" w:rsidR="00842E2B" w:rsidRPr="00D27CA2" w:rsidRDefault="008F6770" w:rsidP="00D606D1">
      <w:pPr>
        <w:pStyle w:val="Heading2"/>
        <w:rPr>
          <w:rFonts w:cs="Times New Roman"/>
          <w:color w:val="auto"/>
        </w:rPr>
      </w:pPr>
      <w:r w:rsidRPr="00D27CA2">
        <w:rPr>
          <w:rFonts w:cs="Times New Roman"/>
          <w:color w:val="auto"/>
        </w:rPr>
        <w:t>Recall ERP components</w:t>
      </w:r>
    </w:p>
    <w:p w14:paraId="0F2E10D1" w14:textId="2DAB9120" w:rsidR="00842E2B" w:rsidRPr="00D27CA2" w:rsidRDefault="00842E2B" w:rsidP="008F6770">
      <w:pPr>
        <w:rPr>
          <w:rFonts w:ascii="Times New Roman" w:hAnsi="Times New Roman" w:cs="Times New Roman"/>
          <w:sz w:val="24"/>
          <w:szCs w:val="24"/>
        </w:rPr>
      </w:pPr>
      <w:r w:rsidRPr="00D27CA2">
        <w:rPr>
          <w:rFonts w:ascii="Times New Roman" w:hAnsi="Times New Roman" w:cs="Times New Roman"/>
          <w:sz w:val="24"/>
          <w:szCs w:val="24"/>
        </w:rPr>
        <w:t>The P255 showed a right &gt; left effect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5.99, </w:t>
      </w:r>
      <w:r w:rsidRPr="00D27CA2">
        <w:rPr>
          <w:rFonts w:ascii="Times New Roman" w:hAnsi="Times New Roman" w:cs="Times New Roman"/>
          <w:i/>
          <w:sz w:val="24"/>
          <w:szCs w:val="24"/>
        </w:rPr>
        <w:t>p=</w:t>
      </w:r>
      <w:r w:rsidRPr="00D27CA2">
        <w:rPr>
          <w:rFonts w:ascii="Times New Roman" w:hAnsi="Times New Roman" w:cs="Times New Roman"/>
          <w:sz w:val="24"/>
          <w:szCs w:val="24"/>
        </w:rPr>
        <w:t>0.016) and a hemispheres &gt; midline effect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29.30, </w:t>
      </w:r>
      <w:r w:rsidRPr="00D27CA2">
        <w:rPr>
          <w:rFonts w:ascii="Times New Roman" w:hAnsi="Times New Roman" w:cs="Times New Roman"/>
          <w:i/>
          <w:sz w:val="24"/>
          <w:szCs w:val="24"/>
        </w:rPr>
        <w:t>p&lt;</w:t>
      </w:r>
      <w:r w:rsidRPr="00D27CA2">
        <w:rPr>
          <w:rFonts w:ascii="Times New Roman" w:hAnsi="Times New Roman" w:cs="Times New Roman"/>
          <w:sz w:val="24"/>
          <w:szCs w:val="24"/>
        </w:rPr>
        <w:t>0.001), which was stronger at parietal than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47.87, </w:t>
      </w:r>
      <w:r w:rsidRPr="00D27CA2">
        <w:rPr>
          <w:rFonts w:ascii="Times New Roman" w:hAnsi="Times New Roman" w:cs="Times New Roman"/>
          <w:i/>
          <w:sz w:val="24"/>
          <w:szCs w:val="24"/>
        </w:rPr>
        <w:t>p&lt;</w:t>
      </w:r>
      <w:r w:rsidRPr="00D27CA2">
        <w:rPr>
          <w:rFonts w:ascii="Times New Roman" w:hAnsi="Times New Roman" w:cs="Times New Roman"/>
          <w:sz w:val="24"/>
          <w:szCs w:val="24"/>
        </w:rPr>
        <w:t>0.001). The average of CP3, CP4, P3 and P4 were entered into the second MANOVA, which showed no significant effects.</w:t>
      </w:r>
    </w:p>
    <w:p w14:paraId="4A1168DF" w14:textId="77777777" w:rsidR="00281075" w:rsidRPr="00D27CA2" w:rsidRDefault="00842E2B" w:rsidP="008F6770">
      <w:pPr>
        <w:rPr>
          <w:rFonts w:ascii="Times New Roman" w:hAnsi="Times New Roman" w:cs="Times New Roman"/>
          <w:sz w:val="24"/>
          <w:szCs w:val="24"/>
        </w:rPr>
      </w:pPr>
      <w:r w:rsidRPr="00D27CA2">
        <w:rPr>
          <w:rFonts w:ascii="Times New Roman" w:hAnsi="Times New Roman" w:cs="Times New Roman"/>
          <w:sz w:val="24"/>
          <w:szCs w:val="24"/>
        </w:rPr>
        <w:t>N380 showed greater negativity at frontal than 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81.89,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at central compared to frontal/parietal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29.19, </w:t>
      </w:r>
      <w:r w:rsidRPr="00D27CA2">
        <w:rPr>
          <w:rFonts w:ascii="Times New Roman" w:hAnsi="Times New Roman" w:cs="Times New Roman"/>
          <w:i/>
          <w:sz w:val="24"/>
          <w:szCs w:val="24"/>
        </w:rPr>
        <w:t>p&lt;</w:t>
      </w:r>
      <w:r w:rsidRPr="00D27CA2">
        <w:rPr>
          <w:rFonts w:ascii="Times New Roman" w:hAnsi="Times New Roman" w:cs="Times New Roman"/>
          <w:sz w:val="24"/>
          <w:szCs w:val="24"/>
        </w:rPr>
        <w:t xml:space="preserve">0.001). </w:t>
      </w:r>
      <w:r w:rsidR="00EA062D" w:rsidRPr="00D27CA2">
        <w:rPr>
          <w:rFonts w:ascii="Times New Roman" w:hAnsi="Times New Roman" w:cs="Times New Roman"/>
          <w:sz w:val="24"/>
          <w:szCs w:val="24"/>
        </w:rPr>
        <w:t>A</w:t>
      </w:r>
      <w:r w:rsidRPr="00D27CA2">
        <w:rPr>
          <w:rFonts w:ascii="Times New Roman" w:hAnsi="Times New Roman" w:cs="Times New Roman"/>
          <w:sz w:val="24"/>
          <w:szCs w:val="24"/>
        </w:rPr>
        <w:t>mplitudes were more negative in the midline than hemispheres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105.52, </w:t>
      </w:r>
      <w:r w:rsidRPr="00D27CA2">
        <w:rPr>
          <w:rFonts w:ascii="Times New Roman" w:hAnsi="Times New Roman" w:cs="Times New Roman"/>
          <w:i/>
          <w:sz w:val="24"/>
          <w:szCs w:val="24"/>
        </w:rPr>
        <w:t>p&lt;</w:t>
      </w:r>
      <w:r w:rsidRPr="00D27CA2">
        <w:rPr>
          <w:rFonts w:ascii="Times New Roman" w:hAnsi="Times New Roman" w:cs="Times New Roman"/>
          <w:sz w:val="24"/>
          <w:szCs w:val="24"/>
        </w:rPr>
        <w:t>0.001). The midline &gt; hemispheres effect was greater at parietal compared to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29.29,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at central compared to frontal/parietal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32.16, </w:t>
      </w:r>
      <w:r w:rsidRPr="00D27CA2">
        <w:rPr>
          <w:rFonts w:ascii="Times New Roman" w:hAnsi="Times New Roman" w:cs="Times New Roman"/>
          <w:i/>
          <w:sz w:val="24"/>
          <w:szCs w:val="24"/>
        </w:rPr>
        <w:t>p&lt;</w:t>
      </w:r>
      <w:r w:rsidRPr="00D27CA2">
        <w:rPr>
          <w:rFonts w:ascii="Times New Roman" w:hAnsi="Times New Roman" w:cs="Times New Roman"/>
          <w:sz w:val="24"/>
          <w:szCs w:val="24"/>
        </w:rPr>
        <w:t>0.001). N380 was more negative for Not Remembered than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69.23,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the frontal &gt; parietal gradient was larger for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20.86, </w:t>
      </w:r>
      <w:r w:rsidRPr="00D27CA2">
        <w:rPr>
          <w:rFonts w:ascii="Times New Roman" w:hAnsi="Times New Roman" w:cs="Times New Roman"/>
          <w:i/>
          <w:sz w:val="24"/>
          <w:szCs w:val="24"/>
        </w:rPr>
        <w:t>p&lt;</w:t>
      </w:r>
      <w:r w:rsidRPr="00D27CA2">
        <w:rPr>
          <w:rFonts w:ascii="Times New Roman" w:hAnsi="Times New Roman" w:cs="Times New Roman"/>
          <w:sz w:val="24"/>
          <w:szCs w:val="24"/>
        </w:rPr>
        <w:t>0.001), while the central &gt; frontal/parietal effect was larger for Not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5.87, </w:t>
      </w:r>
      <w:r w:rsidRPr="00D27CA2">
        <w:rPr>
          <w:rFonts w:ascii="Times New Roman" w:hAnsi="Times New Roman" w:cs="Times New Roman"/>
          <w:i/>
          <w:sz w:val="24"/>
          <w:szCs w:val="24"/>
        </w:rPr>
        <w:t>p=</w:t>
      </w:r>
      <w:r w:rsidRPr="00D27CA2">
        <w:rPr>
          <w:rFonts w:ascii="Times New Roman" w:hAnsi="Times New Roman" w:cs="Times New Roman"/>
          <w:sz w:val="24"/>
          <w:szCs w:val="24"/>
        </w:rPr>
        <w:t>0.017). Further, the midline &gt; hemispheres effect was larger for Not Remembered than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26.78, </w:t>
      </w:r>
      <w:r w:rsidRPr="00D27CA2">
        <w:rPr>
          <w:rFonts w:ascii="Times New Roman" w:hAnsi="Times New Roman" w:cs="Times New Roman"/>
          <w:i/>
          <w:sz w:val="24"/>
          <w:szCs w:val="24"/>
        </w:rPr>
        <w:t>p&lt;</w:t>
      </w:r>
      <w:r w:rsidRPr="00D27CA2">
        <w:rPr>
          <w:rFonts w:ascii="Times New Roman" w:hAnsi="Times New Roman" w:cs="Times New Roman"/>
          <w:sz w:val="24"/>
          <w:szCs w:val="24"/>
        </w:rPr>
        <w:t>0.001). The parietal &gt; frontal × midline &gt; hemispheres effect was greater for Not Remembered than Remembered words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18.19, </w:t>
      </w:r>
      <w:r w:rsidRPr="00D27CA2">
        <w:rPr>
          <w:rFonts w:ascii="Times New Roman" w:hAnsi="Times New Roman" w:cs="Times New Roman"/>
          <w:i/>
          <w:sz w:val="24"/>
          <w:szCs w:val="24"/>
        </w:rPr>
        <w:t>p&lt;</w:t>
      </w:r>
      <w:r w:rsidRPr="00D27CA2">
        <w:rPr>
          <w:rFonts w:ascii="Times New Roman" w:hAnsi="Times New Roman" w:cs="Times New Roman"/>
          <w:sz w:val="24"/>
          <w:szCs w:val="24"/>
        </w:rPr>
        <w:t xml:space="preserve">0.001). </w:t>
      </w:r>
      <w:r w:rsidR="008F6770" w:rsidRPr="00D27CA2">
        <w:rPr>
          <w:rFonts w:ascii="Times New Roman" w:hAnsi="Times New Roman" w:cs="Times New Roman"/>
          <w:sz w:val="24"/>
          <w:szCs w:val="24"/>
        </w:rPr>
        <w:t>The average activity across sites F1, Fz, F2, FC1, FCz, and FC2 were entered into the second MANOVA. N380 was greater for Not Remembered than Remembered words (</w:t>
      </w:r>
      <w:r w:rsidR="008F6770" w:rsidRPr="00D27CA2">
        <w:rPr>
          <w:rFonts w:ascii="Times New Roman" w:hAnsi="Times New Roman" w:cs="Times New Roman"/>
          <w:i/>
          <w:sz w:val="24"/>
          <w:szCs w:val="24"/>
        </w:rPr>
        <w:t>F=</w:t>
      </w:r>
      <w:r w:rsidR="008F6770" w:rsidRPr="00D27CA2">
        <w:rPr>
          <w:rFonts w:ascii="Times New Roman" w:hAnsi="Times New Roman" w:cs="Times New Roman"/>
          <w:sz w:val="24"/>
          <w:szCs w:val="24"/>
        </w:rPr>
        <w:t xml:space="preserve">34.93, </w:t>
      </w:r>
      <w:r w:rsidR="008F6770" w:rsidRPr="00D27CA2">
        <w:rPr>
          <w:rFonts w:ascii="Times New Roman" w:hAnsi="Times New Roman" w:cs="Times New Roman"/>
          <w:i/>
          <w:sz w:val="24"/>
          <w:szCs w:val="24"/>
        </w:rPr>
        <w:t>p&lt;</w:t>
      </w:r>
      <w:r w:rsidR="008F6770" w:rsidRPr="00D27CA2">
        <w:rPr>
          <w:rFonts w:ascii="Times New Roman" w:hAnsi="Times New Roman" w:cs="Times New Roman"/>
          <w:sz w:val="24"/>
          <w:szCs w:val="24"/>
        </w:rPr>
        <w:t>0.001), especially in females compared to males (</w:t>
      </w:r>
      <w:r w:rsidR="008F6770" w:rsidRPr="00D27CA2">
        <w:rPr>
          <w:rFonts w:ascii="Times New Roman" w:hAnsi="Times New Roman" w:cs="Times New Roman"/>
          <w:i/>
          <w:sz w:val="24"/>
          <w:szCs w:val="24"/>
        </w:rPr>
        <w:t>F=</w:t>
      </w:r>
      <w:r w:rsidR="008F6770" w:rsidRPr="00D27CA2">
        <w:rPr>
          <w:rFonts w:ascii="Times New Roman" w:hAnsi="Times New Roman" w:cs="Times New Roman"/>
          <w:sz w:val="24"/>
          <w:szCs w:val="24"/>
        </w:rPr>
        <w:t xml:space="preserve">4.03, </w:t>
      </w:r>
      <w:r w:rsidR="008F6770" w:rsidRPr="00D27CA2">
        <w:rPr>
          <w:rFonts w:ascii="Times New Roman" w:hAnsi="Times New Roman" w:cs="Times New Roman"/>
          <w:i/>
          <w:sz w:val="24"/>
          <w:szCs w:val="24"/>
        </w:rPr>
        <w:t>p=</w:t>
      </w:r>
      <w:r w:rsidR="008F6770" w:rsidRPr="00D27CA2">
        <w:rPr>
          <w:rFonts w:ascii="Times New Roman" w:hAnsi="Times New Roman" w:cs="Times New Roman"/>
          <w:sz w:val="24"/>
          <w:szCs w:val="24"/>
        </w:rPr>
        <w:t>0.047). N380 was marginally smaller in the CU compared to HD (</w:t>
      </w:r>
      <w:r w:rsidR="008F6770" w:rsidRPr="00D27CA2">
        <w:rPr>
          <w:rFonts w:ascii="Times New Roman" w:hAnsi="Times New Roman" w:cs="Times New Roman"/>
          <w:i/>
          <w:sz w:val="24"/>
          <w:szCs w:val="24"/>
        </w:rPr>
        <w:t>F=</w:t>
      </w:r>
      <w:r w:rsidR="008F6770" w:rsidRPr="00D27CA2">
        <w:rPr>
          <w:rFonts w:ascii="Times New Roman" w:hAnsi="Times New Roman" w:cs="Times New Roman"/>
          <w:sz w:val="24"/>
          <w:szCs w:val="24"/>
        </w:rPr>
        <w:t xml:space="preserve">3.32, </w:t>
      </w:r>
      <w:r w:rsidR="008F6770" w:rsidRPr="00D27CA2">
        <w:rPr>
          <w:rFonts w:ascii="Times New Roman" w:hAnsi="Times New Roman" w:cs="Times New Roman"/>
          <w:i/>
          <w:sz w:val="24"/>
          <w:szCs w:val="24"/>
        </w:rPr>
        <w:t>p=</w:t>
      </w:r>
      <w:r w:rsidR="008F6770" w:rsidRPr="00D27CA2">
        <w:rPr>
          <w:rFonts w:ascii="Times New Roman" w:hAnsi="Times New Roman" w:cs="Times New Roman"/>
          <w:sz w:val="24"/>
          <w:szCs w:val="24"/>
        </w:rPr>
        <w:t xml:space="preserve">0.072, consistent with </w:t>
      </w:r>
      <w:r w:rsidR="008F6770" w:rsidRPr="00D27CA2">
        <w:rPr>
          <w:rFonts w:ascii="Times New Roman" w:hAnsi="Times New Roman" w:cs="Times New Roman"/>
          <w:noProof/>
          <w:sz w:val="24"/>
          <w:szCs w:val="24"/>
        </w:rPr>
        <w:t>Battisti et al., 2010</w:t>
      </w:r>
      <w:r w:rsidR="008F6770" w:rsidRPr="00D27CA2">
        <w:rPr>
          <w:rFonts w:ascii="Times New Roman" w:hAnsi="Times New Roman" w:cs="Times New Roman"/>
          <w:sz w:val="24"/>
          <w:szCs w:val="24"/>
        </w:rPr>
        <w:t>), who did not differ from DNC (</w:t>
      </w:r>
      <w:r w:rsidR="008F6770" w:rsidRPr="00D27CA2">
        <w:rPr>
          <w:rFonts w:ascii="Times New Roman" w:hAnsi="Times New Roman" w:cs="Times New Roman"/>
          <w:i/>
          <w:sz w:val="24"/>
          <w:szCs w:val="24"/>
        </w:rPr>
        <w:t>F=</w:t>
      </w:r>
      <w:r w:rsidR="008F6770" w:rsidRPr="00D27CA2">
        <w:rPr>
          <w:rFonts w:ascii="Times New Roman" w:hAnsi="Times New Roman" w:cs="Times New Roman"/>
          <w:sz w:val="24"/>
          <w:szCs w:val="24"/>
        </w:rPr>
        <w:t xml:space="preserve">2.28, </w:t>
      </w:r>
      <w:r w:rsidR="008F6770" w:rsidRPr="00D27CA2">
        <w:rPr>
          <w:rFonts w:ascii="Times New Roman" w:hAnsi="Times New Roman" w:cs="Times New Roman"/>
          <w:i/>
          <w:sz w:val="24"/>
          <w:szCs w:val="24"/>
        </w:rPr>
        <w:t>p=</w:t>
      </w:r>
      <w:r w:rsidR="008F6770" w:rsidRPr="00D27CA2">
        <w:rPr>
          <w:rFonts w:ascii="Times New Roman" w:hAnsi="Times New Roman" w:cs="Times New Roman"/>
          <w:sz w:val="24"/>
          <w:szCs w:val="24"/>
        </w:rPr>
        <w:t>0.134).</w:t>
      </w:r>
      <w:r w:rsidR="00281075" w:rsidRPr="00D27CA2">
        <w:rPr>
          <w:rFonts w:ascii="Times New Roman" w:hAnsi="Times New Roman" w:cs="Times New Roman"/>
          <w:sz w:val="24"/>
          <w:szCs w:val="24"/>
        </w:rPr>
        <w:t xml:space="preserve"> </w:t>
      </w:r>
    </w:p>
    <w:p w14:paraId="5E5A1308" w14:textId="561BCD42" w:rsidR="008F6770" w:rsidRPr="00D27CA2" w:rsidRDefault="00281075" w:rsidP="008F6770">
      <w:pPr>
        <w:rPr>
          <w:rFonts w:ascii="Times New Roman" w:hAnsi="Times New Roman" w:cs="Times New Roman"/>
          <w:sz w:val="24"/>
          <w:szCs w:val="24"/>
          <w:u w:val="single"/>
        </w:rPr>
      </w:pPr>
      <w:r w:rsidRPr="00D27CA2">
        <w:rPr>
          <w:rFonts w:ascii="Times New Roman" w:hAnsi="Times New Roman" w:cs="Times New Roman"/>
          <w:sz w:val="24"/>
          <w:szCs w:val="24"/>
        </w:rPr>
        <w:t>P535 showed a parietal &gt; frontal effect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171.88, </w:t>
      </w:r>
      <w:r w:rsidRPr="00D27CA2">
        <w:rPr>
          <w:rFonts w:ascii="Times New Roman" w:hAnsi="Times New Roman" w:cs="Times New Roman"/>
          <w:i/>
          <w:sz w:val="24"/>
          <w:szCs w:val="24"/>
        </w:rPr>
        <w:t>p&lt;</w:t>
      </w:r>
      <w:r w:rsidRPr="00D27CA2">
        <w:rPr>
          <w:rFonts w:ascii="Times New Roman" w:hAnsi="Times New Roman" w:cs="Times New Roman"/>
          <w:sz w:val="24"/>
          <w:szCs w:val="24"/>
        </w:rPr>
        <w:t>0.001), and a central &gt; frontal/parietal effect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61.41, </w:t>
      </w:r>
      <w:r w:rsidRPr="00D27CA2">
        <w:rPr>
          <w:rFonts w:ascii="Times New Roman" w:hAnsi="Times New Roman" w:cs="Times New Roman"/>
          <w:i/>
          <w:sz w:val="24"/>
          <w:szCs w:val="24"/>
        </w:rPr>
        <w:t>p&lt;</w:t>
      </w:r>
      <w:r w:rsidRPr="00D27CA2">
        <w:rPr>
          <w:rFonts w:ascii="Times New Roman" w:hAnsi="Times New Roman" w:cs="Times New Roman"/>
          <w:sz w:val="24"/>
          <w:szCs w:val="24"/>
        </w:rPr>
        <w:t>0.001). The component was more positive in the midline than hemispheres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35.01, </w:t>
      </w:r>
      <w:r w:rsidRPr="00D27CA2">
        <w:rPr>
          <w:rFonts w:ascii="Times New Roman" w:hAnsi="Times New Roman" w:cs="Times New Roman"/>
          <w:i/>
          <w:sz w:val="24"/>
          <w:szCs w:val="24"/>
        </w:rPr>
        <w:t>p&lt;</w:t>
      </w:r>
      <w:r w:rsidRPr="00D27CA2">
        <w:rPr>
          <w:rFonts w:ascii="Times New Roman" w:hAnsi="Times New Roman" w:cs="Times New Roman"/>
          <w:sz w:val="24"/>
          <w:szCs w:val="24"/>
        </w:rPr>
        <w:t xml:space="preserve">0.001). Parietally, a right &gt; left effect was observed, while a </w:t>
      </w:r>
    </w:p>
    <w:p w14:paraId="4727B3EC" w14:textId="77777777" w:rsidR="00842E2B" w:rsidRPr="00D27CA2" w:rsidRDefault="00842E2B" w:rsidP="008F6770">
      <w:pPr>
        <w:rPr>
          <w:rFonts w:ascii="Times New Roman" w:hAnsi="Times New Roman" w:cs="Times New Roman"/>
          <w:b/>
          <w:sz w:val="24"/>
          <w:szCs w:val="24"/>
        </w:rPr>
      </w:pPr>
      <w:r w:rsidRPr="00D27CA2">
        <w:rPr>
          <w:rFonts w:ascii="Times New Roman" w:hAnsi="Times New Roman" w:cs="Times New Roman"/>
          <w:b/>
          <w:noProof/>
          <w:sz w:val="24"/>
          <w:szCs w:val="24"/>
          <w:lang w:eastAsia="en-AU"/>
        </w:rPr>
        <w:lastRenderedPageBreak/>
        <w:drawing>
          <wp:inline distT="0" distB="0" distL="0" distR="0" wp14:anchorId="531A26E5" wp14:editId="2D52F5E3">
            <wp:extent cx="5731510" cy="64325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 Young adult recall .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6432550"/>
                    </a:xfrm>
                    <a:prstGeom prst="rect">
                      <a:avLst/>
                    </a:prstGeom>
                  </pic:spPr>
                </pic:pic>
              </a:graphicData>
            </a:graphic>
          </wp:inline>
        </w:drawing>
      </w:r>
    </w:p>
    <w:p w14:paraId="592E2D57" w14:textId="6EF693C8" w:rsidR="00842E2B" w:rsidRPr="00D27CA2" w:rsidRDefault="00842E2B" w:rsidP="008F6770">
      <w:pPr>
        <w:rPr>
          <w:rFonts w:ascii="Times New Roman" w:hAnsi="Times New Roman" w:cs="Times New Roman"/>
          <w:sz w:val="24"/>
          <w:szCs w:val="24"/>
        </w:rPr>
      </w:pPr>
      <w:r w:rsidRPr="00D27CA2">
        <w:rPr>
          <w:rFonts w:ascii="Times New Roman" w:hAnsi="Times New Roman" w:cs="Times New Roman"/>
          <w:b/>
          <w:sz w:val="24"/>
          <w:szCs w:val="24"/>
        </w:rPr>
        <w:t xml:space="preserve">Supplementary Figure </w:t>
      </w:r>
      <w:r w:rsidR="00382A20" w:rsidRPr="00D27CA2">
        <w:rPr>
          <w:rFonts w:ascii="Times New Roman" w:hAnsi="Times New Roman" w:cs="Times New Roman"/>
          <w:b/>
          <w:sz w:val="24"/>
          <w:szCs w:val="24"/>
        </w:rPr>
        <w:t>6</w:t>
      </w:r>
      <w:r w:rsidRPr="00D27CA2">
        <w:rPr>
          <w:rFonts w:ascii="Times New Roman" w:hAnsi="Times New Roman" w:cs="Times New Roman"/>
          <w:b/>
          <w:sz w:val="24"/>
          <w:szCs w:val="24"/>
        </w:rPr>
        <w:t xml:space="preserve">. </w:t>
      </w:r>
      <w:r w:rsidRPr="00D27CA2">
        <w:rPr>
          <w:rFonts w:ascii="Times New Roman" w:hAnsi="Times New Roman" w:cs="Times New Roman"/>
          <w:sz w:val="24"/>
          <w:szCs w:val="24"/>
        </w:rPr>
        <w:t xml:space="preserve">Topographic plots of activity across sites, groups and conditions for P255, N380 and P535 components in the Recall phase for female and male young adults (Study 2). </w:t>
      </w:r>
    </w:p>
    <w:p w14:paraId="6D5A89A5" w14:textId="77777777" w:rsidR="00281075" w:rsidRPr="00D27CA2" w:rsidRDefault="00281075" w:rsidP="008F6770">
      <w:pPr>
        <w:rPr>
          <w:rFonts w:ascii="Times New Roman" w:hAnsi="Times New Roman" w:cs="Times New Roman"/>
          <w:sz w:val="24"/>
          <w:szCs w:val="24"/>
        </w:rPr>
      </w:pPr>
    </w:p>
    <w:p w14:paraId="322F7A5B" w14:textId="2E182F0E" w:rsidR="00842E2B" w:rsidRPr="00D27CA2" w:rsidRDefault="00281075" w:rsidP="00D606D1">
      <w:pPr>
        <w:rPr>
          <w:rFonts w:ascii="Times New Roman" w:hAnsi="Times New Roman" w:cs="Times New Roman"/>
          <w:sz w:val="24"/>
          <w:szCs w:val="24"/>
        </w:rPr>
      </w:pPr>
      <w:r w:rsidRPr="00D27CA2">
        <w:rPr>
          <w:rFonts w:ascii="Times New Roman" w:hAnsi="Times New Roman" w:cs="Times New Roman"/>
          <w:sz w:val="24"/>
          <w:szCs w:val="24"/>
        </w:rPr>
        <w:t>reversed and reduced effect was observed at frontal sites (</w:t>
      </w:r>
      <w:r w:rsidRPr="00D27CA2">
        <w:rPr>
          <w:rFonts w:ascii="Times New Roman" w:hAnsi="Times New Roman" w:cs="Times New Roman"/>
          <w:i/>
          <w:sz w:val="24"/>
          <w:szCs w:val="24"/>
        </w:rPr>
        <w:t>F=</w:t>
      </w:r>
      <w:r w:rsidRPr="00D27CA2">
        <w:rPr>
          <w:rFonts w:ascii="Times New Roman" w:hAnsi="Times New Roman" w:cs="Times New Roman"/>
          <w:sz w:val="24"/>
          <w:szCs w:val="24"/>
        </w:rPr>
        <w:t xml:space="preserve">5.28, </w:t>
      </w:r>
      <w:r w:rsidRPr="00D27CA2">
        <w:rPr>
          <w:rFonts w:ascii="Times New Roman" w:hAnsi="Times New Roman" w:cs="Times New Roman"/>
          <w:i/>
          <w:sz w:val="24"/>
          <w:szCs w:val="24"/>
        </w:rPr>
        <w:t>p=</w:t>
      </w:r>
      <w:r w:rsidRPr="00D27CA2">
        <w:rPr>
          <w:rFonts w:ascii="Times New Roman" w:hAnsi="Times New Roman" w:cs="Times New Roman"/>
          <w:sz w:val="24"/>
          <w:szCs w:val="24"/>
        </w:rPr>
        <w:t>0.024); further, the</w:t>
      </w:r>
      <w:r w:rsidRPr="00D27CA2" w:rsidDel="00281075">
        <w:rPr>
          <w:rFonts w:ascii="Times New Roman" w:hAnsi="Times New Roman" w:cs="Times New Roman"/>
          <w:sz w:val="24"/>
          <w:szCs w:val="24"/>
        </w:rPr>
        <w:t xml:space="preserve"> </w:t>
      </w:r>
      <w:r w:rsidR="00842E2B" w:rsidRPr="00D27CA2">
        <w:rPr>
          <w:rFonts w:ascii="Times New Roman" w:hAnsi="Times New Roman" w:cs="Times New Roman"/>
          <w:sz w:val="24"/>
          <w:szCs w:val="24"/>
        </w:rPr>
        <w:t>midline &gt; hemispheres effect was greater parietally than frontally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15.92, </w:t>
      </w:r>
      <w:r w:rsidR="00842E2B" w:rsidRPr="00D27CA2">
        <w:rPr>
          <w:rFonts w:ascii="Times New Roman" w:hAnsi="Times New Roman" w:cs="Times New Roman"/>
          <w:i/>
          <w:sz w:val="24"/>
          <w:szCs w:val="24"/>
        </w:rPr>
        <w:t>p&lt;</w:t>
      </w:r>
      <w:r w:rsidR="00842E2B" w:rsidRPr="00D27CA2">
        <w:rPr>
          <w:rFonts w:ascii="Times New Roman" w:hAnsi="Times New Roman" w:cs="Times New Roman"/>
          <w:sz w:val="24"/>
          <w:szCs w:val="24"/>
        </w:rPr>
        <w:t>0.001). The main effect of Type was not significant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0.00, </w:t>
      </w:r>
      <w:r w:rsidR="00842E2B" w:rsidRPr="00D27CA2">
        <w:rPr>
          <w:rFonts w:ascii="Times New Roman" w:hAnsi="Times New Roman" w:cs="Times New Roman"/>
          <w:i/>
          <w:sz w:val="24"/>
          <w:szCs w:val="24"/>
        </w:rPr>
        <w:t>p=</w:t>
      </w:r>
      <w:r w:rsidR="00842E2B" w:rsidRPr="00D27CA2">
        <w:rPr>
          <w:rFonts w:ascii="Times New Roman" w:hAnsi="Times New Roman" w:cs="Times New Roman"/>
          <w:sz w:val="24"/>
          <w:szCs w:val="24"/>
        </w:rPr>
        <w:t>0.971), but the parietal &gt; frontal gradient was larger for Remembered than Not Remembered words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9.46, </w:t>
      </w:r>
      <w:r w:rsidR="00842E2B" w:rsidRPr="00D27CA2">
        <w:rPr>
          <w:rFonts w:ascii="Times New Roman" w:hAnsi="Times New Roman" w:cs="Times New Roman"/>
          <w:i/>
          <w:sz w:val="24"/>
          <w:szCs w:val="24"/>
        </w:rPr>
        <w:t>p=</w:t>
      </w:r>
      <w:r w:rsidR="00842E2B" w:rsidRPr="00D27CA2">
        <w:rPr>
          <w:rFonts w:ascii="Times New Roman" w:hAnsi="Times New Roman" w:cs="Times New Roman"/>
          <w:sz w:val="24"/>
          <w:szCs w:val="24"/>
        </w:rPr>
        <w:t>0.003). The average activity across sites CPz, P1, Pz, P2, and POz were entered into the second MANOVA. The main effect of Type remained non-significant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3.01, </w:t>
      </w:r>
      <w:r w:rsidR="00842E2B" w:rsidRPr="00D27CA2">
        <w:rPr>
          <w:rFonts w:ascii="Times New Roman" w:hAnsi="Times New Roman" w:cs="Times New Roman"/>
          <w:i/>
          <w:sz w:val="24"/>
          <w:szCs w:val="24"/>
        </w:rPr>
        <w:t>p=</w:t>
      </w:r>
      <w:r w:rsidR="00842E2B" w:rsidRPr="00D27CA2">
        <w:rPr>
          <w:rFonts w:ascii="Times New Roman" w:hAnsi="Times New Roman" w:cs="Times New Roman"/>
          <w:sz w:val="24"/>
          <w:szCs w:val="24"/>
        </w:rPr>
        <w:t xml:space="preserve">0.086), and a main effect of sex </w:t>
      </w:r>
      <w:r w:rsidR="00842E2B" w:rsidRPr="00D27CA2">
        <w:rPr>
          <w:rFonts w:ascii="Times New Roman" w:hAnsi="Times New Roman" w:cs="Times New Roman"/>
          <w:sz w:val="24"/>
          <w:szCs w:val="24"/>
        </w:rPr>
        <w:lastRenderedPageBreak/>
        <w:t>indicated larger P535 in females than males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13.04, </w:t>
      </w:r>
      <w:r w:rsidR="00842E2B" w:rsidRPr="00D27CA2">
        <w:rPr>
          <w:rFonts w:ascii="Times New Roman" w:hAnsi="Times New Roman" w:cs="Times New Roman"/>
          <w:i/>
          <w:sz w:val="24"/>
          <w:szCs w:val="24"/>
        </w:rPr>
        <w:t>p&lt;</w:t>
      </w:r>
      <w:r w:rsidR="00842E2B" w:rsidRPr="00D27CA2">
        <w:rPr>
          <w:rFonts w:ascii="Times New Roman" w:hAnsi="Times New Roman" w:cs="Times New Roman"/>
          <w:sz w:val="24"/>
          <w:szCs w:val="24"/>
        </w:rPr>
        <w:t>0.001). The increase in P535 for females compared to males was larger in the CU than HD group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4.98, </w:t>
      </w:r>
      <w:r w:rsidR="00842E2B" w:rsidRPr="00D27CA2">
        <w:rPr>
          <w:rFonts w:ascii="Times New Roman" w:hAnsi="Times New Roman" w:cs="Times New Roman"/>
          <w:i/>
          <w:sz w:val="24"/>
          <w:szCs w:val="24"/>
        </w:rPr>
        <w:t>p=</w:t>
      </w:r>
      <w:r w:rsidR="00842E2B" w:rsidRPr="00D27CA2">
        <w:rPr>
          <w:rFonts w:ascii="Times New Roman" w:hAnsi="Times New Roman" w:cs="Times New Roman"/>
          <w:sz w:val="24"/>
          <w:szCs w:val="24"/>
        </w:rPr>
        <w:t>0.028), and a three-way interaction approached significance, such that male HD and female HD showed similar Remembered &gt; Not Remembered effects, while amongst CU, males showed a Remembered &gt; Not Remembered effect while females displayed increased amplitude for Not Remembered words (</w:t>
      </w:r>
      <w:r w:rsidR="00842E2B" w:rsidRPr="00D27CA2">
        <w:rPr>
          <w:rFonts w:ascii="Times New Roman" w:hAnsi="Times New Roman" w:cs="Times New Roman"/>
          <w:i/>
          <w:sz w:val="24"/>
          <w:szCs w:val="24"/>
        </w:rPr>
        <w:t>F=</w:t>
      </w:r>
      <w:r w:rsidR="00842E2B" w:rsidRPr="00D27CA2">
        <w:rPr>
          <w:rFonts w:ascii="Times New Roman" w:hAnsi="Times New Roman" w:cs="Times New Roman"/>
          <w:sz w:val="24"/>
          <w:szCs w:val="24"/>
        </w:rPr>
        <w:t xml:space="preserve">3.69, </w:t>
      </w:r>
      <w:r w:rsidR="00842E2B" w:rsidRPr="00D27CA2">
        <w:rPr>
          <w:rFonts w:ascii="Times New Roman" w:hAnsi="Times New Roman" w:cs="Times New Roman"/>
          <w:i/>
          <w:sz w:val="24"/>
          <w:szCs w:val="24"/>
        </w:rPr>
        <w:t>p=</w:t>
      </w:r>
      <w:r w:rsidR="00842E2B" w:rsidRPr="00D27CA2">
        <w:rPr>
          <w:rFonts w:ascii="Times New Roman" w:hAnsi="Times New Roman" w:cs="Times New Roman"/>
          <w:sz w:val="24"/>
          <w:szCs w:val="24"/>
        </w:rPr>
        <w:t>0.058).</w:t>
      </w:r>
    </w:p>
    <w:p w14:paraId="6CC2B165" w14:textId="77777777" w:rsidR="008E7A02" w:rsidRPr="00D27CA2" w:rsidRDefault="008E7A02" w:rsidP="00D606D1">
      <w:pPr>
        <w:pStyle w:val="Heading2"/>
        <w:spacing w:before="0" w:after="200"/>
        <w:rPr>
          <w:rFonts w:cs="Times New Roman"/>
          <w:color w:val="auto"/>
        </w:rPr>
      </w:pPr>
      <w:r w:rsidRPr="00D27CA2">
        <w:rPr>
          <w:rFonts w:cs="Times New Roman"/>
          <w:color w:val="auto"/>
        </w:rPr>
        <w:t>Comparison of component topographies across analyses</w:t>
      </w:r>
    </w:p>
    <w:p w14:paraId="041C59B8" w14:textId="77777777" w:rsidR="008E7A02" w:rsidRPr="00D27CA2" w:rsidRDefault="008E7A02" w:rsidP="008E7A02">
      <w:pPr>
        <w:rPr>
          <w:rFonts w:ascii="Times New Roman" w:hAnsi="Times New Roman" w:cs="Times New Roman"/>
          <w:sz w:val="24"/>
          <w:szCs w:val="24"/>
        </w:rPr>
      </w:pPr>
      <w:r w:rsidRPr="00D27CA2">
        <w:rPr>
          <w:rFonts w:ascii="Times New Roman" w:hAnsi="Times New Roman" w:cs="Times New Roman"/>
          <w:sz w:val="24"/>
          <w:szCs w:val="24"/>
        </w:rPr>
        <w:t>We desired to test the similarity of components identified across samples, beyond subjective comparisons of the component’s site of maximum amplitude, variance explained in the PCA, latency, polarity and topography. However, due to the slightly earlier peak latency in young adults compared to adolescents</w:t>
      </w:r>
      <w:r w:rsidRPr="00D27CA2" w:rsidDel="009600C5">
        <w:rPr>
          <w:rFonts w:ascii="Times New Roman" w:hAnsi="Times New Roman" w:cs="Times New Roman"/>
          <w:sz w:val="24"/>
          <w:szCs w:val="24"/>
        </w:rPr>
        <w:t xml:space="preserve"> </w:t>
      </w:r>
      <w:r w:rsidRPr="00D27CA2">
        <w:rPr>
          <w:rFonts w:ascii="Times New Roman" w:hAnsi="Times New Roman" w:cs="Times New Roman"/>
          <w:noProof/>
          <w:sz w:val="24"/>
          <w:szCs w:val="24"/>
        </w:rPr>
        <w:t>(a finding reported elsewhere, e.g., Tomé et al., 2015; van Dinteren et al., 2014)</w:t>
      </w:r>
      <w:r w:rsidRPr="00D27CA2">
        <w:rPr>
          <w:rFonts w:ascii="Times New Roman" w:hAnsi="Times New Roman" w:cs="Times New Roman"/>
          <w:sz w:val="24"/>
          <w:szCs w:val="24"/>
        </w:rPr>
        <w:t xml:space="preserve">, the data were not suited to make use of the congruence coefficient </w:t>
      </w:r>
      <w:r w:rsidRPr="00D27CA2">
        <w:rPr>
          <w:rFonts w:ascii="Times New Roman" w:hAnsi="Times New Roman" w:cs="Times New Roman"/>
          <w:noProof/>
          <w:sz w:val="24"/>
          <w:szCs w:val="24"/>
        </w:rPr>
        <w:t>(Lorenzo-Seva and ten Berge, 2006)</w:t>
      </w:r>
      <w:r w:rsidRPr="00D27CA2">
        <w:rPr>
          <w:rFonts w:ascii="Times New Roman" w:hAnsi="Times New Roman" w:cs="Times New Roman"/>
          <w:sz w:val="24"/>
          <w:szCs w:val="24"/>
        </w:rPr>
        <w:t xml:space="preserve">. Instead, we calculated the average amplitude across groups and conditions (Remembered and Not Remembered for the Recall phase, and List A, List B and New words for the Recognition phase) at each of the 30 recorded sites which were common to both datasets, and compared the topographies between the adolescent and young adult datasets using Pearson correlations </w:t>
      </w:r>
      <w:r w:rsidRPr="00D27CA2">
        <w:rPr>
          <w:rFonts w:ascii="Times New Roman" w:hAnsi="Times New Roman" w:cs="Times New Roman"/>
          <w:noProof/>
          <w:sz w:val="24"/>
          <w:szCs w:val="24"/>
        </w:rPr>
        <w:t>(Barry et al., 2016)</w:t>
      </w:r>
      <w:r w:rsidRPr="00D27CA2">
        <w:rPr>
          <w:rFonts w:ascii="Times New Roman" w:hAnsi="Times New Roman" w:cs="Times New Roman"/>
          <w:sz w:val="24"/>
          <w:szCs w:val="24"/>
        </w:rPr>
        <w:t xml:space="preserve">. Correlations were universally positive and of large magnitude (all </w:t>
      </w:r>
      <w:r w:rsidRPr="00D27CA2">
        <w:rPr>
          <w:rFonts w:ascii="Times New Roman" w:hAnsi="Times New Roman" w:cs="Times New Roman"/>
          <w:i/>
          <w:sz w:val="24"/>
          <w:szCs w:val="24"/>
        </w:rPr>
        <w:t>p&lt;</w:t>
      </w:r>
      <w:r w:rsidRPr="00D27CA2">
        <w:rPr>
          <w:rFonts w:ascii="Times New Roman" w:hAnsi="Times New Roman" w:cs="Times New Roman"/>
          <w:sz w:val="24"/>
          <w:szCs w:val="24"/>
        </w:rPr>
        <w:t>0.001), indicating high concordance between topographies in each sample: adolescent recall P175 with young adult recall P185 r(28) = 0.91; adolescent recognition N415 with young adult recognition N340 r(28)=0.89; adolescent recognition P640 with young adult recognition P540 r(28)=0.86). The similarity in topography suggests that brain generators underlying these components change little with age from adolescence to young adulthood.</w:t>
      </w:r>
    </w:p>
    <w:p w14:paraId="16688D81" w14:textId="77777777" w:rsidR="00281075" w:rsidRPr="00D27CA2" w:rsidRDefault="00281075" w:rsidP="008F6770">
      <w:pPr>
        <w:rPr>
          <w:rFonts w:ascii="Times New Roman" w:hAnsi="Times New Roman" w:cs="Times New Roman"/>
          <w:b/>
          <w:sz w:val="24"/>
          <w:szCs w:val="24"/>
        </w:rPr>
      </w:pPr>
    </w:p>
    <w:p w14:paraId="5B13B04C" w14:textId="77777777" w:rsidR="00842E2B" w:rsidRPr="00D27CA2" w:rsidRDefault="00842E2B" w:rsidP="008F6770">
      <w:pPr>
        <w:rPr>
          <w:rFonts w:ascii="Times New Roman" w:hAnsi="Times New Roman" w:cs="Times New Roman"/>
          <w:b/>
          <w:sz w:val="24"/>
          <w:szCs w:val="24"/>
        </w:rPr>
      </w:pPr>
      <w:r w:rsidRPr="00D27CA2">
        <w:rPr>
          <w:rFonts w:ascii="Times New Roman" w:hAnsi="Times New Roman" w:cs="Times New Roman"/>
          <w:b/>
          <w:sz w:val="24"/>
          <w:szCs w:val="24"/>
        </w:rPr>
        <w:t>References</w:t>
      </w:r>
    </w:p>
    <w:p w14:paraId="1D5F33E5" w14:textId="77777777" w:rsidR="00561A5F" w:rsidRPr="00D27CA2" w:rsidRDefault="00561A5F" w:rsidP="00561A5F">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Australian Institute of Health and Welfare (AIHW) 2011. 2010 National Drug Strategy Household Survey report. Australian Institute of Health and Welfare, Canberra.</w:t>
      </w:r>
    </w:p>
    <w:p w14:paraId="5D91B5C3" w14:textId="77777777" w:rsidR="00842E2B"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Babiloni, C., Vecchio, F., Mirabella, G., Sebastiano, F., Gennaro, G.D., Quarato, P.P., Buffo, P., Esposito, V., Manfredi, M., Cantore, G., Eusebi, F., 2010. Activity of hippocampal, amygdala, and neocortex during the Rey auditory verbal learning test: An event-related potential study in epileptic patients. Clin Neurophysiol 121, 1351-1357.</w:t>
      </w:r>
    </w:p>
    <w:p w14:paraId="6E154722" w14:textId="77777777" w:rsidR="008E7A02" w:rsidRPr="00D27CA2" w:rsidRDefault="008E7A02" w:rsidP="008E7A02">
      <w:pPr>
        <w:pStyle w:val="EndNoteBibliography"/>
        <w:spacing w:line="276" w:lineRule="auto"/>
        <w:rPr>
          <w:rFonts w:ascii="Times New Roman" w:hAnsi="Times New Roman" w:cs="Times New Roman"/>
          <w:szCs w:val="24"/>
        </w:rPr>
      </w:pPr>
      <w:r w:rsidRPr="00D27CA2">
        <w:rPr>
          <w:rFonts w:ascii="Times New Roman" w:hAnsi="Times New Roman" w:cs="Times New Roman"/>
          <w:szCs w:val="24"/>
        </w:rPr>
        <w:t>Barry, R.J., De Blasio, F.M., Cave, A.E., 2016. Sequential processing in young and older adults in the equiprobable auditory Go/NoGo task. Clin Neurophysiol 127, 2273-2285.</w:t>
      </w:r>
    </w:p>
    <w:p w14:paraId="39F6E849" w14:textId="349AB7EC" w:rsidR="00842E2B"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Battisti, R.A., Roodenrys, S.J., Johnstone, S.J., Respondek, C., Hermens, D.F., Solowij, N., 2010. Chronic use of cannabis and poor neural efficiency in verbal m</w:t>
      </w:r>
      <w:r w:rsidR="003D4FA6" w:rsidRPr="00D27CA2">
        <w:rPr>
          <w:rFonts w:ascii="Times New Roman" w:hAnsi="Times New Roman" w:cs="Times New Roman"/>
          <w:sz w:val="24"/>
          <w:szCs w:val="24"/>
        </w:rPr>
        <w:t>emory ability. Psychopharmacol</w:t>
      </w:r>
      <w:r w:rsidRPr="00D27CA2">
        <w:rPr>
          <w:rFonts w:ascii="Times New Roman" w:hAnsi="Times New Roman" w:cs="Times New Roman"/>
          <w:sz w:val="24"/>
          <w:szCs w:val="24"/>
        </w:rPr>
        <w:t xml:space="preserve"> 209, 319-330.</w:t>
      </w:r>
    </w:p>
    <w:p w14:paraId="503A0851" w14:textId="77777777" w:rsidR="00842E2B"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Blanchet, S., Gagnon, G., Bastien, C., 2007. Event-related potential study of dynamic neural mechanisms of semantic organizational strategies in verbal learning. Brain Res 1170, 59-70.</w:t>
      </w:r>
    </w:p>
    <w:p w14:paraId="5D5DF66C" w14:textId="77777777" w:rsidR="00842E2B"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lastRenderedPageBreak/>
        <w:t>Chapman, R.M., McCrary, J.W., Chapman, J.A., 1978. Short-Term Memory: The "Storage" Component of Human Brain Responses Predicts Recall. Science 202, 1211-1214.</w:t>
      </w:r>
    </w:p>
    <w:p w14:paraId="78C375C2" w14:textId="77777777" w:rsidR="00842E2B"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Dunn, B.R., Dunn, D.A., Languis, M., Andrews, D., 1998. The Relation of ERP Components to Complex Memory Processing. Brain Cogn 36, 355-376.</w:t>
      </w:r>
    </w:p>
    <w:p w14:paraId="7D897C39" w14:textId="2D79E7DD" w:rsidR="00842E2B"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Fox, A.M., Michie, P.T., Coltheart, M., Solowij, N., 1995. Memory functioning in social drinkers: A study of Event-Related Potentials. Alcohol Alcohol 30, 303-310.</w:t>
      </w:r>
    </w:p>
    <w:p w14:paraId="5927917C" w14:textId="77777777" w:rsidR="008E7A02" w:rsidRPr="00D27CA2" w:rsidRDefault="008E7A02" w:rsidP="008E7A02">
      <w:pPr>
        <w:pStyle w:val="EndNoteBibliography"/>
        <w:spacing w:line="276" w:lineRule="auto"/>
        <w:rPr>
          <w:rFonts w:ascii="Times New Roman" w:hAnsi="Times New Roman" w:cs="Times New Roman"/>
          <w:szCs w:val="24"/>
        </w:rPr>
      </w:pPr>
      <w:r w:rsidRPr="00D27CA2">
        <w:rPr>
          <w:rFonts w:ascii="Times New Roman" w:hAnsi="Times New Roman" w:cs="Times New Roman"/>
          <w:szCs w:val="24"/>
        </w:rPr>
        <w:t>Lorenzo-Seva, U., ten Berge, J.M.F., 2006. Tucker's Congruence Coefficient as a meaningful index of factor similarity. Methodol 2, 57-64.</w:t>
      </w:r>
    </w:p>
    <w:p w14:paraId="1E6F9484" w14:textId="3937CFD3" w:rsidR="00CA31BF" w:rsidRPr="00D27CA2" w:rsidRDefault="00842E2B" w:rsidP="003D4FA6">
      <w:pPr>
        <w:pStyle w:val="EndNoteBibliography"/>
        <w:spacing w:line="276" w:lineRule="auto"/>
        <w:rPr>
          <w:rFonts w:ascii="Times New Roman" w:hAnsi="Times New Roman" w:cs="Times New Roman"/>
          <w:sz w:val="24"/>
          <w:szCs w:val="24"/>
        </w:rPr>
      </w:pPr>
      <w:r w:rsidRPr="00D27CA2">
        <w:rPr>
          <w:rFonts w:ascii="Times New Roman" w:hAnsi="Times New Roman" w:cs="Times New Roman"/>
          <w:sz w:val="24"/>
          <w:szCs w:val="24"/>
        </w:rPr>
        <w:t>Smith, M.E., 1993. Neurophysiological Manifestations of Recollective Experience during Recogn</w:t>
      </w:r>
      <w:r w:rsidR="003D4FA6" w:rsidRPr="00D27CA2">
        <w:rPr>
          <w:rFonts w:ascii="Times New Roman" w:hAnsi="Times New Roman" w:cs="Times New Roman"/>
          <w:sz w:val="24"/>
          <w:szCs w:val="24"/>
        </w:rPr>
        <w:t>ition Memory Judgments. J</w:t>
      </w:r>
      <w:r w:rsidRPr="00D27CA2">
        <w:rPr>
          <w:rFonts w:ascii="Times New Roman" w:hAnsi="Times New Roman" w:cs="Times New Roman"/>
          <w:sz w:val="24"/>
          <w:szCs w:val="24"/>
        </w:rPr>
        <w:t xml:space="preserve"> Cogn Neurosci</w:t>
      </w:r>
      <w:r w:rsidR="003D4FA6" w:rsidRPr="00D27CA2">
        <w:rPr>
          <w:rFonts w:ascii="Times New Roman" w:hAnsi="Times New Roman" w:cs="Times New Roman"/>
          <w:sz w:val="24"/>
          <w:szCs w:val="24"/>
        </w:rPr>
        <w:t xml:space="preserve"> 5, 1-13.</w:t>
      </w:r>
    </w:p>
    <w:p w14:paraId="1E63833E" w14:textId="77777777" w:rsidR="008E7A02" w:rsidRPr="00D27CA2" w:rsidRDefault="008E7A02" w:rsidP="008E7A02">
      <w:pPr>
        <w:pStyle w:val="EndNoteBibliography"/>
        <w:spacing w:line="276" w:lineRule="auto"/>
        <w:rPr>
          <w:rFonts w:ascii="Times New Roman" w:hAnsi="Times New Roman" w:cs="Times New Roman"/>
          <w:szCs w:val="24"/>
        </w:rPr>
      </w:pPr>
      <w:r w:rsidRPr="00D27CA2">
        <w:rPr>
          <w:rFonts w:ascii="Times New Roman" w:hAnsi="Times New Roman" w:cs="Times New Roman"/>
          <w:szCs w:val="24"/>
        </w:rPr>
        <w:t>Tomé, D., Barbosa, F., Nowak, K., Marques-Teixeira, J., 2015. The development of the N1 and N2 components in auditory oddball paradigms: a systematic review with narrative analysis and suggested normative values. J Neural Transm 122, 375-391.</w:t>
      </w:r>
    </w:p>
    <w:p w14:paraId="2C071338" w14:textId="77777777" w:rsidR="008E7A02" w:rsidRPr="00D27CA2" w:rsidRDefault="008E7A02" w:rsidP="008E7A02">
      <w:pPr>
        <w:pStyle w:val="EndNoteBibliography"/>
        <w:spacing w:line="276" w:lineRule="auto"/>
        <w:rPr>
          <w:rFonts w:ascii="Times New Roman" w:hAnsi="Times New Roman" w:cs="Times New Roman"/>
          <w:szCs w:val="24"/>
        </w:rPr>
      </w:pPr>
      <w:r w:rsidRPr="00D27CA2">
        <w:rPr>
          <w:rFonts w:ascii="Times New Roman" w:hAnsi="Times New Roman" w:cs="Times New Roman"/>
          <w:szCs w:val="24"/>
        </w:rPr>
        <w:t>van Dinteren, R., Arns, M., Jongsma, M.L.A., Kessels, R.P.C., 2014. P300 Development across the Lifespan: A Systematic Review and Meta-Analysis. PLoS ONE 9, e87347.</w:t>
      </w:r>
    </w:p>
    <w:p w14:paraId="2D2C9769" w14:textId="756E4235" w:rsidR="008E7A02" w:rsidRPr="00D27CA2" w:rsidRDefault="008E7A02" w:rsidP="003D4FA6">
      <w:pPr>
        <w:pStyle w:val="EndNoteBibliography"/>
        <w:spacing w:line="276" w:lineRule="auto"/>
        <w:rPr>
          <w:rFonts w:ascii="Times New Roman" w:hAnsi="Times New Roman" w:cs="Times New Roman"/>
          <w:sz w:val="24"/>
          <w:szCs w:val="24"/>
        </w:rPr>
      </w:pPr>
    </w:p>
    <w:sectPr w:rsidR="008E7A02" w:rsidRPr="00D27CA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B0067" w14:textId="77777777" w:rsidR="001A073D" w:rsidRDefault="001A073D">
      <w:pPr>
        <w:spacing w:after="0" w:line="240" w:lineRule="auto"/>
      </w:pPr>
      <w:r>
        <w:separator/>
      </w:r>
    </w:p>
  </w:endnote>
  <w:endnote w:type="continuationSeparator" w:id="0">
    <w:p w14:paraId="0C371CDB" w14:textId="77777777" w:rsidR="001A073D" w:rsidRDefault="001A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9111576"/>
      <w:docPartObj>
        <w:docPartGallery w:val="Page Numbers (Bottom of Page)"/>
        <w:docPartUnique/>
      </w:docPartObj>
    </w:sdtPr>
    <w:sdtEndPr>
      <w:rPr>
        <w:rFonts w:ascii="Times New Roman" w:hAnsi="Times New Roman" w:cs="Times New Roman"/>
        <w:noProof/>
        <w:sz w:val="24"/>
        <w:szCs w:val="24"/>
      </w:rPr>
    </w:sdtEndPr>
    <w:sdtContent>
      <w:p w14:paraId="3367F995" w14:textId="23186684" w:rsidR="00F31638" w:rsidRPr="00C938B0" w:rsidRDefault="00F31638">
        <w:pPr>
          <w:pStyle w:val="Footer"/>
          <w:jc w:val="right"/>
          <w:rPr>
            <w:rFonts w:ascii="Times New Roman" w:hAnsi="Times New Roman" w:cs="Times New Roman"/>
            <w:sz w:val="24"/>
            <w:szCs w:val="24"/>
          </w:rPr>
        </w:pPr>
        <w:r w:rsidRPr="00C938B0">
          <w:rPr>
            <w:rFonts w:ascii="Times New Roman" w:hAnsi="Times New Roman" w:cs="Times New Roman"/>
            <w:sz w:val="24"/>
            <w:szCs w:val="24"/>
          </w:rPr>
          <w:fldChar w:fldCharType="begin"/>
        </w:r>
        <w:r w:rsidRPr="00C938B0">
          <w:rPr>
            <w:rFonts w:ascii="Times New Roman" w:hAnsi="Times New Roman" w:cs="Times New Roman"/>
            <w:sz w:val="24"/>
            <w:szCs w:val="24"/>
          </w:rPr>
          <w:instrText xml:space="preserve"> PAGE   \* MERGEFORMAT </w:instrText>
        </w:r>
        <w:r w:rsidRPr="00C938B0">
          <w:rPr>
            <w:rFonts w:ascii="Times New Roman" w:hAnsi="Times New Roman" w:cs="Times New Roman"/>
            <w:sz w:val="24"/>
            <w:szCs w:val="24"/>
          </w:rPr>
          <w:fldChar w:fldCharType="separate"/>
        </w:r>
        <w:r w:rsidR="00D27CA2">
          <w:rPr>
            <w:rFonts w:ascii="Times New Roman" w:hAnsi="Times New Roman" w:cs="Times New Roman"/>
            <w:noProof/>
            <w:sz w:val="24"/>
            <w:szCs w:val="24"/>
          </w:rPr>
          <w:t>1</w:t>
        </w:r>
        <w:r w:rsidRPr="00C938B0">
          <w:rPr>
            <w:rFonts w:ascii="Times New Roman" w:hAnsi="Times New Roman" w:cs="Times New Roman"/>
            <w:noProof/>
            <w:sz w:val="24"/>
            <w:szCs w:val="24"/>
          </w:rPr>
          <w:fldChar w:fldCharType="end"/>
        </w:r>
      </w:p>
    </w:sdtContent>
  </w:sdt>
  <w:p w14:paraId="36DEA704" w14:textId="77777777" w:rsidR="00F31638" w:rsidRDefault="00F31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E44BF" w14:textId="77777777" w:rsidR="001A073D" w:rsidRDefault="001A073D">
      <w:pPr>
        <w:spacing w:after="0" w:line="240" w:lineRule="auto"/>
      </w:pPr>
      <w:r>
        <w:separator/>
      </w:r>
    </w:p>
  </w:footnote>
  <w:footnote w:type="continuationSeparator" w:id="0">
    <w:p w14:paraId="717F65A0" w14:textId="77777777" w:rsidR="001A073D" w:rsidRDefault="001A07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42E2B"/>
    <w:rsid w:val="0008026F"/>
    <w:rsid w:val="00100E44"/>
    <w:rsid w:val="001A073D"/>
    <w:rsid w:val="001C418E"/>
    <w:rsid w:val="002212E2"/>
    <w:rsid w:val="0023386A"/>
    <w:rsid w:val="00281075"/>
    <w:rsid w:val="002A3454"/>
    <w:rsid w:val="00382A20"/>
    <w:rsid w:val="003A13C5"/>
    <w:rsid w:val="003D4FA6"/>
    <w:rsid w:val="0049260E"/>
    <w:rsid w:val="004A0EB9"/>
    <w:rsid w:val="00561A5F"/>
    <w:rsid w:val="005D21FE"/>
    <w:rsid w:val="005E5782"/>
    <w:rsid w:val="00610F05"/>
    <w:rsid w:val="00720901"/>
    <w:rsid w:val="007339A7"/>
    <w:rsid w:val="007A6125"/>
    <w:rsid w:val="007A6B33"/>
    <w:rsid w:val="00842E2B"/>
    <w:rsid w:val="00880242"/>
    <w:rsid w:val="008E7A02"/>
    <w:rsid w:val="008F6770"/>
    <w:rsid w:val="009A11F0"/>
    <w:rsid w:val="009E51D7"/>
    <w:rsid w:val="00A30008"/>
    <w:rsid w:val="00AB0ABF"/>
    <w:rsid w:val="00AD20A3"/>
    <w:rsid w:val="00C31E58"/>
    <w:rsid w:val="00CA31BF"/>
    <w:rsid w:val="00D1433D"/>
    <w:rsid w:val="00D27CA2"/>
    <w:rsid w:val="00D606D1"/>
    <w:rsid w:val="00DB7146"/>
    <w:rsid w:val="00E67DB1"/>
    <w:rsid w:val="00E838B8"/>
    <w:rsid w:val="00EA062D"/>
    <w:rsid w:val="00F31638"/>
    <w:rsid w:val="00F963B4"/>
    <w:rsid w:val="00FC39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83691"/>
  <w15:docId w15:val="{F7692A23-77C8-41EC-BCCB-EA4A5EF6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2E2B"/>
  </w:style>
  <w:style w:type="paragraph" w:styleId="Heading1">
    <w:name w:val="heading 1"/>
    <w:basedOn w:val="Normal"/>
    <w:next w:val="Normal"/>
    <w:link w:val="Heading1Char"/>
    <w:uiPriority w:val="9"/>
    <w:qFormat/>
    <w:rsid w:val="002A3454"/>
    <w:pPr>
      <w:keepNext/>
      <w:keepLines/>
      <w:spacing w:before="480" w:after="0"/>
      <w:outlineLvl w:val="0"/>
    </w:pPr>
    <w:rPr>
      <w:rFonts w:ascii="Times New Roman" w:eastAsiaTheme="majorEastAsia" w:hAnsi="Times New Roman"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2A3454"/>
    <w:pPr>
      <w:keepNext/>
      <w:keepLines/>
      <w:spacing w:before="200" w:after="0"/>
      <w:outlineLvl w:val="1"/>
    </w:pPr>
    <w:rPr>
      <w:rFonts w:ascii="Times New Roman" w:eastAsiaTheme="majorEastAsia" w:hAnsi="Times New Roman" w:cstheme="majorBidi"/>
      <w:b/>
      <w:bCs/>
      <w:color w:val="4F81BD" w:themeColor="accent1"/>
      <w:sz w:val="24"/>
      <w:szCs w:val="26"/>
    </w:rPr>
  </w:style>
  <w:style w:type="paragraph" w:styleId="Heading3">
    <w:name w:val="heading 3"/>
    <w:basedOn w:val="Normal"/>
    <w:next w:val="Normal"/>
    <w:link w:val="Heading3Char"/>
    <w:uiPriority w:val="9"/>
    <w:semiHidden/>
    <w:unhideWhenUsed/>
    <w:qFormat/>
    <w:rsid w:val="008E7A0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2E2B"/>
    <w:pPr>
      <w:spacing w:after="0" w:line="240" w:lineRule="auto"/>
    </w:pPr>
    <w:rPr>
      <w:rFonts w:eastAsiaTheme="minorEastAsia"/>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2E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E2B"/>
    <w:rPr>
      <w:rFonts w:ascii="Tahoma" w:hAnsi="Tahoma" w:cs="Tahoma"/>
      <w:sz w:val="16"/>
      <w:szCs w:val="16"/>
    </w:rPr>
  </w:style>
  <w:style w:type="character" w:styleId="CommentReference">
    <w:name w:val="annotation reference"/>
    <w:basedOn w:val="DefaultParagraphFont"/>
    <w:uiPriority w:val="99"/>
    <w:semiHidden/>
    <w:unhideWhenUsed/>
    <w:rsid w:val="00842E2B"/>
    <w:rPr>
      <w:sz w:val="16"/>
      <w:szCs w:val="16"/>
    </w:rPr>
  </w:style>
  <w:style w:type="paragraph" w:styleId="CommentText">
    <w:name w:val="annotation text"/>
    <w:basedOn w:val="Normal"/>
    <w:link w:val="CommentTextChar"/>
    <w:uiPriority w:val="99"/>
    <w:semiHidden/>
    <w:unhideWhenUsed/>
    <w:rsid w:val="00842E2B"/>
    <w:pPr>
      <w:spacing w:line="240" w:lineRule="auto"/>
    </w:pPr>
    <w:rPr>
      <w:rFonts w:eastAsiaTheme="minorEastAsia"/>
      <w:sz w:val="20"/>
      <w:szCs w:val="20"/>
      <w:lang w:eastAsia="en-AU"/>
    </w:rPr>
  </w:style>
  <w:style w:type="character" w:customStyle="1" w:styleId="CommentTextChar">
    <w:name w:val="Comment Text Char"/>
    <w:basedOn w:val="DefaultParagraphFont"/>
    <w:link w:val="CommentText"/>
    <w:uiPriority w:val="99"/>
    <w:semiHidden/>
    <w:rsid w:val="00842E2B"/>
    <w:rPr>
      <w:rFonts w:eastAsiaTheme="minorEastAsia"/>
      <w:sz w:val="20"/>
      <w:szCs w:val="20"/>
      <w:lang w:eastAsia="en-AU"/>
    </w:rPr>
  </w:style>
  <w:style w:type="paragraph" w:styleId="CommentSubject">
    <w:name w:val="annotation subject"/>
    <w:basedOn w:val="CommentText"/>
    <w:next w:val="CommentText"/>
    <w:link w:val="CommentSubjectChar"/>
    <w:uiPriority w:val="99"/>
    <w:semiHidden/>
    <w:unhideWhenUsed/>
    <w:rsid w:val="00842E2B"/>
    <w:rPr>
      <w:b/>
      <w:bCs/>
    </w:rPr>
  </w:style>
  <w:style w:type="character" w:customStyle="1" w:styleId="CommentSubjectChar">
    <w:name w:val="Comment Subject Char"/>
    <w:basedOn w:val="CommentTextChar"/>
    <w:link w:val="CommentSubject"/>
    <w:uiPriority w:val="99"/>
    <w:semiHidden/>
    <w:rsid w:val="00842E2B"/>
    <w:rPr>
      <w:rFonts w:eastAsiaTheme="minorEastAsia"/>
      <w:b/>
      <w:bCs/>
      <w:sz w:val="20"/>
      <w:szCs w:val="20"/>
      <w:lang w:eastAsia="en-AU"/>
    </w:rPr>
  </w:style>
  <w:style w:type="paragraph" w:customStyle="1" w:styleId="EndNoteBibliographyTitle">
    <w:name w:val="EndNote Bibliography Title"/>
    <w:basedOn w:val="Normal"/>
    <w:link w:val="EndNoteBibliographyTitleChar"/>
    <w:rsid w:val="00842E2B"/>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42E2B"/>
    <w:rPr>
      <w:rFonts w:ascii="Calibri" w:hAnsi="Calibri"/>
      <w:noProof/>
      <w:lang w:val="en-US"/>
    </w:rPr>
  </w:style>
  <w:style w:type="paragraph" w:customStyle="1" w:styleId="EndNoteBibliography">
    <w:name w:val="EndNote Bibliography"/>
    <w:basedOn w:val="Normal"/>
    <w:link w:val="EndNoteBibliographyChar"/>
    <w:rsid w:val="00842E2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42E2B"/>
    <w:rPr>
      <w:rFonts w:ascii="Calibri" w:hAnsi="Calibri"/>
      <w:noProof/>
      <w:lang w:val="en-US"/>
    </w:rPr>
  </w:style>
  <w:style w:type="paragraph" w:styleId="Header">
    <w:name w:val="header"/>
    <w:basedOn w:val="Normal"/>
    <w:link w:val="HeaderChar"/>
    <w:uiPriority w:val="99"/>
    <w:unhideWhenUsed/>
    <w:rsid w:val="00842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2E2B"/>
  </w:style>
  <w:style w:type="paragraph" w:styleId="Footer">
    <w:name w:val="footer"/>
    <w:basedOn w:val="Normal"/>
    <w:link w:val="FooterChar"/>
    <w:uiPriority w:val="99"/>
    <w:unhideWhenUsed/>
    <w:rsid w:val="00842E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2E2B"/>
  </w:style>
  <w:style w:type="character" w:customStyle="1" w:styleId="Heading1Char">
    <w:name w:val="Heading 1 Char"/>
    <w:basedOn w:val="DefaultParagraphFont"/>
    <w:link w:val="Heading1"/>
    <w:uiPriority w:val="9"/>
    <w:rsid w:val="002A3454"/>
    <w:rPr>
      <w:rFonts w:ascii="Times New Roman" w:eastAsiaTheme="majorEastAsia" w:hAnsi="Times New Roman" w:cstheme="majorBidi"/>
      <w:b/>
      <w:bCs/>
      <w:color w:val="365F91" w:themeColor="accent1" w:themeShade="BF"/>
      <w:sz w:val="24"/>
      <w:szCs w:val="28"/>
    </w:rPr>
  </w:style>
  <w:style w:type="character" w:customStyle="1" w:styleId="Heading2Char">
    <w:name w:val="Heading 2 Char"/>
    <w:basedOn w:val="DefaultParagraphFont"/>
    <w:link w:val="Heading2"/>
    <w:uiPriority w:val="9"/>
    <w:rsid w:val="002A3454"/>
    <w:rPr>
      <w:rFonts w:ascii="Times New Roman" w:eastAsiaTheme="majorEastAsia" w:hAnsi="Times New Roman" w:cstheme="majorBidi"/>
      <w:b/>
      <w:bCs/>
      <w:color w:val="4F81BD" w:themeColor="accent1"/>
      <w:sz w:val="24"/>
      <w:szCs w:val="26"/>
    </w:rPr>
  </w:style>
  <w:style w:type="paragraph" w:styleId="Revision">
    <w:name w:val="Revision"/>
    <w:hidden/>
    <w:uiPriority w:val="99"/>
    <w:semiHidden/>
    <w:rsid w:val="00382A20"/>
    <w:pPr>
      <w:spacing w:after="0" w:line="240" w:lineRule="auto"/>
    </w:pPr>
  </w:style>
  <w:style w:type="character" w:customStyle="1" w:styleId="Heading3Char">
    <w:name w:val="Heading 3 Char"/>
    <w:basedOn w:val="DefaultParagraphFont"/>
    <w:link w:val="Heading3"/>
    <w:uiPriority w:val="9"/>
    <w:semiHidden/>
    <w:rsid w:val="008E7A0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359689">
      <w:bodyDiv w:val="1"/>
      <w:marLeft w:val="0"/>
      <w:marRight w:val="0"/>
      <w:marTop w:val="0"/>
      <w:marBottom w:val="0"/>
      <w:divBdr>
        <w:top w:val="none" w:sz="0" w:space="0" w:color="auto"/>
        <w:left w:val="none" w:sz="0" w:space="0" w:color="auto"/>
        <w:bottom w:val="none" w:sz="0" w:space="0" w:color="auto"/>
        <w:right w:val="none" w:sz="0" w:space="0" w:color="auto"/>
      </w:divBdr>
    </w:div>
    <w:div w:id="179320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418</TotalTime>
  <Pages>12</Pages>
  <Words>3728</Words>
  <Characters>21252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24931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Janette Smith</dc:creator>
  <cp:lastModifiedBy>Jason Bruggemann</cp:lastModifiedBy>
  <cp:revision>17</cp:revision>
  <dcterms:created xsi:type="dcterms:W3CDTF">2017-07-31T03:11:00Z</dcterms:created>
  <dcterms:modified xsi:type="dcterms:W3CDTF">2017-12-01T07:03:00Z</dcterms:modified>
</cp:coreProperties>
</file>