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9535330" w14:textId="77777777" w:rsidR="002D3BB7" w:rsidRPr="00F73F78" w:rsidRDefault="002D3BB7" w:rsidP="007512EC">
      <w:pPr>
        <w:rPr>
          <w:rFonts w:cstheme="minorHAnsi"/>
        </w:rPr>
      </w:pPr>
      <w:r w:rsidRPr="00F73F78">
        <w:rPr>
          <w:rFonts w:cstheme="minorHAnsi"/>
        </w:rPr>
        <w:t>Target Journal: J Addiction Medicine</w:t>
      </w:r>
    </w:p>
    <w:p w14:paraId="1CAB23E5" w14:textId="77777777" w:rsidR="002D3BB7" w:rsidRPr="00F73F78" w:rsidRDefault="002D3BB7" w:rsidP="00500E4D">
      <w:pPr>
        <w:spacing w:line="480" w:lineRule="auto"/>
        <w:rPr>
          <w:rFonts w:cstheme="minorHAnsi"/>
          <w:b/>
          <w:bCs/>
        </w:rPr>
      </w:pPr>
      <w:r w:rsidRPr="00F73F78">
        <w:rPr>
          <w:rFonts w:cstheme="minorHAnsi"/>
          <w:b/>
          <w:bCs/>
        </w:rPr>
        <w:t>Continued Post-Trial Benefits of Buprenorphine Extended Release: RECOVER Study Findings</w:t>
      </w:r>
    </w:p>
    <w:p w14:paraId="6C8CB84B" w14:textId="77777777" w:rsidR="002D3BB7" w:rsidRPr="00F73F78" w:rsidRDefault="002D3BB7" w:rsidP="00500E4D">
      <w:pPr>
        <w:pStyle w:val="Paragraph"/>
        <w:rPr>
          <w:rFonts w:asciiTheme="minorHAnsi" w:hAnsiTheme="minorHAnsi" w:cstheme="minorHAnsi"/>
          <w:b/>
          <w:szCs w:val="22"/>
        </w:rPr>
      </w:pPr>
    </w:p>
    <w:p w14:paraId="6D87069C" w14:textId="77777777" w:rsidR="002D3BB7" w:rsidRPr="00F73F78" w:rsidRDefault="002D3BB7" w:rsidP="00500E4D">
      <w:pPr>
        <w:pStyle w:val="Paragraph"/>
        <w:rPr>
          <w:rFonts w:asciiTheme="minorHAnsi" w:hAnsiTheme="minorHAnsi" w:cstheme="minorHAnsi"/>
          <w:szCs w:val="22"/>
          <w:vertAlign w:val="superscript"/>
          <w:lang w:val="en-US"/>
        </w:rPr>
      </w:pPr>
      <w:r w:rsidRPr="00F73F78">
        <w:rPr>
          <w:rFonts w:asciiTheme="minorHAnsi" w:hAnsiTheme="minorHAnsi" w:cstheme="minorHAnsi"/>
          <w:szCs w:val="22"/>
          <w:lang w:val="en-US"/>
        </w:rPr>
        <w:t xml:space="preserve">Brent </w:t>
      </w:r>
      <w:proofErr w:type="spellStart"/>
      <w:r w:rsidRPr="00F73F78">
        <w:rPr>
          <w:rFonts w:asciiTheme="minorHAnsi" w:hAnsiTheme="minorHAnsi" w:cstheme="minorHAnsi"/>
          <w:szCs w:val="22"/>
          <w:lang w:val="en-US"/>
        </w:rPr>
        <w:t>Boyett</w:t>
      </w:r>
      <w:r w:rsidRPr="00F73F78">
        <w:rPr>
          <w:rFonts w:asciiTheme="minorHAnsi" w:hAnsiTheme="minorHAnsi" w:cstheme="minorHAnsi"/>
          <w:szCs w:val="22"/>
          <w:vertAlign w:val="superscript"/>
          <w:lang w:val="en-US"/>
        </w:rPr>
        <w:t>a</w:t>
      </w:r>
      <w:proofErr w:type="spellEnd"/>
      <w:r w:rsidRPr="00F73F78">
        <w:rPr>
          <w:rFonts w:asciiTheme="minorHAnsi" w:hAnsiTheme="minorHAnsi" w:cstheme="minorHAnsi"/>
          <w:szCs w:val="22"/>
          <w:lang w:val="en-US"/>
        </w:rPr>
        <w:t xml:space="preserve">, Vijay R. </w:t>
      </w:r>
      <w:proofErr w:type="spellStart"/>
      <w:r w:rsidRPr="00F73F78">
        <w:rPr>
          <w:rFonts w:asciiTheme="minorHAnsi" w:hAnsiTheme="minorHAnsi" w:cstheme="minorHAnsi"/>
          <w:szCs w:val="22"/>
          <w:lang w:val="en-US"/>
        </w:rPr>
        <w:t>Nadipelli</w:t>
      </w:r>
      <w:r w:rsidRPr="00F73F78">
        <w:rPr>
          <w:rFonts w:asciiTheme="minorHAnsi" w:hAnsiTheme="minorHAnsi" w:cstheme="minorHAnsi"/>
          <w:szCs w:val="22"/>
          <w:vertAlign w:val="superscript"/>
          <w:lang w:val="en-US"/>
        </w:rPr>
        <w:t>b</w:t>
      </w:r>
      <w:proofErr w:type="spellEnd"/>
      <w:r w:rsidRPr="00F73F78">
        <w:rPr>
          <w:rFonts w:asciiTheme="minorHAnsi" w:hAnsiTheme="minorHAnsi" w:cstheme="minorHAnsi"/>
          <w:szCs w:val="22"/>
          <w:lang w:val="en-US"/>
        </w:rPr>
        <w:t xml:space="preserve">, Caitlyn T. </w:t>
      </w:r>
      <w:proofErr w:type="spellStart"/>
      <w:r w:rsidRPr="00F73F78">
        <w:rPr>
          <w:rFonts w:asciiTheme="minorHAnsi" w:hAnsiTheme="minorHAnsi" w:cstheme="minorHAnsi"/>
          <w:szCs w:val="22"/>
          <w:lang w:val="en-US"/>
        </w:rPr>
        <w:t>Solem</w:t>
      </w:r>
      <w:r w:rsidRPr="00F73F78">
        <w:rPr>
          <w:rFonts w:asciiTheme="minorHAnsi" w:hAnsiTheme="minorHAnsi" w:cstheme="minorHAnsi"/>
          <w:szCs w:val="22"/>
          <w:vertAlign w:val="superscript"/>
          <w:lang w:val="en-US"/>
        </w:rPr>
        <w:t>d</w:t>
      </w:r>
      <w:proofErr w:type="spellEnd"/>
      <w:r w:rsidRPr="00F73F78">
        <w:rPr>
          <w:rFonts w:asciiTheme="minorHAnsi" w:hAnsiTheme="minorHAnsi" w:cstheme="minorHAnsi"/>
          <w:szCs w:val="22"/>
          <w:lang w:val="en-US"/>
        </w:rPr>
        <w:t xml:space="preserve">, Howard </w:t>
      </w:r>
      <w:proofErr w:type="spellStart"/>
      <w:r w:rsidRPr="00F73F78">
        <w:rPr>
          <w:rFonts w:asciiTheme="minorHAnsi" w:hAnsiTheme="minorHAnsi" w:cstheme="minorHAnsi"/>
          <w:szCs w:val="22"/>
          <w:lang w:val="en-US"/>
        </w:rPr>
        <w:t>Chilcoat</w:t>
      </w:r>
      <w:r w:rsidRPr="00F73F78">
        <w:rPr>
          <w:rFonts w:asciiTheme="minorHAnsi" w:hAnsiTheme="minorHAnsi" w:cstheme="minorHAnsi"/>
          <w:szCs w:val="22"/>
          <w:vertAlign w:val="superscript"/>
          <w:lang w:val="en-US"/>
        </w:rPr>
        <w:t>b,c</w:t>
      </w:r>
      <w:proofErr w:type="spellEnd"/>
      <w:r w:rsidRPr="00F73F78">
        <w:rPr>
          <w:rFonts w:asciiTheme="minorHAnsi" w:hAnsiTheme="minorHAnsi" w:cstheme="minorHAnsi"/>
          <w:szCs w:val="22"/>
          <w:lang w:val="en-US"/>
        </w:rPr>
        <w:t xml:space="preserve">, </w:t>
      </w:r>
      <w:r w:rsidRPr="00F73F78">
        <w:rPr>
          <w:rFonts w:asciiTheme="minorHAnsi" w:hAnsiTheme="minorHAnsi" w:cstheme="minorHAnsi"/>
          <w:szCs w:val="22"/>
          <w:u w:val="single"/>
          <w:lang w:val="en-US"/>
        </w:rPr>
        <w:t xml:space="preserve">Warren K. </w:t>
      </w:r>
      <w:proofErr w:type="spellStart"/>
      <w:r w:rsidRPr="00F73F78">
        <w:rPr>
          <w:rFonts w:asciiTheme="minorHAnsi" w:hAnsiTheme="minorHAnsi" w:cstheme="minorHAnsi"/>
          <w:szCs w:val="22"/>
          <w:u w:val="single"/>
          <w:lang w:val="en-US"/>
        </w:rPr>
        <w:t>Bickel</w:t>
      </w:r>
      <w:r w:rsidRPr="00F73F78">
        <w:rPr>
          <w:rFonts w:asciiTheme="minorHAnsi" w:hAnsiTheme="minorHAnsi" w:cstheme="minorHAnsi"/>
          <w:szCs w:val="22"/>
          <w:u w:val="single"/>
          <w:vertAlign w:val="superscript"/>
          <w:lang w:val="en-US"/>
        </w:rPr>
        <w:t>e</w:t>
      </w:r>
      <w:proofErr w:type="spellEnd"/>
      <w:r w:rsidRPr="00F73F78">
        <w:rPr>
          <w:rFonts w:asciiTheme="minorHAnsi" w:hAnsiTheme="minorHAnsi" w:cstheme="minorHAnsi"/>
          <w:szCs w:val="22"/>
          <w:lang w:val="en-US"/>
        </w:rPr>
        <w:t xml:space="preserve">, Walter </w:t>
      </w:r>
      <w:proofErr w:type="spellStart"/>
      <w:r w:rsidRPr="00F73F78">
        <w:rPr>
          <w:rFonts w:asciiTheme="minorHAnsi" w:hAnsiTheme="minorHAnsi" w:cstheme="minorHAnsi"/>
          <w:szCs w:val="22"/>
          <w:lang w:val="en-US"/>
        </w:rPr>
        <w:t>Ling</w:t>
      </w:r>
      <w:r w:rsidRPr="00F73F78">
        <w:rPr>
          <w:rFonts w:asciiTheme="minorHAnsi" w:hAnsiTheme="minorHAnsi" w:cstheme="minorHAnsi"/>
          <w:szCs w:val="22"/>
          <w:vertAlign w:val="superscript"/>
          <w:lang w:val="en-US"/>
        </w:rPr>
        <w:t>f</w:t>
      </w:r>
      <w:proofErr w:type="spellEnd"/>
    </w:p>
    <w:p w14:paraId="70158821" w14:textId="77777777" w:rsidR="002D3BB7" w:rsidRPr="00F73F78" w:rsidRDefault="002D3BB7" w:rsidP="00500E4D">
      <w:pPr>
        <w:pStyle w:val="Paragraph"/>
        <w:rPr>
          <w:rFonts w:asciiTheme="minorHAnsi" w:hAnsiTheme="minorHAnsi" w:cstheme="minorHAnsi"/>
          <w:bCs/>
          <w:szCs w:val="22"/>
          <w:lang w:val="en-US"/>
        </w:rPr>
      </w:pPr>
      <w:r w:rsidRPr="00F73F78">
        <w:rPr>
          <w:rFonts w:asciiTheme="minorHAnsi" w:hAnsiTheme="minorHAnsi" w:cstheme="minorHAnsi"/>
          <w:bCs/>
          <w:szCs w:val="22"/>
          <w:vertAlign w:val="superscript"/>
          <w:lang w:val="en-US"/>
        </w:rPr>
        <w:t>a</w:t>
      </w:r>
      <w:r w:rsidRPr="00F73F78">
        <w:rPr>
          <w:rFonts w:asciiTheme="minorHAnsi" w:hAnsiTheme="minorHAnsi" w:cstheme="minorHAnsi"/>
          <w:bCs/>
          <w:szCs w:val="22"/>
          <w:lang w:val="en-US"/>
        </w:rPr>
        <w:t xml:space="preserve"> Pathway Healthcare, 1000 Urban Center Drive, Suite 600, Birmingham, AL 35235, USA</w:t>
      </w:r>
    </w:p>
    <w:p w14:paraId="051444C4" w14:textId="77777777" w:rsidR="002D3BB7" w:rsidRPr="00F73F78" w:rsidRDefault="002D3BB7" w:rsidP="00500E4D">
      <w:pPr>
        <w:pStyle w:val="Paragraph"/>
        <w:rPr>
          <w:rFonts w:asciiTheme="minorHAnsi" w:hAnsiTheme="minorHAnsi" w:cstheme="minorHAnsi"/>
          <w:bCs/>
          <w:szCs w:val="22"/>
          <w:lang w:val="en-US"/>
        </w:rPr>
      </w:pPr>
      <w:proofErr w:type="gramStart"/>
      <w:r w:rsidRPr="00F73F78">
        <w:rPr>
          <w:rFonts w:asciiTheme="minorHAnsi" w:hAnsiTheme="minorHAnsi" w:cstheme="minorHAnsi"/>
          <w:bCs/>
          <w:szCs w:val="22"/>
          <w:vertAlign w:val="superscript"/>
          <w:lang w:val="en-US"/>
        </w:rPr>
        <w:t>b</w:t>
      </w:r>
      <w:proofErr w:type="gramEnd"/>
      <w:r w:rsidRPr="00F73F78">
        <w:rPr>
          <w:rFonts w:asciiTheme="minorHAnsi" w:hAnsiTheme="minorHAnsi" w:cstheme="minorHAnsi"/>
          <w:bCs/>
          <w:szCs w:val="22"/>
          <w:lang w:val="en-US"/>
        </w:rPr>
        <w:t xml:space="preserve"> </w:t>
      </w:r>
      <w:proofErr w:type="spellStart"/>
      <w:r w:rsidRPr="00F73F78">
        <w:rPr>
          <w:rFonts w:asciiTheme="minorHAnsi" w:hAnsiTheme="minorHAnsi" w:cstheme="minorHAnsi"/>
          <w:bCs/>
          <w:szCs w:val="22"/>
          <w:lang w:val="en-US"/>
        </w:rPr>
        <w:t>Indivior</w:t>
      </w:r>
      <w:proofErr w:type="spellEnd"/>
      <w:r w:rsidRPr="00F73F78">
        <w:rPr>
          <w:rFonts w:asciiTheme="minorHAnsi" w:hAnsiTheme="minorHAnsi" w:cstheme="minorHAnsi"/>
          <w:bCs/>
          <w:szCs w:val="22"/>
          <w:lang w:val="en-US"/>
        </w:rPr>
        <w:t xml:space="preserve"> Inc., 10710 Midlothian Turnpike, Suite 430, Richmond, VA 23235, USA </w:t>
      </w:r>
    </w:p>
    <w:p w14:paraId="759EC088" w14:textId="77777777" w:rsidR="002D3BB7" w:rsidRPr="00F73F78" w:rsidRDefault="002D3BB7" w:rsidP="00500E4D">
      <w:pPr>
        <w:pStyle w:val="Paragraph"/>
        <w:rPr>
          <w:rFonts w:asciiTheme="minorHAnsi" w:hAnsiTheme="minorHAnsi" w:cstheme="minorHAnsi"/>
          <w:bCs/>
          <w:szCs w:val="22"/>
          <w:lang w:val="en-US"/>
        </w:rPr>
      </w:pPr>
      <w:r w:rsidRPr="00F73F78">
        <w:rPr>
          <w:rFonts w:asciiTheme="minorHAnsi" w:hAnsiTheme="minorHAnsi" w:cstheme="minorHAnsi"/>
          <w:bCs/>
          <w:szCs w:val="22"/>
          <w:vertAlign w:val="superscript"/>
          <w:lang w:val="en-US"/>
        </w:rPr>
        <w:t>c</w:t>
      </w:r>
      <w:r w:rsidRPr="00F73F78">
        <w:rPr>
          <w:rFonts w:asciiTheme="minorHAnsi" w:hAnsiTheme="minorHAnsi" w:cstheme="minorHAnsi"/>
          <w:bCs/>
          <w:szCs w:val="22"/>
          <w:lang w:val="en-US"/>
        </w:rPr>
        <w:t xml:space="preserve"> Johns Hopkins University Bloomberg School of Public Health, 624 N. Broadway, Baltimore, MD 21205, USA</w:t>
      </w:r>
    </w:p>
    <w:p w14:paraId="664D1D7C" w14:textId="77777777" w:rsidR="002D3BB7" w:rsidRPr="00F73F78" w:rsidRDefault="002D3BB7" w:rsidP="00500E4D">
      <w:pPr>
        <w:pStyle w:val="Paragraph"/>
        <w:rPr>
          <w:rFonts w:asciiTheme="minorHAnsi" w:hAnsiTheme="minorHAnsi" w:cstheme="minorHAnsi"/>
          <w:bCs/>
          <w:szCs w:val="22"/>
          <w:lang w:val="en-US"/>
        </w:rPr>
      </w:pPr>
      <w:proofErr w:type="gramStart"/>
      <w:r w:rsidRPr="00F73F78">
        <w:rPr>
          <w:rFonts w:asciiTheme="minorHAnsi" w:hAnsiTheme="minorHAnsi" w:cstheme="minorHAnsi"/>
          <w:bCs/>
          <w:szCs w:val="22"/>
          <w:vertAlign w:val="superscript"/>
          <w:lang w:val="en-US"/>
        </w:rPr>
        <w:t>d</w:t>
      </w:r>
      <w:proofErr w:type="gramEnd"/>
      <w:r w:rsidRPr="00F73F78">
        <w:rPr>
          <w:rFonts w:asciiTheme="minorHAnsi" w:hAnsiTheme="minorHAnsi" w:cstheme="minorHAnsi"/>
          <w:bCs/>
          <w:szCs w:val="22"/>
          <w:vertAlign w:val="superscript"/>
          <w:lang w:val="en-US"/>
        </w:rPr>
        <w:t xml:space="preserve"> </w:t>
      </w:r>
      <w:r w:rsidRPr="00F73F78">
        <w:rPr>
          <w:rFonts w:asciiTheme="minorHAnsi" w:hAnsiTheme="minorHAnsi" w:cstheme="minorHAnsi"/>
          <w:bCs/>
          <w:szCs w:val="22"/>
          <w:lang w:val="en-US"/>
        </w:rPr>
        <w:t>OPEN Health, 4350 East-West Highway, Suite 1100, Bethesda, MD 20814, USA</w:t>
      </w:r>
    </w:p>
    <w:p w14:paraId="37711675" w14:textId="77777777" w:rsidR="002D3BB7" w:rsidRPr="00F73F78" w:rsidRDefault="002D3BB7" w:rsidP="00500E4D">
      <w:pPr>
        <w:pStyle w:val="Paragraph"/>
        <w:rPr>
          <w:rFonts w:asciiTheme="minorHAnsi" w:hAnsiTheme="minorHAnsi" w:cstheme="minorHAnsi"/>
          <w:bCs/>
          <w:szCs w:val="22"/>
          <w:lang w:val="en-US"/>
        </w:rPr>
      </w:pPr>
      <w:r w:rsidRPr="00F73F78">
        <w:rPr>
          <w:rFonts w:asciiTheme="minorHAnsi" w:hAnsiTheme="minorHAnsi" w:cstheme="minorHAnsi"/>
          <w:bCs/>
          <w:szCs w:val="22"/>
          <w:vertAlign w:val="superscript"/>
          <w:lang w:val="en-US"/>
        </w:rPr>
        <w:t>e</w:t>
      </w:r>
      <w:r w:rsidRPr="00F73F78">
        <w:rPr>
          <w:rFonts w:asciiTheme="minorHAnsi" w:hAnsiTheme="minorHAnsi" w:cstheme="minorHAnsi"/>
          <w:bCs/>
          <w:szCs w:val="22"/>
          <w:lang w:val="en-US"/>
        </w:rPr>
        <w:t xml:space="preserve"> Virginia Tech </w:t>
      </w:r>
      <w:proofErr w:type="spellStart"/>
      <w:r w:rsidRPr="00F73F78">
        <w:rPr>
          <w:rFonts w:asciiTheme="minorHAnsi" w:hAnsiTheme="minorHAnsi" w:cstheme="minorHAnsi"/>
          <w:bCs/>
          <w:szCs w:val="22"/>
          <w:lang w:val="en-US"/>
        </w:rPr>
        <w:t>Carilion</w:t>
      </w:r>
      <w:proofErr w:type="spellEnd"/>
      <w:r w:rsidRPr="00F73F78">
        <w:rPr>
          <w:rFonts w:asciiTheme="minorHAnsi" w:hAnsiTheme="minorHAnsi" w:cstheme="minorHAnsi"/>
          <w:bCs/>
          <w:szCs w:val="22"/>
          <w:lang w:val="en-US"/>
        </w:rPr>
        <w:t xml:space="preserve"> Behavioral Health Research Professor, </w:t>
      </w:r>
      <w:proofErr w:type="spellStart"/>
      <w:r w:rsidRPr="00F73F78">
        <w:rPr>
          <w:rFonts w:asciiTheme="minorHAnsi" w:hAnsiTheme="minorHAnsi" w:cstheme="minorHAnsi"/>
          <w:bCs/>
          <w:szCs w:val="22"/>
          <w:lang w:val="en-US"/>
        </w:rPr>
        <w:t>Fralin</w:t>
      </w:r>
      <w:proofErr w:type="spellEnd"/>
      <w:r w:rsidRPr="00F73F78">
        <w:rPr>
          <w:rFonts w:asciiTheme="minorHAnsi" w:hAnsiTheme="minorHAnsi" w:cstheme="minorHAnsi"/>
          <w:bCs/>
          <w:szCs w:val="22"/>
          <w:lang w:val="en-US"/>
        </w:rPr>
        <w:t xml:space="preserve"> Biomedical Research Institute, 2 Riverside Circle, Roanoke, VA, 24016, USA</w:t>
      </w:r>
    </w:p>
    <w:p w14:paraId="08775C60" w14:textId="77777777" w:rsidR="002D3BB7" w:rsidRPr="00F73F78" w:rsidRDefault="002D3BB7" w:rsidP="00500E4D">
      <w:pPr>
        <w:pStyle w:val="Paragraph"/>
        <w:rPr>
          <w:rFonts w:asciiTheme="minorHAnsi" w:hAnsiTheme="minorHAnsi" w:cstheme="minorHAnsi"/>
          <w:bCs/>
          <w:szCs w:val="22"/>
          <w:lang w:val="en-US"/>
        </w:rPr>
      </w:pPr>
      <w:r w:rsidRPr="00F73F78">
        <w:rPr>
          <w:rFonts w:asciiTheme="minorHAnsi" w:hAnsiTheme="minorHAnsi" w:cstheme="minorHAnsi"/>
          <w:bCs/>
          <w:szCs w:val="22"/>
          <w:vertAlign w:val="superscript"/>
          <w:lang w:val="en-US"/>
        </w:rPr>
        <w:t xml:space="preserve">f </w:t>
      </w:r>
      <w:r w:rsidRPr="00F73F78">
        <w:rPr>
          <w:rFonts w:asciiTheme="minorHAnsi" w:hAnsiTheme="minorHAnsi" w:cstheme="minorHAnsi"/>
          <w:bCs/>
          <w:szCs w:val="22"/>
          <w:lang w:val="en-US"/>
        </w:rPr>
        <w:t>Department of Family Medicine, David Geffen School of Medicine, University of California, 10833 Le Conte Avenue, Los Angeles, CA 90095, USA</w:t>
      </w:r>
    </w:p>
    <w:p w14:paraId="661F887E" w14:textId="77777777" w:rsidR="002D3BB7" w:rsidRPr="00F73F78" w:rsidRDefault="002D3BB7" w:rsidP="00500E4D">
      <w:pPr>
        <w:pStyle w:val="Paragraph"/>
        <w:rPr>
          <w:rFonts w:asciiTheme="minorHAnsi" w:hAnsiTheme="minorHAnsi" w:cstheme="minorHAnsi"/>
          <w:bCs/>
          <w:szCs w:val="22"/>
          <w:lang w:val="en-US"/>
        </w:rPr>
      </w:pPr>
    </w:p>
    <w:p w14:paraId="62C43DC3" w14:textId="77777777" w:rsidR="002D3BB7" w:rsidRPr="00F73F78" w:rsidRDefault="002D3BB7" w:rsidP="00500E4D">
      <w:pPr>
        <w:spacing w:line="480" w:lineRule="auto"/>
        <w:rPr>
          <w:rStyle w:val="Hyperlink"/>
          <w:rFonts w:cstheme="minorHAnsi"/>
          <w:lang w:val="en-G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2D3BB7" w:rsidRPr="00F73F78" w14:paraId="3544EC6F" w14:textId="77777777" w:rsidTr="00617B3D">
        <w:tc>
          <w:tcPr>
            <w:tcW w:w="4675" w:type="dxa"/>
          </w:tcPr>
          <w:p w14:paraId="1D824293" w14:textId="77777777" w:rsidR="002D3BB7" w:rsidRPr="00F73F78" w:rsidRDefault="002D3BB7" w:rsidP="00500E4D">
            <w:pPr>
              <w:spacing w:after="0" w:line="480" w:lineRule="auto"/>
              <w:rPr>
                <w:rFonts w:asciiTheme="minorHAnsi" w:hAnsiTheme="minorHAnsi" w:cstheme="minorHAnsi"/>
                <w:szCs w:val="22"/>
              </w:rPr>
            </w:pPr>
            <w:r w:rsidRPr="00F73F78">
              <w:rPr>
                <w:rFonts w:asciiTheme="minorHAnsi" w:hAnsiTheme="minorHAnsi" w:cstheme="minorHAnsi"/>
                <w:szCs w:val="22"/>
              </w:rPr>
              <w:t xml:space="preserve">Brent </w:t>
            </w:r>
            <w:proofErr w:type="spellStart"/>
            <w:r w:rsidRPr="00F73F78">
              <w:rPr>
                <w:rFonts w:asciiTheme="minorHAnsi" w:hAnsiTheme="minorHAnsi" w:cstheme="minorHAnsi"/>
                <w:szCs w:val="22"/>
              </w:rPr>
              <w:t>Boyett</w:t>
            </w:r>
            <w:proofErr w:type="spellEnd"/>
            <w:r w:rsidRPr="00F73F78">
              <w:rPr>
                <w:rFonts w:asciiTheme="minorHAnsi" w:hAnsiTheme="minorHAnsi" w:cstheme="minorHAnsi"/>
                <w:szCs w:val="22"/>
              </w:rPr>
              <w:t>, D.O., D.M.D.</w:t>
            </w:r>
          </w:p>
        </w:tc>
        <w:tc>
          <w:tcPr>
            <w:tcW w:w="4675" w:type="dxa"/>
          </w:tcPr>
          <w:p w14:paraId="2940C7FD" w14:textId="77777777" w:rsidR="002D3BB7" w:rsidRPr="00F73F78" w:rsidRDefault="0033112B" w:rsidP="00500E4D">
            <w:pPr>
              <w:spacing w:after="0" w:line="480" w:lineRule="auto"/>
              <w:rPr>
                <w:rFonts w:asciiTheme="minorHAnsi" w:hAnsiTheme="minorHAnsi" w:cstheme="minorHAnsi"/>
                <w:szCs w:val="22"/>
              </w:rPr>
            </w:pPr>
            <w:hyperlink r:id="rId7" w:history="1">
              <w:r w:rsidR="002D3BB7" w:rsidRPr="00F73F78">
                <w:rPr>
                  <w:rStyle w:val="Hyperlink"/>
                  <w:rFonts w:asciiTheme="minorHAnsi" w:eastAsiaTheme="majorEastAsia" w:hAnsiTheme="minorHAnsi" w:cstheme="minorHAnsi"/>
                  <w:szCs w:val="22"/>
                  <w:lang w:val="fr-FR"/>
                </w:rPr>
                <w:t>bboyett@boyetthealth.com</w:t>
              </w:r>
            </w:hyperlink>
          </w:p>
        </w:tc>
      </w:tr>
      <w:tr w:rsidR="002D3BB7" w:rsidRPr="00F73F78" w14:paraId="15C5087C" w14:textId="77777777" w:rsidTr="00BF4FD7">
        <w:trPr>
          <w:trHeight w:val="288"/>
        </w:trPr>
        <w:tc>
          <w:tcPr>
            <w:tcW w:w="0" w:type="dxa"/>
          </w:tcPr>
          <w:p w14:paraId="302F28A8" w14:textId="77777777" w:rsidR="002D3BB7" w:rsidRPr="00F73F78" w:rsidRDefault="002D3BB7" w:rsidP="00500E4D">
            <w:pPr>
              <w:spacing w:after="0" w:line="480" w:lineRule="auto"/>
              <w:rPr>
                <w:rFonts w:asciiTheme="minorHAnsi" w:hAnsiTheme="minorHAnsi" w:cstheme="minorHAnsi"/>
                <w:szCs w:val="22"/>
              </w:rPr>
            </w:pPr>
            <w:r w:rsidRPr="00F73F78">
              <w:rPr>
                <w:rFonts w:asciiTheme="minorHAnsi" w:hAnsiTheme="minorHAnsi" w:cstheme="minorHAnsi"/>
                <w:szCs w:val="22"/>
              </w:rPr>
              <w:t xml:space="preserve">Vijay R. </w:t>
            </w:r>
            <w:proofErr w:type="spellStart"/>
            <w:r w:rsidRPr="00F73F78">
              <w:rPr>
                <w:rFonts w:asciiTheme="minorHAnsi" w:hAnsiTheme="minorHAnsi" w:cstheme="minorHAnsi"/>
                <w:szCs w:val="22"/>
              </w:rPr>
              <w:t>Nadipelli</w:t>
            </w:r>
            <w:proofErr w:type="spellEnd"/>
            <w:r w:rsidRPr="00F73F78">
              <w:rPr>
                <w:rFonts w:asciiTheme="minorHAnsi" w:hAnsiTheme="minorHAnsi" w:cstheme="minorHAnsi"/>
                <w:szCs w:val="22"/>
              </w:rPr>
              <w:t xml:space="preserve">, </w:t>
            </w:r>
            <w:proofErr w:type="spellStart"/>
            <w:r w:rsidRPr="00F73F78">
              <w:rPr>
                <w:rFonts w:asciiTheme="minorHAnsi" w:hAnsiTheme="minorHAnsi" w:cstheme="minorHAnsi"/>
                <w:szCs w:val="22"/>
              </w:rPr>
              <w:t>BPharm</w:t>
            </w:r>
            <w:proofErr w:type="spellEnd"/>
            <w:r w:rsidRPr="00F73F78">
              <w:rPr>
                <w:rFonts w:asciiTheme="minorHAnsi" w:hAnsiTheme="minorHAnsi" w:cstheme="minorHAnsi"/>
                <w:szCs w:val="22"/>
              </w:rPr>
              <w:t>, MS</w:t>
            </w:r>
          </w:p>
        </w:tc>
        <w:tc>
          <w:tcPr>
            <w:tcW w:w="0" w:type="dxa"/>
          </w:tcPr>
          <w:p w14:paraId="1C376FB4" w14:textId="77777777" w:rsidR="002D3BB7" w:rsidRPr="00F73F78" w:rsidRDefault="0033112B" w:rsidP="00500E4D">
            <w:pPr>
              <w:spacing w:after="0" w:line="480" w:lineRule="auto"/>
              <w:rPr>
                <w:rFonts w:asciiTheme="minorHAnsi" w:hAnsiTheme="minorHAnsi" w:cstheme="minorHAnsi"/>
                <w:szCs w:val="22"/>
                <w:lang w:val="fr-FR"/>
              </w:rPr>
            </w:pPr>
            <w:hyperlink r:id="rId8" w:history="1">
              <w:r w:rsidR="002D3BB7" w:rsidRPr="00F73F78">
                <w:rPr>
                  <w:rStyle w:val="Hyperlink"/>
                  <w:rFonts w:asciiTheme="minorHAnsi" w:eastAsiaTheme="majorEastAsia" w:hAnsiTheme="minorHAnsi" w:cstheme="minorHAnsi"/>
                  <w:szCs w:val="22"/>
                  <w:lang w:val="fr-FR"/>
                </w:rPr>
                <w:t>vijay.nadipelli@gmail.com</w:t>
              </w:r>
            </w:hyperlink>
            <w:r w:rsidR="002D3BB7" w:rsidRPr="00F73F78">
              <w:rPr>
                <w:rFonts w:asciiTheme="minorHAnsi" w:hAnsiTheme="minorHAnsi" w:cstheme="minorHAnsi"/>
                <w:szCs w:val="22"/>
                <w:lang w:val="fr-FR"/>
              </w:rPr>
              <w:t xml:space="preserve"> </w:t>
            </w:r>
          </w:p>
        </w:tc>
      </w:tr>
      <w:tr w:rsidR="002D3BB7" w:rsidRPr="00F73F78" w14:paraId="722DB240" w14:textId="77777777" w:rsidTr="00617B3D">
        <w:tc>
          <w:tcPr>
            <w:tcW w:w="4675" w:type="dxa"/>
          </w:tcPr>
          <w:p w14:paraId="42E34A73" w14:textId="77777777" w:rsidR="002D3BB7" w:rsidRPr="00F73F78" w:rsidRDefault="002D3BB7" w:rsidP="00500E4D">
            <w:pPr>
              <w:spacing w:after="0" w:line="480" w:lineRule="auto"/>
              <w:rPr>
                <w:rFonts w:asciiTheme="minorHAnsi" w:hAnsiTheme="minorHAnsi" w:cstheme="minorHAnsi"/>
                <w:szCs w:val="22"/>
              </w:rPr>
            </w:pPr>
            <w:r w:rsidRPr="00F73F78">
              <w:rPr>
                <w:rFonts w:asciiTheme="minorHAnsi" w:hAnsiTheme="minorHAnsi" w:cstheme="minorHAnsi"/>
                <w:szCs w:val="22"/>
              </w:rPr>
              <w:t xml:space="preserve">Caitlyn T. </w:t>
            </w:r>
            <w:proofErr w:type="spellStart"/>
            <w:r w:rsidRPr="00F73F78">
              <w:rPr>
                <w:rFonts w:asciiTheme="minorHAnsi" w:hAnsiTheme="minorHAnsi" w:cstheme="minorHAnsi"/>
                <w:szCs w:val="22"/>
              </w:rPr>
              <w:t>Solem</w:t>
            </w:r>
            <w:proofErr w:type="spellEnd"/>
            <w:r w:rsidRPr="00F73F78">
              <w:rPr>
                <w:rFonts w:asciiTheme="minorHAnsi" w:hAnsiTheme="minorHAnsi" w:cstheme="minorHAnsi"/>
                <w:szCs w:val="22"/>
              </w:rPr>
              <w:t>, Ph.D.</w:t>
            </w:r>
          </w:p>
        </w:tc>
        <w:tc>
          <w:tcPr>
            <w:tcW w:w="4675" w:type="dxa"/>
          </w:tcPr>
          <w:p w14:paraId="24ABE99B" w14:textId="77777777" w:rsidR="002D3BB7" w:rsidRPr="00F73F78" w:rsidRDefault="0033112B" w:rsidP="00500E4D">
            <w:pPr>
              <w:spacing w:after="0" w:line="480" w:lineRule="auto"/>
              <w:rPr>
                <w:rFonts w:asciiTheme="minorHAnsi" w:hAnsiTheme="minorHAnsi" w:cstheme="minorHAnsi"/>
                <w:szCs w:val="22"/>
              </w:rPr>
            </w:pPr>
            <w:hyperlink r:id="rId9" w:history="1">
              <w:r w:rsidR="002D3BB7" w:rsidRPr="00F73F78">
                <w:rPr>
                  <w:rStyle w:val="Hyperlink"/>
                  <w:rFonts w:asciiTheme="minorHAnsi" w:eastAsiaTheme="majorEastAsia" w:hAnsiTheme="minorHAnsi" w:cstheme="minorHAnsi"/>
                  <w:szCs w:val="22"/>
                  <w:lang w:val="fr-FR"/>
                </w:rPr>
                <w:t>CaitlynSolem@openhealthgroup.com</w:t>
              </w:r>
            </w:hyperlink>
            <w:r w:rsidR="002D3BB7" w:rsidRPr="00F73F78">
              <w:rPr>
                <w:rFonts w:asciiTheme="minorHAnsi" w:hAnsiTheme="minorHAnsi" w:cstheme="minorHAnsi"/>
                <w:szCs w:val="22"/>
              </w:rPr>
              <w:t xml:space="preserve"> </w:t>
            </w:r>
          </w:p>
        </w:tc>
      </w:tr>
      <w:tr w:rsidR="002D3BB7" w:rsidRPr="00F73F78" w14:paraId="7CA2766D" w14:textId="77777777" w:rsidTr="00617B3D">
        <w:tc>
          <w:tcPr>
            <w:tcW w:w="4675" w:type="dxa"/>
          </w:tcPr>
          <w:p w14:paraId="5E1C445F" w14:textId="77777777" w:rsidR="002D3BB7" w:rsidRPr="00F73F78" w:rsidRDefault="002D3BB7" w:rsidP="00500E4D">
            <w:pPr>
              <w:spacing w:after="0" w:line="480" w:lineRule="auto"/>
              <w:rPr>
                <w:rFonts w:asciiTheme="minorHAnsi" w:hAnsiTheme="minorHAnsi" w:cstheme="minorHAnsi"/>
                <w:szCs w:val="22"/>
              </w:rPr>
            </w:pPr>
            <w:r w:rsidRPr="00F73F78">
              <w:rPr>
                <w:rFonts w:asciiTheme="minorHAnsi" w:hAnsiTheme="minorHAnsi" w:cstheme="minorHAnsi"/>
                <w:szCs w:val="22"/>
              </w:rPr>
              <w:t xml:space="preserve">Howard </w:t>
            </w:r>
            <w:proofErr w:type="spellStart"/>
            <w:r w:rsidRPr="00F73F78">
              <w:rPr>
                <w:rFonts w:asciiTheme="minorHAnsi" w:hAnsiTheme="minorHAnsi" w:cstheme="minorHAnsi"/>
                <w:szCs w:val="22"/>
              </w:rPr>
              <w:t>Chilcoat</w:t>
            </w:r>
            <w:proofErr w:type="spellEnd"/>
            <w:r w:rsidRPr="00F73F78">
              <w:rPr>
                <w:rFonts w:asciiTheme="minorHAnsi" w:hAnsiTheme="minorHAnsi" w:cstheme="minorHAnsi"/>
                <w:szCs w:val="22"/>
              </w:rPr>
              <w:t>, MHS</w:t>
            </w:r>
          </w:p>
        </w:tc>
        <w:tc>
          <w:tcPr>
            <w:tcW w:w="4675" w:type="dxa"/>
          </w:tcPr>
          <w:p w14:paraId="7D77EBEA" w14:textId="77777777" w:rsidR="002D3BB7" w:rsidRPr="00F73F78" w:rsidRDefault="0033112B" w:rsidP="00500E4D">
            <w:pPr>
              <w:spacing w:after="0" w:line="480" w:lineRule="auto"/>
              <w:rPr>
                <w:rFonts w:asciiTheme="minorHAnsi" w:hAnsiTheme="minorHAnsi" w:cstheme="minorHAnsi"/>
                <w:szCs w:val="22"/>
              </w:rPr>
            </w:pPr>
            <w:hyperlink r:id="rId10" w:history="1">
              <w:r w:rsidR="002D3BB7" w:rsidRPr="00F73F78">
                <w:rPr>
                  <w:rStyle w:val="Hyperlink"/>
                  <w:rFonts w:asciiTheme="minorHAnsi" w:eastAsiaTheme="majorEastAsia" w:hAnsiTheme="minorHAnsi" w:cstheme="minorHAnsi"/>
                  <w:szCs w:val="22"/>
                </w:rPr>
                <w:t>howard.chilcoat@Indivior.com</w:t>
              </w:r>
            </w:hyperlink>
          </w:p>
        </w:tc>
      </w:tr>
      <w:tr w:rsidR="002D3BB7" w:rsidRPr="00F73F78" w14:paraId="08DF6295" w14:textId="77777777" w:rsidTr="00617B3D">
        <w:tc>
          <w:tcPr>
            <w:tcW w:w="4675" w:type="dxa"/>
          </w:tcPr>
          <w:p w14:paraId="7FA62EB4" w14:textId="77777777" w:rsidR="002D3BB7" w:rsidRPr="00F73F78" w:rsidRDefault="002D3BB7" w:rsidP="00500E4D">
            <w:pPr>
              <w:spacing w:after="0" w:line="480" w:lineRule="auto"/>
              <w:rPr>
                <w:rFonts w:asciiTheme="minorHAnsi" w:hAnsiTheme="minorHAnsi" w:cstheme="minorHAnsi"/>
                <w:szCs w:val="22"/>
              </w:rPr>
            </w:pPr>
            <w:r w:rsidRPr="00F73F78">
              <w:rPr>
                <w:rFonts w:asciiTheme="minorHAnsi" w:hAnsiTheme="minorHAnsi" w:cstheme="minorHAnsi"/>
                <w:szCs w:val="22"/>
              </w:rPr>
              <w:t>Warren K. Bickel (corresponding author), Ph.D.</w:t>
            </w:r>
          </w:p>
        </w:tc>
        <w:tc>
          <w:tcPr>
            <w:tcW w:w="4675" w:type="dxa"/>
          </w:tcPr>
          <w:p w14:paraId="255A9A04" w14:textId="77777777" w:rsidR="002D3BB7" w:rsidRPr="00F73F78" w:rsidRDefault="0033112B" w:rsidP="00500E4D">
            <w:pPr>
              <w:spacing w:after="0" w:line="480" w:lineRule="auto"/>
              <w:rPr>
                <w:rFonts w:asciiTheme="minorHAnsi" w:hAnsiTheme="minorHAnsi" w:cstheme="minorHAnsi"/>
                <w:szCs w:val="22"/>
                <w:lang w:val="fr-FR"/>
              </w:rPr>
            </w:pPr>
            <w:hyperlink r:id="rId11" w:history="1">
              <w:r w:rsidR="002D3BB7" w:rsidRPr="00F73F78">
                <w:rPr>
                  <w:rStyle w:val="Hyperlink"/>
                  <w:rFonts w:asciiTheme="minorHAnsi" w:eastAsiaTheme="majorEastAsia" w:hAnsiTheme="minorHAnsi" w:cstheme="minorHAnsi"/>
                  <w:szCs w:val="22"/>
                  <w:lang w:val="fr-FR"/>
                </w:rPr>
                <w:t>wkbickel@vtc.vt.edu</w:t>
              </w:r>
            </w:hyperlink>
          </w:p>
          <w:p w14:paraId="1FD35137" w14:textId="77777777" w:rsidR="002D3BB7" w:rsidRPr="00F73F78" w:rsidRDefault="002D3BB7" w:rsidP="00500E4D">
            <w:pPr>
              <w:spacing w:after="120" w:line="480" w:lineRule="auto"/>
              <w:rPr>
                <w:rFonts w:asciiTheme="minorHAnsi" w:hAnsiTheme="minorHAnsi" w:cstheme="minorHAnsi"/>
                <w:szCs w:val="22"/>
                <w:lang w:val="fr-FR"/>
              </w:rPr>
            </w:pPr>
            <w:proofErr w:type="spellStart"/>
            <w:r w:rsidRPr="00F73F78">
              <w:rPr>
                <w:rFonts w:asciiTheme="minorHAnsi" w:hAnsiTheme="minorHAnsi" w:cstheme="minorHAnsi"/>
                <w:szCs w:val="22"/>
                <w:lang w:val="fr-FR"/>
              </w:rPr>
              <w:t>Telephone</w:t>
            </w:r>
            <w:proofErr w:type="spellEnd"/>
            <w:r w:rsidRPr="00F73F78">
              <w:rPr>
                <w:rFonts w:asciiTheme="minorHAnsi" w:hAnsiTheme="minorHAnsi" w:cstheme="minorHAnsi"/>
                <w:szCs w:val="22"/>
                <w:lang w:val="fr-FR"/>
              </w:rPr>
              <w:t>: 540 526 2088</w:t>
            </w:r>
            <w:r w:rsidRPr="00F73F78">
              <w:rPr>
                <w:rFonts w:asciiTheme="minorHAnsi" w:hAnsiTheme="minorHAnsi" w:cstheme="minorHAnsi"/>
                <w:szCs w:val="22"/>
                <w:lang w:val="fr-FR"/>
              </w:rPr>
              <w:br/>
              <w:t>Fax: 540-985-3361</w:t>
            </w:r>
          </w:p>
        </w:tc>
      </w:tr>
      <w:tr w:rsidR="002D3BB7" w:rsidRPr="00F73F78" w14:paraId="1029B70A" w14:textId="77777777" w:rsidTr="00617B3D">
        <w:tc>
          <w:tcPr>
            <w:tcW w:w="4675" w:type="dxa"/>
          </w:tcPr>
          <w:p w14:paraId="7CD5990F" w14:textId="77777777" w:rsidR="002D3BB7" w:rsidRPr="00F73F78" w:rsidRDefault="002D3BB7" w:rsidP="00500E4D">
            <w:pPr>
              <w:spacing w:after="0" w:line="480" w:lineRule="auto"/>
              <w:rPr>
                <w:rFonts w:asciiTheme="minorHAnsi" w:hAnsiTheme="minorHAnsi" w:cstheme="minorHAnsi"/>
                <w:szCs w:val="22"/>
              </w:rPr>
            </w:pPr>
            <w:r w:rsidRPr="00F73F78">
              <w:rPr>
                <w:rFonts w:asciiTheme="minorHAnsi" w:hAnsiTheme="minorHAnsi" w:cstheme="minorHAnsi"/>
                <w:szCs w:val="22"/>
              </w:rPr>
              <w:t>Walter Ling, M.D.</w:t>
            </w:r>
          </w:p>
        </w:tc>
        <w:tc>
          <w:tcPr>
            <w:tcW w:w="4675" w:type="dxa"/>
          </w:tcPr>
          <w:p w14:paraId="295DD7BA" w14:textId="77777777" w:rsidR="002D3BB7" w:rsidRPr="00F73F78" w:rsidRDefault="0033112B" w:rsidP="00500E4D">
            <w:pPr>
              <w:spacing w:after="0" w:line="480" w:lineRule="auto"/>
              <w:rPr>
                <w:rFonts w:asciiTheme="minorHAnsi" w:hAnsiTheme="minorHAnsi" w:cstheme="minorHAnsi"/>
                <w:szCs w:val="22"/>
              </w:rPr>
            </w:pPr>
            <w:hyperlink r:id="rId12" w:history="1">
              <w:r w:rsidR="002D3BB7" w:rsidRPr="00F73F78">
                <w:rPr>
                  <w:rStyle w:val="Hyperlink"/>
                  <w:rFonts w:asciiTheme="minorHAnsi" w:eastAsiaTheme="majorEastAsia" w:hAnsiTheme="minorHAnsi" w:cstheme="minorHAnsi"/>
                  <w:szCs w:val="22"/>
                </w:rPr>
                <w:t>lwalter@ucla.edu</w:t>
              </w:r>
            </w:hyperlink>
          </w:p>
        </w:tc>
      </w:tr>
    </w:tbl>
    <w:p w14:paraId="2B5FC484" w14:textId="77777777" w:rsidR="002D3BB7" w:rsidRPr="00F73F78" w:rsidRDefault="002D3BB7" w:rsidP="00500E4D">
      <w:pPr>
        <w:spacing w:line="480" w:lineRule="auto"/>
        <w:rPr>
          <w:rFonts w:cstheme="minorHAnsi"/>
        </w:rPr>
      </w:pPr>
    </w:p>
    <w:p w14:paraId="1402B32E" w14:textId="77777777" w:rsidR="002D3BB7" w:rsidRPr="00F73F78" w:rsidRDefault="002D3BB7" w:rsidP="00500E4D">
      <w:pPr>
        <w:spacing w:after="0" w:line="480" w:lineRule="auto"/>
        <w:textAlignment w:val="baseline"/>
        <w:rPr>
          <w:rFonts w:cstheme="minorHAnsi"/>
          <w:b/>
        </w:rPr>
      </w:pPr>
      <w:r w:rsidRPr="00F73F78">
        <w:rPr>
          <w:rFonts w:cstheme="minorHAnsi"/>
          <w:b/>
        </w:rPr>
        <w:t>Role of the Funding Source</w:t>
      </w:r>
    </w:p>
    <w:p w14:paraId="46A09A2B" w14:textId="77777777" w:rsidR="002D3BB7" w:rsidRPr="00F73F78" w:rsidRDefault="002D3BB7" w:rsidP="00500E4D">
      <w:pPr>
        <w:spacing w:after="0" w:line="480" w:lineRule="auto"/>
        <w:textAlignment w:val="baseline"/>
        <w:rPr>
          <w:rFonts w:cstheme="minorHAnsi"/>
        </w:rPr>
      </w:pPr>
      <w:proofErr w:type="gramStart"/>
      <w:r w:rsidRPr="00F73F78">
        <w:rPr>
          <w:rFonts w:cstheme="minorHAnsi"/>
        </w:rPr>
        <w:t xml:space="preserve">This work was supported by </w:t>
      </w:r>
      <w:proofErr w:type="spellStart"/>
      <w:r w:rsidRPr="00F73F78">
        <w:rPr>
          <w:rFonts w:cstheme="minorHAnsi"/>
        </w:rPr>
        <w:t>Indivior</w:t>
      </w:r>
      <w:proofErr w:type="spellEnd"/>
      <w:r w:rsidRPr="00F73F78">
        <w:rPr>
          <w:rFonts w:cstheme="minorHAnsi"/>
        </w:rPr>
        <w:t xml:space="preserve"> Inc., Richmond, VA</w:t>
      </w:r>
      <w:proofErr w:type="gramEnd"/>
      <w:r w:rsidRPr="00F73F78">
        <w:rPr>
          <w:rFonts w:cstheme="minorHAnsi"/>
        </w:rPr>
        <w:t>. Members from sponsor company participated in study design; analysis and interpretation; manuscript writing; and decision to submit for publication.</w:t>
      </w:r>
    </w:p>
    <w:p w14:paraId="1A472EC7" w14:textId="77777777" w:rsidR="002D3BB7" w:rsidRPr="00F73F78" w:rsidRDefault="002D3BB7" w:rsidP="00500E4D">
      <w:pPr>
        <w:spacing w:line="480" w:lineRule="auto"/>
        <w:rPr>
          <w:rFonts w:cstheme="minorHAnsi"/>
        </w:rPr>
      </w:pPr>
    </w:p>
    <w:p w14:paraId="4B371D03" w14:textId="77777777" w:rsidR="00763CAD" w:rsidRPr="00F73F78" w:rsidRDefault="00763CAD" w:rsidP="00763CAD">
      <w:pPr>
        <w:rPr>
          <w:rFonts w:cstheme="minorHAnsi"/>
          <w:b/>
          <w:bCs/>
        </w:rPr>
      </w:pPr>
      <w:r w:rsidRPr="00F73F78">
        <w:rPr>
          <w:rFonts w:cstheme="minorHAnsi"/>
          <w:b/>
          <w:bCs/>
        </w:rPr>
        <w:t>Author Disclosures</w:t>
      </w:r>
    </w:p>
    <w:p w14:paraId="37DA42E3" w14:textId="0450FD1E" w:rsidR="002D3BB7" w:rsidRPr="00F73F78" w:rsidRDefault="002D3BB7" w:rsidP="00500E4D">
      <w:pPr>
        <w:spacing w:line="480" w:lineRule="auto"/>
        <w:rPr>
          <w:rFonts w:cstheme="minorHAnsi"/>
        </w:rPr>
      </w:pPr>
      <w:proofErr w:type="gramStart"/>
      <w:r w:rsidRPr="00F73F78">
        <w:rPr>
          <w:rFonts w:cstheme="minorHAnsi"/>
        </w:rPr>
        <w:t xml:space="preserve">BB is consultant to </w:t>
      </w:r>
      <w:proofErr w:type="spellStart"/>
      <w:r w:rsidRPr="00F73F78">
        <w:rPr>
          <w:rFonts w:cstheme="minorHAnsi"/>
        </w:rPr>
        <w:t>Indivior</w:t>
      </w:r>
      <w:proofErr w:type="spellEnd"/>
      <w:r w:rsidRPr="00F73F78">
        <w:rPr>
          <w:rFonts w:cstheme="minorHAnsi"/>
        </w:rPr>
        <w:t xml:space="preserve"> Inc. WL is a consultant for </w:t>
      </w:r>
      <w:proofErr w:type="spellStart"/>
      <w:r w:rsidRPr="00F73F78">
        <w:rPr>
          <w:rFonts w:cstheme="minorHAnsi"/>
        </w:rPr>
        <w:t>Indivior</w:t>
      </w:r>
      <w:proofErr w:type="spellEnd"/>
      <w:r w:rsidRPr="00F73F78">
        <w:rPr>
          <w:rFonts w:cstheme="minorHAnsi"/>
        </w:rPr>
        <w:t xml:space="preserve"> Inc. WKB is principal of </w:t>
      </w:r>
      <w:proofErr w:type="spellStart"/>
      <w:r w:rsidRPr="00F73F78">
        <w:rPr>
          <w:rFonts w:cstheme="minorHAnsi"/>
        </w:rPr>
        <w:t>HealthSim</w:t>
      </w:r>
      <w:proofErr w:type="spellEnd"/>
      <w:r w:rsidRPr="00F73F78">
        <w:rPr>
          <w:rFonts w:cstheme="minorHAnsi"/>
        </w:rPr>
        <w:t xml:space="preserve">, LLC, BEAM Diagnostics, Inc., and Red 5 Group, LLC; in addition, he serves on the scientific advisory board for Sober Grid, Inc. and Ria Health and has served as a consultant for </w:t>
      </w:r>
      <w:proofErr w:type="spellStart"/>
      <w:r w:rsidRPr="00F73F78">
        <w:rPr>
          <w:rFonts w:cstheme="minorHAnsi"/>
        </w:rPr>
        <w:t>Alkermes</w:t>
      </w:r>
      <w:proofErr w:type="spellEnd"/>
      <w:r w:rsidRPr="00F73F78">
        <w:rPr>
          <w:rFonts w:cstheme="minorHAnsi"/>
        </w:rPr>
        <w:t xml:space="preserve">, Inc., Sandoz, </w:t>
      </w:r>
      <w:proofErr w:type="spellStart"/>
      <w:r w:rsidRPr="00F73F78">
        <w:rPr>
          <w:rFonts w:cstheme="minorHAnsi"/>
        </w:rPr>
        <w:t>Nektar</w:t>
      </w:r>
      <w:proofErr w:type="spellEnd"/>
      <w:r w:rsidRPr="00F73F78">
        <w:rPr>
          <w:rFonts w:cstheme="minorHAnsi"/>
        </w:rPr>
        <w:t xml:space="preserve"> Therapeutics, US </w:t>
      </w:r>
      <w:proofErr w:type="spellStart"/>
      <w:r w:rsidRPr="00F73F78">
        <w:rPr>
          <w:rFonts w:cstheme="minorHAnsi"/>
        </w:rPr>
        <w:t>WorldMeds</w:t>
      </w:r>
      <w:proofErr w:type="spellEnd"/>
      <w:r w:rsidRPr="00F73F78">
        <w:rPr>
          <w:rFonts w:cstheme="minorHAnsi"/>
        </w:rPr>
        <w:t xml:space="preserve">, LLC, and </w:t>
      </w:r>
      <w:proofErr w:type="spellStart"/>
      <w:r w:rsidRPr="00F73F78">
        <w:rPr>
          <w:rFonts w:cstheme="minorHAnsi"/>
        </w:rPr>
        <w:t>Indivior</w:t>
      </w:r>
      <w:proofErr w:type="spellEnd"/>
      <w:r w:rsidRPr="00F73F78">
        <w:rPr>
          <w:rFonts w:cstheme="minorHAnsi"/>
        </w:rPr>
        <w:t xml:space="preserve">, Inc. HC is an employee of </w:t>
      </w:r>
      <w:proofErr w:type="spellStart"/>
      <w:r w:rsidRPr="00F73F78">
        <w:rPr>
          <w:rFonts w:cstheme="minorHAnsi"/>
        </w:rPr>
        <w:t>Indivior</w:t>
      </w:r>
      <w:proofErr w:type="spellEnd"/>
      <w:r w:rsidRPr="00F73F78">
        <w:rPr>
          <w:rFonts w:cstheme="minorHAnsi"/>
        </w:rPr>
        <w:t xml:space="preserve"> Inc. VRN was an employee of </w:t>
      </w:r>
      <w:proofErr w:type="spellStart"/>
      <w:r w:rsidRPr="00F73F78">
        <w:rPr>
          <w:rFonts w:cstheme="minorHAnsi"/>
        </w:rPr>
        <w:t>Indivior</w:t>
      </w:r>
      <w:proofErr w:type="spellEnd"/>
      <w:r w:rsidRPr="00F73F78">
        <w:rPr>
          <w:rFonts w:cstheme="minorHAnsi"/>
        </w:rPr>
        <w:t xml:space="preserve"> Inc. at the time this work was undertaken.</w:t>
      </w:r>
      <w:proofErr w:type="gramEnd"/>
      <w:r w:rsidRPr="00F73F78">
        <w:rPr>
          <w:rFonts w:cstheme="minorHAnsi"/>
        </w:rPr>
        <w:t xml:space="preserve"> CTS is an employee of OPEN Health and a consultant for </w:t>
      </w:r>
      <w:proofErr w:type="spellStart"/>
      <w:r w:rsidRPr="00F73F78">
        <w:rPr>
          <w:rFonts w:cstheme="minorHAnsi"/>
        </w:rPr>
        <w:t>Indivior</w:t>
      </w:r>
      <w:proofErr w:type="spellEnd"/>
      <w:r w:rsidRPr="00F73F78">
        <w:rPr>
          <w:rFonts w:cstheme="minorHAnsi"/>
        </w:rPr>
        <w:t xml:space="preserve"> Inc.</w:t>
      </w:r>
    </w:p>
    <w:p w14:paraId="34CB53DD" w14:textId="77777777" w:rsidR="002D3BB7" w:rsidRPr="00F73F78" w:rsidRDefault="002D3BB7" w:rsidP="002D3BB7">
      <w:pPr>
        <w:spacing w:after="0" w:line="240" w:lineRule="auto"/>
        <w:textAlignment w:val="baseline"/>
        <w:rPr>
          <w:rFonts w:cstheme="minorHAnsi"/>
        </w:rPr>
      </w:pPr>
    </w:p>
    <w:p w14:paraId="775D27AA" w14:textId="77777777" w:rsidR="002D3BB7" w:rsidRPr="00F73F78" w:rsidRDefault="002D3BB7" w:rsidP="002D3BB7">
      <w:pPr>
        <w:rPr>
          <w:rFonts w:cstheme="minorHAnsi"/>
          <w:b/>
          <w:bCs/>
        </w:rPr>
      </w:pPr>
      <w:r w:rsidRPr="00F73F78">
        <w:rPr>
          <w:rFonts w:cstheme="minorHAnsi"/>
          <w:b/>
          <w:bCs/>
        </w:rPr>
        <w:t>Contributors</w:t>
      </w:r>
    </w:p>
    <w:p w14:paraId="4BC7918E" w14:textId="77777777" w:rsidR="002D3BB7" w:rsidRPr="00F73F78" w:rsidRDefault="002D3BB7" w:rsidP="002D3BB7">
      <w:pPr>
        <w:spacing w:line="480" w:lineRule="auto"/>
        <w:rPr>
          <w:rFonts w:cstheme="minorHAnsi"/>
        </w:rPr>
      </w:pPr>
      <w:r w:rsidRPr="00F73F78">
        <w:rPr>
          <w:rFonts w:cstheme="minorHAnsi"/>
        </w:rPr>
        <w:t xml:space="preserve">VRN, CTS and WL were involved in study design. CTS, VN, HC were involved in analysis plan development. CTS was involved in the data analysis. </w:t>
      </w:r>
      <w:proofErr w:type="gramStart"/>
      <w:r w:rsidRPr="00F73F78">
        <w:rPr>
          <w:rFonts w:cstheme="minorHAnsi"/>
        </w:rPr>
        <w:t>All authors were involved interpretation of data for the work, critical revisions to the manuscript for intellectual content and have approved the final article before submission.</w:t>
      </w:r>
      <w:proofErr w:type="gramEnd"/>
    </w:p>
    <w:p w14:paraId="4227C489" w14:textId="77777777" w:rsidR="002D3BB7" w:rsidRPr="00F73F78" w:rsidRDefault="002D3BB7" w:rsidP="002D3BB7">
      <w:pPr>
        <w:rPr>
          <w:rFonts w:cstheme="minorHAnsi"/>
        </w:rPr>
      </w:pPr>
      <w:r w:rsidRPr="00F73F78">
        <w:rPr>
          <w:rFonts w:cstheme="minorHAnsi"/>
          <w:b/>
          <w:bCs/>
        </w:rPr>
        <w:t>Acknowledgements</w:t>
      </w:r>
    </w:p>
    <w:p w14:paraId="0AAB8E58" w14:textId="77777777" w:rsidR="002D3BB7" w:rsidRPr="00F73F78" w:rsidRDefault="002D3BB7" w:rsidP="002D3BB7">
      <w:pPr>
        <w:spacing w:line="480" w:lineRule="auto"/>
        <w:rPr>
          <w:rFonts w:cstheme="minorHAnsi"/>
        </w:rPr>
      </w:pPr>
      <w:r w:rsidRPr="00F73F78">
        <w:rPr>
          <w:rFonts w:cstheme="minorHAnsi"/>
        </w:rPr>
        <w:t>The authors wish to thank all participants and investigators who took part in the RECOVER study, Rachel Shah for medical writing support, and Courtney Johnson for analytic and medical writing support.</w:t>
      </w:r>
    </w:p>
    <w:p w14:paraId="6362EED2" w14:textId="77777777" w:rsidR="002D3BB7" w:rsidRPr="00F73F78" w:rsidRDefault="002D3BB7" w:rsidP="00500E4D">
      <w:pPr>
        <w:spacing w:line="480" w:lineRule="auto"/>
        <w:rPr>
          <w:rFonts w:cstheme="minorHAnsi"/>
        </w:rPr>
      </w:pPr>
    </w:p>
    <w:p w14:paraId="2B6A372A" w14:textId="64E5D9E8" w:rsidR="002D3BB7" w:rsidRPr="00F73F78" w:rsidRDefault="002D3BB7" w:rsidP="00500E4D">
      <w:pPr>
        <w:spacing w:line="480" w:lineRule="auto"/>
        <w:rPr>
          <w:rFonts w:cstheme="minorHAnsi"/>
        </w:rPr>
      </w:pPr>
      <w:r w:rsidRPr="00F73F78">
        <w:rPr>
          <w:rFonts w:cstheme="minorHAnsi"/>
        </w:rPr>
        <w:t xml:space="preserve">Abstract </w:t>
      </w:r>
      <w:r>
        <w:rPr>
          <w:rFonts w:cstheme="minorHAnsi"/>
        </w:rPr>
        <w:t>W</w:t>
      </w:r>
      <w:r w:rsidRPr="00F73F78">
        <w:rPr>
          <w:rFonts w:cstheme="minorHAnsi"/>
        </w:rPr>
        <w:t xml:space="preserve">ord Count: </w:t>
      </w:r>
      <w:r>
        <w:rPr>
          <w:rFonts w:cstheme="minorHAnsi"/>
        </w:rPr>
        <w:t>250</w:t>
      </w:r>
    </w:p>
    <w:p w14:paraId="24D311B6" w14:textId="6249A6B6" w:rsidR="002D3BB7" w:rsidRPr="00F73F78" w:rsidRDefault="002D3BB7" w:rsidP="00500E4D">
      <w:pPr>
        <w:spacing w:line="480" w:lineRule="auto"/>
        <w:rPr>
          <w:rFonts w:cstheme="minorHAnsi"/>
        </w:rPr>
      </w:pPr>
      <w:r w:rsidRPr="00F73F78">
        <w:rPr>
          <w:rFonts w:cstheme="minorHAnsi"/>
        </w:rPr>
        <w:lastRenderedPageBreak/>
        <w:t>Manuscript Word Count: 3</w:t>
      </w:r>
      <w:r>
        <w:rPr>
          <w:rFonts w:cstheme="minorHAnsi"/>
        </w:rPr>
        <w:t>361</w:t>
      </w:r>
      <w:r w:rsidRPr="00F73F78">
        <w:rPr>
          <w:rFonts w:cstheme="minorHAnsi"/>
        </w:rPr>
        <w:t xml:space="preserve"> </w:t>
      </w:r>
    </w:p>
    <w:p w14:paraId="505B4995" w14:textId="6590E723" w:rsidR="002D3BB7" w:rsidRPr="00F73F78" w:rsidRDefault="002D3BB7" w:rsidP="00500E4D">
      <w:pPr>
        <w:spacing w:line="480" w:lineRule="auto"/>
        <w:rPr>
          <w:rFonts w:cstheme="minorHAnsi"/>
        </w:rPr>
      </w:pPr>
      <w:r w:rsidRPr="00F73F78">
        <w:rPr>
          <w:rFonts w:cstheme="minorHAnsi"/>
        </w:rPr>
        <w:t xml:space="preserve">Number of references: </w:t>
      </w:r>
      <w:r>
        <w:rPr>
          <w:rFonts w:cstheme="minorHAnsi"/>
        </w:rPr>
        <w:t>22</w:t>
      </w:r>
      <w:r w:rsidRPr="00F73F78">
        <w:rPr>
          <w:rFonts w:cstheme="minorHAnsi"/>
        </w:rPr>
        <w:t xml:space="preserve"> </w:t>
      </w:r>
      <w:r w:rsidRPr="00F73F78">
        <w:rPr>
          <w:rFonts w:cstheme="minorHAnsi"/>
        </w:rPr>
        <w:br w:type="page"/>
      </w:r>
    </w:p>
    <w:p w14:paraId="5922CA7F" w14:textId="77777777" w:rsidR="002D3BB7" w:rsidRPr="00F73F78" w:rsidRDefault="002D3BB7" w:rsidP="00F13A4B">
      <w:pPr>
        <w:spacing w:after="0" w:line="240" w:lineRule="auto"/>
        <w:textAlignment w:val="baseline"/>
        <w:rPr>
          <w:rFonts w:cstheme="minorHAnsi"/>
          <w:b/>
          <w:bCs/>
        </w:rPr>
      </w:pPr>
    </w:p>
    <w:p w14:paraId="26BF3D29" w14:textId="5F81A5E6" w:rsidR="002D3BB7" w:rsidRPr="00F73F78" w:rsidRDefault="002D3BB7" w:rsidP="00500E4D">
      <w:pPr>
        <w:spacing w:after="0" w:line="480" w:lineRule="auto"/>
        <w:textAlignment w:val="baseline"/>
        <w:rPr>
          <w:rFonts w:cstheme="minorHAnsi"/>
          <w:b/>
          <w:bCs/>
        </w:rPr>
      </w:pPr>
      <w:r w:rsidRPr="00F73F78">
        <w:rPr>
          <w:rFonts w:cstheme="minorHAnsi"/>
          <w:b/>
          <w:bCs/>
        </w:rPr>
        <w:t>Abstract:</w:t>
      </w:r>
    </w:p>
    <w:p w14:paraId="119A0B44" w14:textId="77777777" w:rsidR="002D3BB7" w:rsidRPr="00F73F78" w:rsidRDefault="002D3BB7" w:rsidP="00500E4D">
      <w:pPr>
        <w:spacing w:after="0" w:line="480" w:lineRule="auto"/>
        <w:textAlignment w:val="baseline"/>
        <w:rPr>
          <w:rFonts w:cstheme="minorHAnsi"/>
          <w:i/>
          <w:iCs/>
        </w:rPr>
      </w:pPr>
    </w:p>
    <w:p w14:paraId="5DAEDA1C" w14:textId="77777777" w:rsidR="002D3BB7" w:rsidRPr="00F73F78" w:rsidRDefault="002D3BB7" w:rsidP="00500E4D">
      <w:pPr>
        <w:spacing w:after="0" w:line="480" w:lineRule="auto"/>
        <w:textAlignment w:val="baseline"/>
        <w:rPr>
          <w:rFonts w:cstheme="minorHAnsi"/>
        </w:rPr>
      </w:pPr>
      <w:r w:rsidRPr="00F73F78">
        <w:rPr>
          <w:rFonts w:cstheme="minorHAnsi"/>
        </w:rPr>
        <w:t xml:space="preserve">Background: </w:t>
      </w:r>
    </w:p>
    <w:p w14:paraId="17F25D09" w14:textId="77777777" w:rsidR="002D3BB7" w:rsidRPr="00F73F78" w:rsidRDefault="002D3BB7" w:rsidP="00500E4D">
      <w:pPr>
        <w:spacing w:after="0" w:line="480" w:lineRule="auto"/>
        <w:textAlignment w:val="baseline"/>
        <w:rPr>
          <w:rFonts w:cstheme="minorHAnsi"/>
        </w:rPr>
      </w:pPr>
      <w:r w:rsidRPr="00F73F78">
        <w:rPr>
          <w:rFonts w:cstheme="minorHAnsi"/>
        </w:rPr>
        <w:t>This analysis describes participants’ opioid use disorder (OUD) outcomes for 18 months after discontinuing extended-release buprenorphine injection (BUP-XR, SUBLOCADE</w:t>
      </w:r>
      <w:r w:rsidRPr="00F73F78">
        <w:rPr>
          <w:rFonts w:eastAsia="Calibri" w:cstheme="minorHAnsi"/>
          <w:color w:val="000000"/>
        </w:rPr>
        <w:t>®</w:t>
      </w:r>
      <w:r w:rsidRPr="00F73F78">
        <w:rPr>
          <w:rFonts w:cstheme="minorHAnsi"/>
        </w:rPr>
        <w:t xml:space="preserve">). </w:t>
      </w:r>
    </w:p>
    <w:p w14:paraId="47E7D538" w14:textId="77777777" w:rsidR="002D3BB7" w:rsidRPr="00F73F78" w:rsidRDefault="002D3BB7" w:rsidP="00500E4D">
      <w:pPr>
        <w:spacing w:after="0" w:line="480" w:lineRule="auto"/>
        <w:textAlignment w:val="baseline"/>
        <w:rPr>
          <w:rFonts w:cstheme="minorHAnsi"/>
        </w:rPr>
      </w:pPr>
    </w:p>
    <w:p w14:paraId="23EBB2F7" w14:textId="77777777" w:rsidR="002D3BB7" w:rsidRPr="00F73F78" w:rsidRDefault="002D3BB7" w:rsidP="00500E4D">
      <w:pPr>
        <w:spacing w:after="0" w:line="480" w:lineRule="auto"/>
        <w:textAlignment w:val="baseline"/>
        <w:rPr>
          <w:rFonts w:cstheme="minorHAnsi"/>
        </w:rPr>
      </w:pPr>
      <w:r w:rsidRPr="00F73F78">
        <w:rPr>
          <w:rFonts w:cstheme="minorHAnsi"/>
        </w:rPr>
        <w:t xml:space="preserve">Methods: </w:t>
      </w:r>
    </w:p>
    <w:p w14:paraId="66086EE9" w14:textId="769FFE91" w:rsidR="002D3BB7" w:rsidRPr="00F73F78" w:rsidRDefault="002D3BB7" w:rsidP="00500E4D">
      <w:pPr>
        <w:spacing w:after="0" w:line="480" w:lineRule="auto"/>
        <w:textAlignment w:val="baseline"/>
        <w:rPr>
          <w:rFonts w:cstheme="minorHAnsi"/>
        </w:rPr>
      </w:pPr>
      <w:r w:rsidRPr="00F73F78">
        <w:rPr>
          <w:rFonts w:cstheme="minorHAnsi"/>
        </w:rPr>
        <w:t xml:space="preserve">The Remission from Chronic Opioid Use-Studying Environmental and </w:t>
      </w:r>
      <w:proofErr w:type="spellStart"/>
      <w:r w:rsidRPr="00F73F78">
        <w:rPr>
          <w:rFonts w:cstheme="minorHAnsi"/>
        </w:rPr>
        <w:t>SocioEconomic</w:t>
      </w:r>
      <w:proofErr w:type="spellEnd"/>
      <w:r w:rsidRPr="00F73F78">
        <w:rPr>
          <w:rFonts w:cstheme="minorHAnsi"/>
        </w:rPr>
        <w:t xml:space="preserve"> Factors on Recovery (RECOVER) study recruited participants from BUP-XR clinical trials (NCT023579011, NCT025100142, and NCT02896296) to assess whether there were sustained benefits after leaving the trial. Abstinence from opioids and from all illicit substances [excluding medical cannabis], health-related quality of life, depression, and employment were measured after BUP-XR discontinuation and change in outcomes assessed at 6, 12, and 18 months [m]. Results </w:t>
      </w:r>
      <w:proofErr w:type="gramStart"/>
      <w:r w:rsidRPr="00F73F78">
        <w:rPr>
          <w:rFonts w:cstheme="minorHAnsi"/>
        </w:rPr>
        <w:t>were analyzed</w:t>
      </w:r>
      <w:proofErr w:type="gramEnd"/>
      <w:r w:rsidRPr="00F73F78">
        <w:rPr>
          <w:rFonts w:cstheme="minorHAnsi"/>
        </w:rPr>
        <w:t xml:space="preserve"> within the full cohort and by duration of BUP-XR treatment (0-2m, 3-5m, 6-11m, 12m, or 13-18m) with and without inverse probability weights </w:t>
      </w:r>
      <w:r>
        <w:rPr>
          <w:rFonts w:cstheme="minorHAnsi"/>
        </w:rPr>
        <w:t>adjusting</w:t>
      </w:r>
      <w:r w:rsidRPr="00F73F78">
        <w:rPr>
          <w:rFonts w:cstheme="minorHAnsi"/>
        </w:rPr>
        <w:t xml:space="preserve"> for differences in baseline characteristics. </w:t>
      </w:r>
    </w:p>
    <w:p w14:paraId="6C93C50C" w14:textId="77777777" w:rsidR="002D3BB7" w:rsidRPr="00F73F78" w:rsidRDefault="002D3BB7" w:rsidP="00500E4D">
      <w:pPr>
        <w:spacing w:after="0" w:line="480" w:lineRule="auto"/>
        <w:textAlignment w:val="baseline"/>
        <w:rPr>
          <w:rFonts w:cstheme="minorHAnsi"/>
        </w:rPr>
      </w:pPr>
    </w:p>
    <w:p w14:paraId="7BFB467B" w14:textId="77777777" w:rsidR="002D3BB7" w:rsidRPr="00F73F78" w:rsidRDefault="002D3BB7" w:rsidP="00500E4D">
      <w:pPr>
        <w:spacing w:after="0" w:line="480" w:lineRule="auto"/>
        <w:textAlignment w:val="baseline"/>
        <w:rPr>
          <w:rFonts w:cstheme="minorHAnsi"/>
        </w:rPr>
      </w:pPr>
      <w:r w:rsidRPr="00F73F78">
        <w:rPr>
          <w:rFonts w:cstheme="minorHAnsi"/>
        </w:rPr>
        <w:t xml:space="preserve">Results: </w:t>
      </w:r>
    </w:p>
    <w:p w14:paraId="71CBD6E4" w14:textId="4F7DE85B" w:rsidR="002D3BB7" w:rsidRPr="00F73F78" w:rsidRDefault="002D3BB7" w:rsidP="00500E4D">
      <w:pPr>
        <w:spacing w:after="0" w:line="480" w:lineRule="auto"/>
        <w:textAlignment w:val="baseline"/>
        <w:rPr>
          <w:rFonts w:cstheme="minorHAnsi"/>
        </w:rPr>
      </w:pPr>
      <w:r w:rsidRPr="00F73F78">
        <w:rPr>
          <w:rFonts w:cstheme="minorHAnsi"/>
        </w:rPr>
        <w:t xml:space="preserve">Of 533 participants, 529 </w:t>
      </w:r>
      <w:proofErr w:type="gramStart"/>
      <w:r w:rsidRPr="00F73F78">
        <w:rPr>
          <w:rFonts w:cstheme="minorHAnsi"/>
        </w:rPr>
        <w:t>were assessed</w:t>
      </w:r>
      <w:proofErr w:type="gramEnd"/>
      <w:r w:rsidRPr="00F73F78">
        <w:rPr>
          <w:rFonts w:cstheme="minorHAnsi"/>
        </w:rPr>
        <w:t xml:space="preserve"> over the 18-month study period. Further post-trial pharmacotherapy </w:t>
      </w:r>
      <w:proofErr w:type="gramStart"/>
      <w:r w:rsidRPr="00F73F78">
        <w:rPr>
          <w:rFonts w:cstheme="minorHAnsi"/>
        </w:rPr>
        <w:t>was reported</w:t>
      </w:r>
      <w:proofErr w:type="gramEnd"/>
      <w:r w:rsidRPr="00F73F78">
        <w:rPr>
          <w:rFonts w:cstheme="minorHAnsi"/>
        </w:rPr>
        <w:t xml:space="preserve"> by 33% of participants. At RECOVER baseline, longer BUP-XR was associated with higher abstinence (0-2m BUP-XR[n=116]: 38.8%; 3-5m BUP-XR[n=61]: 41.0%; 6-11m BUP-XR[n=86]:68.6%; 12m BUP-XR[n=135]: 71.9%; 18m BUP-XR[n=131]: 88.2%) and greater SF-12 mental component scores. Over 60% of </w:t>
      </w:r>
      <w:r>
        <w:rPr>
          <w:rFonts w:cstheme="minorHAnsi"/>
        </w:rPr>
        <w:t>participants</w:t>
      </w:r>
      <w:r w:rsidRPr="00F73F78">
        <w:rPr>
          <w:rFonts w:cstheme="minorHAnsi"/>
        </w:rPr>
        <w:t xml:space="preserve"> had stable or improved outcomes at 6, 12, and 18m assessments. </w:t>
      </w:r>
      <w:r>
        <w:rPr>
          <w:rFonts w:cstheme="minorHAnsi"/>
        </w:rPr>
        <w:t>Overall</w:t>
      </w:r>
      <w:r w:rsidRPr="00F73F78">
        <w:rPr>
          <w:rFonts w:cstheme="minorHAnsi"/>
        </w:rPr>
        <w:t xml:space="preserve"> 47% of participants self-reported sustained opioid abstinence for the full 18-month </w:t>
      </w:r>
      <w:r w:rsidRPr="00F73F78">
        <w:rPr>
          <w:rFonts w:cstheme="minorHAnsi"/>
        </w:rPr>
        <w:lastRenderedPageBreak/>
        <w:t>follow-up, with greater sustained abstinence associated with longer BUP-XR treatment duration.</w:t>
      </w:r>
      <w:r>
        <w:rPr>
          <w:rFonts w:cstheme="minorHAnsi"/>
        </w:rPr>
        <w:t xml:space="preserve"> A</w:t>
      </w:r>
      <w:r w:rsidRPr="00F73F78">
        <w:rPr>
          <w:rFonts w:cstheme="minorHAnsi"/>
        </w:rPr>
        <w:t xml:space="preserve"> sensitivity analysis</w:t>
      </w:r>
      <w:r>
        <w:rPr>
          <w:rFonts w:cstheme="minorHAnsi"/>
        </w:rPr>
        <w:t xml:space="preserve">, </w:t>
      </w:r>
      <w:r w:rsidRPr="00F73F78">
        <w:rPr>
          <w:rFonts w:cstheme="minorHAnsi"/>
        </w:rPr>
        <w:t xml:space="preserve">removing patients </w:t>
      </w:r>
      <w:r>
        <w:rPr>
          <w:rFonts w:cstheme="minorHAnsi"/>
        </w:rPr>
        <w:t>receiving</w:t>
      </w:r>
      <w:r w:rsidRPr="00F73F78">
        <w:rPr>
          <w:rFonts w:cstheme="minorHAnsi"/>
        </w:rPr>
        <w:t xml:space="preserve"> medications for </w:t>
      </w:r>
      <w:r>
        <w:rPr>
          <w:rFonts w:cstheme="minorHAnsi"/>
        </w:rPr>
        <w:t>OUD, yielded similar results.</w:t>
      </w:r>
    </w:p>
    <w:p w14:paraId="33FFCC8F" w14:textId="77777777" w:rsidR="002D3BB7" w:rsidRPr="00F73F78" w:rsidRDefault="002D3BB7" w:rsidP="00500E4D">
      <w:pPr>
        <w:spacing w:after="0" w:line="480" w:lineRule="auto"/>
        <w:textAlignment w:val="baseline"/>
        <w:rPr>
          <w:rFonts w:cstheme="minorHAnsi"/>
        </w:rPr>
      </w:pPr>
    </w:p>
    <w:p w14:paraId="77575ACB" w14:textId="77777777" w:rsidR="002D3BB7" w:rsidRPr="00F73F78" w:rsidRDefault="002D3BB7" w:rsidP="00500E4D">
      <w:pPr>
        <w:spacing w:after="0" w:line="480" w:lineRule="auto"/>
        <w:textAlignment w:val="baseline"/>
        <w:rPr>
          <w:rFonts w:cstheme="minorHAnsi"/>
        </w:rPr>
      </w:pPr>
      <w:r w:rsidRPr="00F73F78">
        <w:rPr>
          <w:rFonts w:cstheme="minorHAnsi"/>
        </w:rPr>
        <w:t xml:space="preserve">Conclusions: </w:t>
      </w:r>
    </w:p>
    <w:p w14:paraId="6D431D92" w14:textId="5ACAC929" w:rsidR="002D3BB7" w:rsidRPr="00F73F78" w:rsidRDefault="002D3BB7" w:rsidP="00500E4D">
      <w:pPr>
        <w:spacing w:after="0" w:line="480" w:lineRule="auto"/>
        <w:textAlignment w:val="baseline"/>
        <w:rPr>
          <w:rFonts w:cstheme="minorHAnsi"/>
        </w:rPr>
      </w:pPr>
      <w:r w:rsidRPr="00F73F78">
        <w:rPr>
          <w:rFonts w:cstheme="minorHAnsi"/>
        </w:rPr>
        <w:t>Participants from BUP-XR clinical trials who continued into RECOVER maintain</w:t>
      </w:r>
      <w:r>
        <w:rPr>
          <w:rFonts w:cstheme="minorHAnsi"/>
        </w:rPr>
        <w:t>ed</w:t>
      </w:r>
      <w:r w:rsidRPr="00F73F78">
        <w:rPr>
          <w:rFonts w:cstheme="minorHAnsi"/>
        </w:rPr>
        <w:t xml:space="preserve"> or improve</w:t>
      </w:r>
      <w:r>
        <w:rPr>
          <w:rFonts w:cstheme="minorHAnsi"/>
        </w:rPr>
        <w:t>d</w:t>
      </w:r>
      <w:r w:rsidRPr="00F73F78">
        <w:rPr>
          <w:rFonts w:cstheme="minorHAnsi"/>
        </w:rPr>
        <w:t xml:space="preserve"> on numerous outcomes over 18 months</w:t>
      </w:r>
      <w:r>
        <w:rPr>
          <w:rFonts w:cstheme="minorHAnsi"/>
        </w:rPr>
        <w:t>, d</w:t>
      </w:r>
      <w:r w:rsidRPr="00F73F78">
        <w:rPr>
          <w:rFonts w:cstheme="minorHAnsi"/>
        </w:rPr>
        <w:t>emonstrat</w:t>
      </w:r>
      <w:r>
        <w:rPr>
          <w:rFonts w:cstheme="minorHAnsi"/>
        </w:rPr>
        <w:t>ing</w:t>
      </w:r>
      <w:r w:rsidRPr="00F73F78">
        <w:rPr>
          <w:rFonts w:cstheme="minorHAnsi"/>
        </w:rPr>
        <w:t xml:space="preserve"> the long-term positive impact of OUD pharmacotherapy.</w:t>
      </w:r>
    </w:p>
    <w:p w14:paraId="42D265BF" w14:textId="77777777" w:rsidR="002D3BB7" w:rsidRPr="00F73F78" w:rsidRDefault="002D3BB7" w:rsidP="00500E4D">
      <w:pPr>
        <w:spacing w:after="0" w:line="480" w:lineRule="auto"/>
        <w:textAlignment w:val="baseline"/>
        <w:rPr>
          <w:rFonts w:cstheme="minorHAnsi"/>
        </w:rPr>
      </w:pPr>
    </w:p>
    <w:p w14:paraId="1C962608" w14:textId="77777777" w:rsidR="002D3BB7" w:rsidRPr="00F73F78" w:rsidRDefault="002D3BB7" w:rsidP="00500E4D">
      <w:pPr>
        <w:spacing w:line="480" w:lineRule="auto"/>
        <w:rPr>
          <w:rFonts w:cstheme="minorHAnsi"/>
          <w:b/>
          <w:bCs/>
        </w:rPr>
      </w:pPr>
      <w:r w:rsidRPr="00F73F78">
        <w:rPr>
          <w:rFonts w:cstheme="minorHAnsi"/>
          <w:b/>
          <w:bCs/>
        </w:rPr>
        <w:t>Keywords</w:t>
      </w:r>
    </w:p>
    <w:p w14:paraId="473DCBFC" w14:textId="77777777" w:rsidR="002D3BB7" w:rsidRPr="00F73F78" w:rsidRDefault="002D3BB7" w:rsidP="00500E4D">
      <w:pPr>
        <w:spacing w:line="480" w:lineRule="auto"/>
        <w:rPr>
          <w:rFonts w:cstheme="minorHAnsi"/>
        </w:rPr>
      </w:pPr>
      <w:r w:rsidRPr="00F73F78">
        <w:rPr>
          <w:rFonts w:cstheme="minorHAnsi"/>
        </w:rPr>
        <w:t>Opioid use disorder; treatment; buprenorphine; quality of life; symptoms; abstinence</w:t>
      </w:r>
    </w:p>
    <w:p w14:paraId="28C75C8A" w14:textId="77777777" w:rsidR="002D3BB7" w:rsidRPr="00F73F78" w:rsidRDefault="002D3BB7" w:rsidP="00500E4D">
      <w:pPr>
        <w:spacing w:line="480" w:lineRule="auto"/>
        <w:rPr>
          <w:rFonts w:cstheme="minorHAnsi"/>
        </w:rPr>
      </w:pPr>
      <w:r w:rsidRPr="00F73F78">
        <w:rPr>
          <w:rFonts w:cstheme="minorHAnsi"/>
        </w:rPr>
        <w:br w:type="page"/>
      </w:r>
    </w:p>
    <w:p w14:paraId="0335D362" w14:textId="77777777" w:rsidR="002D3BB7" w:rsidRPr="00F73F78" w:rsidRDefault="002D3BB7" w:rsidP="00500E4D">
      <w:pPr>
        <w:pStyle w:val="Heading1"/>
        <w:spacing w:line="480" w:lineRule="auto"/>
        <w:rPr>
          <w:rFonts w:asciiTheme="minorHAnsi" w:hAnsiTheme="minorHAnsi" w:cstheme="minorHAnsi"/>
          <w:sz w:val="22"/>
          <w:szCs w:val="22"/>
        </w:rPr>
      </w:pPr>
      <w:r w:rsidRPr="00F73F78">
        <w:rPr>
          <w:rFonts w:asciiTheme="minorHAnsi" w:hAnsiTheme="minorHAnsi" w:cstheme="minorHAnsi"/>
          <w:sz w:val="22"/>
          <w:szCs w:val="22"/>
        </w:rPr>
        <w:lastRenderedPageBreak/>
        <w:t>Introduction</w:t>
      </w:r>
    </w:p>
    <w:p w14:paraId="42FB0163" w14:textId="77777777" w:rsidR="002D3BB7" w:rsidRPr="00F73F78" w:rsidRDefault="002D3BB7" w:rsidP="00500E4D">
      <w:pPr>
        <w:spacing w:line="480" w:lineRule="auto"/>
        <w:rPr>
          <w:rFonts w:eastAsia="Times New Roman" w:cstheme="minorHAnsi"/>
        </w:rPr>
      </w:pPr>
      <w:proofErr w:type="gramStart"/>
      <w:r w:rsidRPr="00F73F78">
        <w:rPr>
          <w:rFonts w:eastAsia="Times New Roman" w:cstheme="minorHAnsi"/>
        </w:rPr>
        <w:t>Opioid use disorder (OUD) remains a serious health crisis in the United States, with 50,042 overdose deaths in 2019</w:t>
      </w:r>
      <w:r w:rsidRPr="00F47F22">
        <w:rPr>
          <w:rFonts w:eastAsia="Times New Roman" w:cstheme="minorHAnsi"/>
          <w:noProof/>
          <w:vertAlign w:val="superscript"/>
        </w:rPr>
        <w:t>1</w:t>
      </w:r>
      <w:r w:rsidRPr="00F73F78">
        <w:rPr>
          <w:rFonts w:eastAsia="Times New Roman" w:cstheme="minorHAnsi"/>
        </w:rPr>
        <w:t xml:space="preserve"> </w:t>
      </w:r>
      <w:r>
        <w:rPr>
          <w:rFonts w:eastAsia="Times New Roman" w:cstheme="minorHAnsi"/>
        </w:rPr>
        <w:t>and</w:t>
      </w:r>
      <w:r w:rsidRPr="00F73F78">
        <w:rPr>
          <w:rFonts w:eastAsia="Times New Roman" w:cstheme="minorHAnsi"/>
        </w:rPr>
        <w:t xml:space="preserve"> an estimated $504 billion </w:t>
      </w:r>
      <w:r>
        <w:rPr>
          <w:rFonts w:eastAsia="Times New Roman" w:cstheme="minorHAnsi"/>
        </w:rPr>
        <w:t>cost</w:t>
      </w:r>
      <w:r w:rsidRPr="00F73F78">
        <w:rPr>
          <w:rFonts w:eastAsia="Times New Roman" w:cstheme="minorHAnsi"/>
        </w:rPr>
        <w:t xml:space="preserve"> attributable</w:t>
      </w:r>
      <w:r>
        <w:rPr>
          <w:rFonts w:eastAsia="Times New Roman" w:cstheme="minorHAnsi"/>
        </w:rPr>
        <w:t xml:space="preserve"> </w:t>
      </w:r>
      <w:r w:rsidRPr="00F73F78">
        <w:rPr>
          <w:rFonts w:eastAsia="Times New Roman" w:cstheme="minorHAnsi"/>
        </w:rPr>
        <w:t>to the opioid crisis in 2015</w:t>
      </w:r>
      <w:r>
        <w:rPr>
          <w:rFonts w:eastAsia="Times New Roman" w:cstheme="minorHAnsi"/>
        </w:rPr>
        <w:t>.</w:t>
      </w:r>
      <w:r w:rsidRPr="00F47F22">
        <w:rPr>
          <w:rFonts w:eastAsia="Times New Roman" w:cstheme="minorHAnsi"/>
          <w:noProof/>
          <w:vertAlign w:val="superscript"/>
        </w:rPr>
        <w:t>2,3</w:t>
      </w:r>
      <w:r w:rsidRPr="00F73F78">
        <w:rPr>
          <w:rFonts w:eastAsia="Times New Roman" w:cstheme="minorHAnsi"/>
        </w:rPr>
        <w:t xml:space="preserve"> The National Institutes of Health Helping to End Addiction Long-term (HEAL) Initiative describes a number of areas of opportunity which can be addressed to better understand this crisis and prioritize research initiatives</w:t>
      </w:r>
      <w:r>
        <w:rPr>
          <w:rFonts w:eastAsia="Times New Roman" w:cstheme="minorHAnsi"/>
        </w:rPr>
        <w:t>,</w:t>
      </w:r>
      <w:r w:rsidRPr="00F47F22">
        <w:rPr>
          <w:rFonts w:eastAsia="Times New Roman" w:cstheme="minorHAnsi"/>
          <w:noProof/>
          <w:vertAlign w:val="superscript"/>
        </w:rPr>
        <w:t>4</w:t>
      </w:r>
      <w:r w:rsidRPr="00F73F78">
        <w:rPr>
          <w:rFonts w:eastAsia="Times New Roman" w:cstheme="minorHAnsi"/>
        </w:rPr>
        <w:t xml:space="preserve"> including developing new treatment strategies to improve treatment compliance, prevent relapse, reduce risk of misuse, and determine the optimal length of medication treatment for opioid addiction.</w:t>
      </w:r>
      <w:proofErr w:type="gramEnd"/>
      <w:r w:rsidRPr="00F73F78">
        <w:rPr>
          <w:rFonts w:eastAsia="Times New Roman" w:cstheme="minorHAnsi"/>
        </w:rPr>
        <w:t xml:space="preserve">  </w:t>
      </w:r>
    </w:p>
    <w:p w14:paraId="327101F1" w14:textId="77777777" w:rsidR="002D3BB7" w:rsidRPr="00F73F78" w:rsidRDefault="002D3BB7" w:rsidP="00500E4D">
      <w:pPr>
        <w:spacing w:line="480" w:lineRule="auto"/>
        <w:rPr>
          <w:rFonts w:cstheme="minorHAnsi"/>
        </w:rPr>
      </w:pPr>
      <w:r w:rsidRPr="00F73F78">
        <w:rPr>
          <w:rFonts w:cstheme="minorHAnsi"/>
        </w:rPr>
        <w:t>As new injectable treatments come to market, understanding the long-term outcomes for patients who have received treatment is important. These include the person’s environment and life experience, in addition to abstinence alone</w:t>
      </w:r>
      <w:r>
        <w:rPr>
          <w:rFonts w:cstheme="minorHAnsi"/>
        </w:rPr>
        <w:t>.</w:t>
      </w:r>
      <w:r w:rsidRPr="00F47F22">
        <w:rPr>
          <w:rFonts w:cstheme="minorHAnsi"/>
          <w:noProof/>
          <w:vertAlign w:val="superscript"/>
        </w:rPr>
        <w:t>5</w:t>
      </w:r>
    </w:p>
    <w:p w14:paraId="34645644" w14:textId="77777777" w:rsidR="002D3BB7" w:rsidRPr="00F73F78" w:rsidRDefault="002D3BB7" w:rsidP="00500E4D">
      <w:pPr>
        <w:autoSpaceDE w:val="0"/>
        <w:autoSpaceDN w:val="0"/>
        <w:adjustRightInd w:val="0"/>
        <w:spacing w:line="480" w:lineRule="auto"/>
        <w:rPr>
          <w:rFonts w:cstheme="minorHAnsi"/>
        </w:rPr>
      </w:pPr>
      <w:r w:rsidRPr="00F73F78">
        <w:rPr>
          <w:rFonts w:cstheme="minorHAnsi"/>
        </w:rPr>
        <w:t xml:space="preserve">The RECOVER™ observational study (Remission from Chronic Opioid Use: Studying Environmental and </w:t>
      </w:r>
      <w:proofErr w:type="spellStart"/>
      <w:r w:rsidRPr="00F73F78">
        <w:rPr>
          <w:rFonts w:cstheme="minorHAnsi"/>
        </w:rPr>
        <w:t>SocioEconomic</w:t>
      </w:r>
      <w:proofErr w:type="spellEnd"/>
      <w:r w:rsidRPr="00F73F78">
        <w:rPr>
          <w:rFonts w:cstheme="minorHAnsi"/>
        </w:rPr>
        <w:t xml:space="preserve"> Factors on Recovery; NCT03604861)</w:t>
      </w:r>
      <w:r w:rsidRPr="00F47F22">
        <w:rPr>
          <w:rFonts w:cstheme="minorHAnsi"/>
          <w:noProof/>
          <w:vertAlign w:val="superscript"/>
        </w:rPr>
        <w:t>6</w:t>
      </w:r>
      <w:r w:rsidRPr="00F73F78">
        <w:rPr>
          <w:rFonts w:cstheme="minorHAnsi"/>
        </w:rPr>
        <w:t xml:space="preserve"> provides an opportunity to better understand the long-term outcomes in persons who seek treatment with moderate to severe OUD after taking part in a trial for SUBLOCADE</w:t>
      </w:r>
      <w:r w:rsidRPr="00F73F78">
        <w:rPr>
          <w:rFonts w:eastAsia="Calibri" w:cstheme="minorHAnsi"/>
          <w:color w:val="000000"/>
        </w:rPr>
        <w:t>®</w:t>
      </w:r>
      <w:r w:rsidRPr="00F73F78">
        <w:rPr>
          <w:rFonts w:cstheme="minorHAnsi"/>
        </w:rPr>
        <w:t xml:space="preserve"> (hereafter, BUP-XR). The RECOVER study provides prospective data </w:t>
      </w:r>
      <w:proofErr w:type="gramStart"/>
      <w:r w:rsidRPr="00F73F78">
        <w:rPr>
          <w:rFonts w:cstheme="minorHAnsi"/>
        </w:rPr>
        <w:t>not only on abstinence but also</w:t>
      </w:r>
      <w:proofErr w:type="gramEnd"/>
      <w:r w:rsidRPr="00F73F78">
        <w:rPr>
          <w:rFonts w:cstheme="minorHAnsi"/>
        </w:rPr>
        <w:t xml:space="preserve"> other patient-reported outcomes that provide a more comprehensive picture of how patients experience recovery after exiting a clinical trial setting. Previous analyses </w:t>
      </w:r>
      <w:r>
        <w:rPr>
          <w:rFonts w:cstheme="minorHAnsi"/>
        </w:rPr>
        <w:t>of</w:t>
      </w:r>
      <w:r w:rsidRPr="00F73F78">
        <w:rPr>
          <w:rFonts w:cstheme="minorHAnsi"/>
        </w:rPr>
        <w:t xml:space="preserve"> the 12-month RECOVER outcomes</w:t>
      </w:r>
      <w:r>
        <w:rPr>
          <w:rFonts w:cstheme="minorHAnsi"/>
        </w:rPr>
        <w:t xml:space="preserve"> found </w:t>
      </w:r>
      <w:r w:rsidRPr="00F73F78">
        <w:rPr>
          <w:rFonts w:cstheme="minorHAnsi"/>
        </w:rPr>
        <w:t>that participants had positive health-related quality of life</w:t>
      </w:r>
      <w:r>
        <w:rPr>
          <w:rFonts w:cstheme="minorHAnsi"/>
        </w:rPr>
        <w:t xml:space="preserve"> (</w:t>
      </w:r>
      <w:proofErr w:type="spellStart"/>
      <w:r>
        <w:rPr>
          <w:rFonts w:cstheme="minorHAnsi"/>
        </w:rPr>
        <w:t>HRQoL</w:t>
      </w:r>
      <w:proofErr w:type="spellEnd"/>
      <w:r>
        <w:rPr>
          <w:rFonts w:cstheme="minorHAnsi"/>
        </w:rPr>
        <w:t>)</w:t>
      </w:r>
      <w:r w:rsidRPr="00F73F78">
        <w:rPr>
          <w:rFonts w:cstheme="minorHAnsi"/>
        </w:rPr>
        <w:t xml:space="preserve">, minimal depression, and higher employment compared </w:t>
      </w:r>
      <w:r>
        <w:rPr>
          <w:rFonts w:cstheme="minorHAnsi"/>
        </w:rPr>
        <w:t>with</w:t>
      </w:r>
      <w:r w:rsidRPr="00F73F78">
        <w:rPr>
          <w:rFonts w:cstheme="minorHAnsi"/>
        </w:rPr>
        <w:t xml:space="preserve"> their status prior to BUP-XR trials</w:t>
      </w:r>
      <w:r>
        <w:rPr>
          <w:rFonts w:cstheme="minorHAnsi"/>
        </w:rPr>
        <w:t>.</w:t>
      </w:r>
      <w:r w:rsidRPr="00F47F22">
        <w:rPr>
          <w:rFonts w:cstheme="minorHAnsi"/>
          <w:noProof/>
          <w:vertAlign w:val="superscript"/>
        </w:rPr>
        <w:t>7</w:t>
      </w:r>
    </w:p>
    <w:p w14:paraId="084E2EC5" w14:textId="77777777" w:rsidR="002D3BB7" w:rsidRPr="00F73F78" w:rsidRDefault="002D3BB7" w:rsidP="00500E4D">
      <w:pPr>
        <w:autoSpaceDE w:val="0"/>
        <w:autoSpaceDN w:val="0"/>
        <w:adjustRightInd w:val="0"/>
        <w:spacing w:line="480" w:lineRule="auto"/>
        <w:rPr>
          <w:rFonts w:cstheme="minorHAnsi"/>
        </w:rPr>
      </w:pPr>
      <w:r>
        <w:rPr>
          <w:rFonts w:cstheme="minorHAnsi"/>
        </w:rPr>
        <w:t>T</w:t>
      </w:r>
      <w:r w:rsidRPr="00F73F78">
        <w:rPr>
          <w:rFonts w:cstheme="minorHAnsi"/>
        </w:rPr>
        <w:t>he objectives of this analysis were to (1) describe real-world outcomes in a cohort of people with OUD over 18 months following discontinuation of BUP-XR and (2) examine whether outcomes differed among participants based on BUP-XR treatment duration.</w:t>
      </w:r>
      <w:r w:rsidRPr="00F73F78">
        <w:rPr>
          <w:rFonts w:eastAsia="Times New Roman" w:cstheme="minorHAnsi"/>
        </w:rPr>
        <w:t xml:space="preserve"> </w:t>
      </w:r>
    </w:p>
    <w:p w14:paraId="3A64FAA8" w14:textId="77777777" w:rsidR="002D3BB7" w:rsidRPr="00F73F78" w:rsidRDefault="002D3BB7" w:rsidP="00500E4D">
      <w:pPr>
        <w:pStyle w:val="Heading1"/>
        <w:spacing w:line="480" w:lineRule="auto"/>
        <w:rPr>
          <w:rFonts w:asciiTheme="minorHAnsi" w:hAnsiTheme="minorHAnsi" w:cstheme="minorHAnsi"/>
          <w:sz w:val="22"/>
          <w:szCs w:val="22"/>
        </w:rPr>
      </w:pPr>
      <w:r w:rsidRPr="00F73F78">
        <w:rPr>
          <w:rFonts w:asciiTheme="minorHAnsi" w:hAnsiTheme="minorHAnsi" w:cstheme="minorHAnsi"/>
          <w:sz w:val="22"/>
          <w:szCs w:val="22"/>
        </w:rPr>
        <w:lastRenderedPageBreak/>
        <w:t>Materials and Methods</w:t>
      </w:r>
    </w:p>
    <w:p w14:paraId="4EF0D69F" w14:textId="77777777" w:rsidR="002D3BB7" w:rsidRPr="00F73F78" w:rsidRDefault="002D3BB7" w:rsidP="00500E4D">
      <w:pPr>
        <w:pStyle w:val="Heading2"/>
        <w:spacing w:line="480" w:lineRule="auto"/>
        <w:rPr>
          <w:rFonts w:asciiTheme="minorHAnsi" w:hAnsiTheme="minorHAnsi" w:cstheme="minorHAnsi"/>
          <w:sz w:val="22"/>
          <w:szCs w:val="22"/>
        </w:rPr>
      </w:pPr>
      <w:r w:rsidRPr="00F73F78">
        <w:rPr>
          <w:rFonts w:asciiTheme="minorHAnsi" w:hAnsiTheme="minorHAnsi" w:cstheme="minorHAnsi"/>
          <w:sz w:val="22"/>
          <w:szCs w:val="22"/>
        </w:rPr>
        <w:t>Study Design</w:t>
      </w:r>
    </w:p>
    <w:p w14:paraId="08667891" w14:textId="77777777" w:rsidR="002D3BB7" w:rsidRPr="00F73F78" w:rsidRDefault="002D3BB7" w:rsidP="00500E4D">
      <w:pPr>
        <w:spacing w:before="100" w:beforeAutospacing="1" w:after="100" w:afterAutospacing="1" w:line="480" w:lineRule="auto"/>
        <w:rPr>
          <w:rFonts w:cstheme="minorHAnsi"/>
        </w:rPr>
      </w:pPr>
      <w:r w:rsidRPr="00F73F78">
        <w:rPr>
          <w:rFonts w:eastAsia="Times New Roman" w:cstheme="minorHAnsi"/>
          <w:lang w:val="en-GB" w:eastAsia="en-GB"/>
        </w:rPr>
        <w:t xml:space="preserve">RECOVER is an observational study assessing life changes in patients with OUD </w:t>
      </w:r>
      <w:r>
        <w:rPr>
          <w:rFonts w:eastAsia="Times New Roman" w:cstheme="minorHAnsi"/>
          <w:lang w:val="en-GB" w:eastAsia="en-GB"/>
        </w:rPr>
        <w:t>receiving</w:t>
      </w:r>
      <w:r w:rsidRPr="00F73F78">
        <w:rPr>
          <w:rFonts w:eastAsia="Times New Roman" w:cstheme="minorHAnsi"/>
          <w:lang w:val="en-GB" w:eastAsia="en-GB"/>
        </w:rPr>
        <w:t xml:space="preserve"> up to 18 monthly BUP-XR injections as part of either a separate randomized placebo-controlled clinical efficacy trial (NCT02357901)</w:t>
      </w:r>
      <w:r w:rsidRPr="00F47F22">
        <w:rPr>
          <w:rFonts w:eastAsia="Times New Roman" w:cstheme="minorHAnsi"/>
          <w:noProof/>
          <w:vertAlign w:val="superscript"/>
          <w:lang w:val="en-GB" w:eastAsia="en-GB"/>
        </w:rPr>
        <w:t>8,9</w:t>
      </w:r>
      <w:r w:rsidRPr="00F73F78">
        <w:rPr>
          <w:rFonts w:eastAsia="Times New Roman" w:cstheme="minorHAnsi"/>
          <w:lang w:val="en-GB" w:eastAsia="en-GB"/>
        </w:rPr>
        <w:t xml:space="preserve"> and/or separate open-label safety (NCT02510014) and extension (</w:t>
      </w:r>
      <w:r w:rsidRPr="00F73F78">
        <w:rPr>
          <w:rFonts w:cstheme="minorHAnsi"/>
        </w:rPr>
        <w:t>NCT02896296) studies</w:t>
      </w:r>
      <w:r w:rsidRPr="00F73F78">
        <w:rPr>
          <w:rFonts w:eastAsia="Times New Roman" w:cstheme="minorHAnsi"/>
          <w:lang w:val="en-GB" w:eastAsia="en-GB"/>
        </w:rPr>
        <w:t xml:space="preserve">. </w:t>
      </w:r>
      <w:r w:rsidRPr="00F73F78">
        <w:rPr>
          <w:rFonts w:cstheme="minorHAnsi"/>
        </w:rPr>
        <w:t xml:space="preserve">RECOVER followed participants for up to 24 months from baseline after exiting BUP-XR trials (Figure 1). </w:t>
      </w:r>
    </w:p>
    <w:p w14:paraId="5E2C0E3E" w14:textId="77777777" w:rsidR="002D3BB7" w:rsidRPr="00F73F78" w:rsidRDefault="002D3BB7" w:rsidP="00F13A4B">
      <w:pPr>
        <w:spacing w:before="100" w:beforeAutospacing="1" w:after="100" w:afterAutospacing="1" w:line="480" w:lineRule="auto"/>
        <w:rPr>
          <w:rFonts w:cstheme="minorHAnsi"/>
        </w:rPr>
      </w:pPr>
      <w:r w:rsidRPr="00F73F78">
        <w:rPr>
          <w:rFonts w:cstheme="minorHAnsi"/>
        </w:rPr>
        <w:t xml:space="preserve">The enrollment period from the last monthly BUP-XR injection to baseline ranged from </w:t>
      </w:r>
      <w:proofErr w:type="gramStart"/>
      <w:r w:rsidRPr="00F73F78">
        <w:rPr>
          <w:rFonts w:cstheme="minorHAnsi"/>
        </w:rPr>
        <w:t>0</w:t>
      </w:r>
      <w:proofErr w:type="gramEnd"/>
      <w:r w:rsidRPr="00F73F78">
        <w:rPr>
          <w:rFonts w:cstheme="minorHAnsi"/>
        </w:rPr>
        <w:t xml:space="preserve"> to 89 weeks because many patients had already left the BUP-XR trials when RECOVER started enrolling. </w:t>
      </w:r>
      <w:proofErr w:type="gramStart"/>
      <w:r w:rsidRPr="00F73F78">
        <w:rPr>
          <w:rFonts w:cstheme="minorHAnsi"/>
        </w:rPr>
        <w:t>Also</w:t>
      </w:r>
      <w:proofErr w:type="gramEnd"/>
      <w:r w:rsidRPr="00F73F78">
        <w:rPr>
          <w:rFonts w:cstheme="minorHAnsi"/>
        </w:rPr>
        <w:t xml:space="preserve">, due to the open-label extension study and RECOVER running simultaneously, some patients continued to receive injections during the first 6 months of the RECOVER baseline. </w:t>
      </w:r>
    </w:p>
    <w:p w14:paraId="5B2B49DF" w14:textId="77777777" w:rsidR="002D3BB7" w:rsidRPr="00F73F78" w:rsidRDefault="002D3BB7" w:rsidP="00500E4D">
      <w:pPr>
        <w:spacing w:line="480" w:lineRule="auto"/>
        <w:rPr>
          <w:rFonts w:cstheme="minorHAnsi"/>
        </w:rPr>
      </w:pPr>
      <w:r w:rsidRPr="00F73F78">
        <w:rPr>
          <w:rFonts w:cstheme="minorHAnsi"/>
        </w:rPr>
        <w:t>Although all participants in RECOVER could have up to 24 months of follow-up, those who were in the long-term safety study (NCT02896296) could have only up to 18 months of follow-up after their last BUP-XR injection. This analysis re-indexed participants who had concurrent BUP-XR use with RECOVER, shifting visits back by 6 months,</w:t>
      </w:r>
      <w:r>
        <w:rPr>
          <w:rFonts w:cstheme="minorHAnsi"/>
        </w:rPr>
        <w:t xml:space="preserve"> including</w:t>
      </w:r>
      <w:r w:rsidRPr="00F73F78">
        <w:rPr>
          <w:rFonts w:cstheme="minorHAnsi"/>
        </w:rPr>
        <w:t xml:space="preserve"> data for the first 18 months of follow-up</w:t>
      </w:r>
      <w:r>
        <w:rPr>
          <w:rFonts w:cstheme="minorHAnsi"/>
        </w:rPr>
        <w:t>,</w:t>
      </w:r>
      <w:r w:rsidRPr="00F73F78">
        <w:rPr>
          <w:rFonts w:cstheme="minorHAnsi"/>
        </w:rPr>
        <w:t xml:space="preserve"> to allow for the same time frame of comparison for those who were and those who were not re-indexed. </w:t>
      </w:r>
    </w:p>
    <w:p w14:paraId="26BDD8B0" w14:textId="77777777" w:rsidR="002D3BB7" w:rsidRPr="00F73F78" w:rsidRDefault="002D3BB7" w:rsidP="00500E4D">
      <w:pPr>
        <w:spacing w:line="480" w:lineRule="auto"/>
        <w:rPr>
          <w:rFonts w:cstheme="minorHAnsi"/>
        </w:rPr>
      </w:pPr>
      <w:r w:rsidRPr="00F73F78">
        <w:rPr>
          <w:rFonts w:cstheme="minorHAnsi"/>
        </w:rPr>
        <w:t xml:space="preserve">Short surveys administered via in-person computer-assisted interviews and urine drug screens (UDS) </w:t>
      </w:r>
      <w:proofErr w:type="gramStart"/>
      <w:r w:rsidRPr="00F73F78">
        <w:rPr>
          <w:rFonts w:cstheme="minorHAnsi"/>
        </w:rPr>
        <w:t>were completed</w:t>
      </w:r>
      <w:proofErr w:type="gramEnd"/>
      <w:r w:rsidRPr="00F73F78">
        <w:rPr>
          <w:rFonts w:cstheme="minorHAnsi"/>
        </w:rPr>
        <w:t xml:space="preserve"> every 3 months, with a more complete surveys administered every 6 months for up to 24 months. Participants who missed an assessment were still eligible to complete future assessments. RECOVER </w:t>
      </w:r>
      <w:proofErr w:type="gramStart"/>
      <w:r w:rsidRPr="00F73F78">
        <w:rPr>
          <w:rFonts w:cstheme="minorHAnsi"/>
        </w:rPr>
        <w:t>was conducted in accordance with all applicable ethical and regulatory requirements and approved by the institutional review board</w:t>
      </w:r>
      <w:proofErr w:type="gramEnd"/>
      <w:r w:rsidRPr="00F73F78">
        <w:rPr>
          <w:rFonts w:cstheme="minorHAnsi"/>
        </w:rPr>
        <w:t xml:space="preserve">. Informed consent </w:t>
      </w:r>
      <w:proofErr w:type="gramStart"/>
      <w:r w:rsidRPr="00F73F78">
        <w:rPr>
          <w:rFonts w:cstheme="minorHAnsi"/>
        </w:rPr>
        <w:t>was obtained</w:t>
      </w:r>
      <w:proofErr w:type="gramEnd"/>
      <w:r w:rsidRPr="00F73F78">
        <w:rPr>
          <w:rFonts w:cstheme="minorHAnsi"/>
        </w:rPr>
        <w:t xml:space="preserve"> from all study participants prior to study participation. </w:t>
      </w:r>
    </w:p>
    <w:p w14:paraId="5C2EA842" w14:textId="77777777" w:rsidR="002D3BB7" w:rsidRPr="00F73F78" w:rsidRDefault="002D3BB7" w:rsidP="00500E4D">
      <w:pPr>
        <w:spacing w:line="480" w:lineRule="auto"/>
        <w:rPr>
          <w:rFonts w:cstheme="minorHAnsi"/>
        </w:rPr>
      </w:pPr>
      <w:r w:rsidRPr="00F73F78">
        <w:rPr>
          <w:rFonts w:cstheme="minorHAnsi"/>
        </w:rPr>
        <w:lastRenderedPageBreak/>
        <w:t xml:space="preserve">Total BUP-XR treatment duration received in the period prior to </w:t>
      </w:r>
      <w:proofErr w:type="gramStart"/>
      <w:r w:rsidRPr="00F73F78">
        <w:rPr>
          <w:rFonts w:cstheme="minorHAnsi"/>
        </w:rPr>
        <w:t>re-indexed</w:t>
      </w:r>
      <w:proofErr w:type="gramEnd"/>
      <w:r w:rsidRPr="00F73F78">
        <w:rPr>
          <w:rFonts w:cstheme="minorHAnsi"/>
        </w:rPr>
        <w:t xml:space="preserve"> baseline was classified as 0-2 months (m) BUP-XR (including those </w:t>
      </w:r>
      <w:r>
        <w:rPr>
          <w:rFonts w:cstheme="minorHAnsi"/>
        </w:rPr>
        <w:t>receiving</w:t>
      </w:r>
      <w:r w:rsidRPr="00F73F78">
        <w:rPr>
          <w:rFonts w:cstheme="minorHAnsi"/>
        </w:rPr>
        <w:t xml:space="preserve"> only placebo or 1-2 BUP-XR injections), 3-5m BUP-XR, 6-11m BUP-XR, 12m BUP-XR, and 13-18m BUP-XR. These categories were consistent with previous analyses</w:t>
      </w:r>
      <w:proofErr w:type="gramStart"/>
      <w:r>
        <w:rPr>
          <w:rFonts w:cstheme="minorHAnsi"/>
        </w:rPr>
        <w:t>,</w:t>
      </w:r>
      <w:r w:rsidRPr="00F47F22">
        <w:rPr>
          <w:rFonts w:cstheme="minorHAnsi"/>
          <w:noProof/>
          <w:vertAlign w:val="superscript"/>
        </w:rPr>
        <w:t>7</w:t>
      </w:r>
      <w:proofErr w:type="gramEnd"/>
      <w:r w:rsidRPr="00F73F78">
        <w:rPr>
          <w:rFonts w:cstheme="minorHAnsi"/>
        </w:rPr>
        <w:t xml:space="preserve"> except for separating 12m and 13-18m BUP-XR treatment durations.</w:t>
      </w:r>
    </w:p>
    <w:p w14:paraId="01488503" w14:textId="77777777" w:rsidR="002D3BB7" w:rsidRPr="00F73F78" w:rsidRDefault="002D3BB7" w:rsidP="00500E4D">
      <w:pPr>
        <w:pStyle w:val="Heading2"/>
        <w:spacing w:line="480" w:lineRule="auto"/>
        <w:rPr>
          <w:rFonts w:asciiTheme="minorHAnsi" w:hAnsiTheme="minorHAnsi" w:cstheme="minorHAnsi"/>
          <w:sz w:val="22"/>
          <w:szCs w:val="22"/>
        </w:rPr>
      </w:pPr>
      <w:r w:rsidRPr="00F73F78">
        <w:rPr>
          <w:rFonts w:asciiTheme="minorHAnsi" w:hAnsiTheme="minorHAnsi" w:cstheme="minorHAnsi"/>
          <w:sz w:val="22"/>
          <w:szCs w:val="22"/>
        </w:rPr>
        <w:t xml:space="preserve">Substance Use Disorder Treatment </w:t>
      </w:r>
      <w:proofErr w:type="gramStart"/>
      <w:r w:rsidRPr="00F73F78">
        <w:rPr>
          <w:rFonts w:asciiTheme="minorHAnsi" w:hAnsiTheme="minorHAnsi" w:cstheme="minorHAnsi"/>
          <w:sz w:val="22"/>
          <w:szCs w:val="22"/>
        </w:rPr>
        <w:t>During</w:t>
      </w:r>
      <w:proofErr w:type="gramEnd"/>
      <w:r w:rsidRPr="00F73F78">
        <w:rPr>
          <w:rFonts w:asciiTheme="minorHAnsi" w:hAnsiTheme="minorHAnsi" w:cstheme="minorHAnsi"/>
          <w:sz w:val="22"/>
          <w:szCs w:val="22"/>
        </w:rPr>
        <w:t xml:space="preserve"> RECOVER</w:t>
      </w:r>
    </w:p>
    <w:p w14:paraId="562362BC" w14:textId="77777777" w:rsidR="002D3BB7" w:rsidRDefault="002D3BB7" w:rsidP="00500E4D">
      <w:pPr>
        <w:spacing w:line="480" w:lineRule="auto"/>
        <w:rPr>
          <w:rFonts w:cstheme="minorHAnsi"/>
        </w:rPr>
      </w:pPr>
      <w:r w:rsidRPr="00F73F78">
        <w:rPr>
          <w:rFonts w:cstheme="minorHAnsi"/>
        </w:rPr>
        <w:t xml:space="preserve">While RECOVER was a non-interventional observational study, participants could have obtained treatment for opioid and other drug use after leaving the clinical trial program. Information regarding treatment </w:t>
      </w:r>
      <w:proofErr w:type="gramStart"/>
      <w:r w:rsidRPr="00F73F78">
        <w:rPr>
          <w:rFonts w:cstheme="minorHAnsi"/>
        </w:rPr>
        <w:t>was collected</w:t>
      </w:r>
      <w:proofErr w:type="gramEnd"/>
      <w:r w:rsidRPr="00F73F78">
        <w:rPr>
          <w:rFonts w:cstheme="minorHAnsi"/>
        </w:rPr>
        <w:t xml:space="preserve"> during the study, including pharmacotherapy. This information </w:t>
      </w:r>
      <w:proofErr w:type="gramStart"/>
      <w:r w:rsidRPr="00F73F78">
        <w:rPr>
          <w:rFonts w:cstheme="minorHAnsi"/>
        </w:rPr>
        <w:t>was based</w:t>
      </w:r>
      <w:proofErr w:type="gramEnd"/>
      <w:r w:rsidRPr="00F73F78">
        <w:rPr>
          <w:rFonts w:cstheme="minorHAnsi"/>
        </w:rPr>
        <w:t xml:space="preserve"> on participant self-report.</w:t>
      </w:r>
    </w:p>
    <w:p w14:paraId="268FAB4E" w14:textId="77777777" w:rsidR="002D3BB7" w:rsidRPr="00F73F78" w:rsidRDefault="002D3BB7" w:rsidP="00500E4D">
      <w:pPr>
        <w:spacing w:line="480" w:lineRule="auto"/>
        <w:rPr>
          <w:rFonts w:cstheme="minorHAnsi"/>
        </w:rPr>
      </w:pPr>
      <w:r w:rsidRPr="00747EFD">
        <w:rPr>
          <w:rFonts w:cstheme="minorHAnsi"/>
        </w:rPr>
        <w:t>To understand</w:t>
      </w:r>
      <w:r>
        <w:rPr>
          <w:rFonts w:cstheme="minorHAnsi"/>
        </w:rPr>
        <w:t xml:space="preserve"> the</w:t>
      </w:r>
      <w:r w:rsidRPr="00747EFD">
        <w:rPr>
          <w:rFonts w:cstheme="minorHAnsi"/>
        </w:rPr>
        <w:t xml:space="preserve"> impact of BUP-XR alone, independent of subsequent treatment, a sensitivity analysis was performed removing any patients receiving medications for opioid use disorder (MOUD) during the follow-up period (i.e., self-reported at visits 6 through 18). Due to the small number of patients receiving 13-18m BUP-XR who did not receive further MOUD (n=2), the 12m and 13-18m categories were collapsed for this sensitivity analysis.</w:t>
      </w:r>
    </w:p>
    <w:p w14:paraId="70AB8894" w14:textId="77777777" w:rsidR="002D3BB7" w:rsidRPr="00F73F78" w:rsidRDefault="002D3BB7" w:rsidP="00500E4D">
      <w:pPr>
        <w:pStyle w:val="Heading2"/>
        <w:spacing w:line="480" w:lineRule="auto"/>
        <w:rPr>
          <w:rFonts w:asciiTheme="minorHAnsi" w:hAnsiTheme="minorHAnsi" w:cstheme="minorHAnsi"/>
          <w:sz w:val="22"/>
          <w:szCs w:val="22"/>
        </w:rPr>
      </w:pPr>
      <w:r w:rsidRPr="00F73F78">
        <w:rPr>
          <w:rFonts w:asciiTheme="minorHAnsi" w:hAnsiTheme="minorHAnsi" w:cstheme="minorHAnsi"/>
          <w:sz w:val="22"/>
          <w:szCs w:val="22"/>
        </w:rPr>
        <w:t>Outcomes</w:t>
      </w:r>
    </w:p>
    <w:p w14:paraId="7FA38D46" w14:textId="77777777" w:rsidR="002D3BB7" w:rsidRPr="00F73F78" w:rsidRDefault="002D3BB7" w:rsidP="00500E4D">
      <w:pPr>
        <w:pStyle w:val="Heading3"/>
        <w:spacing w:line="480" w:lineRule="auto"/>
        <w:rPr>
          <w:rFonts w:asciiTheme="minorHAnsi" w:hAnsiTheme="minorHAnsi" w:cstheme="minorHAnsi"/>
          <w:sz w:val="22"/>
          <w:szCs w:val="22"/>
        </w:rPr>
      </w:pPr>
      <w:r w:rsidRPr="00F73F78">
        <w:rPr>
          <w:rFonts w:asciiTheme="minorHAnsi" w:hAnsiTheme="minorHAnsi" w:cstheme="minorHAnsi"/>
          <w:sz w:val="22"/>
          <w:szCs w:val="22"/>
        </w:rPr>
        <w:t>Abstinence from Opioids and Illicit Substances</w:t>
      </w:r>
    </w:p>
    <w:p w14:paraId="406FABD8" w14:textId="1470DC83" w:rsidR="002D3BB7" w:rsidRPr="00F73F78" w:rsidRDefault="002D3BB7" w:rsidP="00500E4D">
      <w:pPr>
        <w:spacing w:line="480" w:lineRule="auto"/>
        <w:rPr>
          <w:rFonts w:cstheme="minorHAnsi"/>
        </w:rPr>
      </w:pPr>
      <w:r w:rsidRPr="00F73F78">
        <w:rPr>
          <w:rFonts w:cstheme="minorHAnsi"/>
        </w:rPr>
        <w:t xml:space="preserve">Opioid abstinence-related outcomes </w:t>
      </w:r>
      <w:proofErr w:type="gramStart"/>
      <w:r w:rsidRPr="00F73F78">
        <w:rPr>
          <w:rFonts w:cstheme="minorHAnsi"/>
        </w:rPr>
        <w:t>were collected quarterly and included</w:t>
      </w:r>
      <w:proofErr w:type="gramEnd"/>
      <w:r w:rsidRPr="00F73F78">
        <w:rPr>
          <w:rFonts w:cstheme="minorHAnsi"/>
        </w:rPr>
        <w:t xml:space="preserve"> self-reported past week abstinence and UDS results</w:t>
      </w:r>
      <w:r>
        <w:rPr>
          <w:rFonts w:cstheme="minorHAnsi"/>
        </w:rPr>
        <w:t>.</w:t>
      </w:r>
      <w:r w:rsidRPr="00F47F22">
        <w:rPr>
          <w:rFonts w:cstheme="minorHAnsi"/>
          <w:noProof/>
          <w:vertAlign w:val="superscript"/>
        </w:rPr>
        <w:t>10</w:t>
      </w:r>
      <w:r w:rsidRPr="00F73F78">
        <w:rPr>
          <w:rFonts w:cstheme="minorHAnsi"/>
        </w:rPr>
        <w:t xml:space="preserve"> Primary analyses were based on self-report. Sensitivity analyses around opioid abstinence definitions included abstinence based on UDS results alone and a composite of self-report and UDS results. Sustained abstinence, measured as self-reported abstinence to opioids at all measured semi-annual visits, was also calculated. Self-reported use of alcohol to intoxication, cannabis (excluding medical cannabis), cocaine, methamphetamine or stimulant misuse, depressant</w:t>
      </w:r>
      <w:r>
        <w:rPr>
          <w:rFonts w:cstheme="minorHAnsi"/>
        </w:rPr>
        <w:t>s</w:t>
      </w:r>
      <w:r w:rsidRPr="00F73F78">
        <w:rPr>
          <w:rFonts w:cstheme="minorHAnsi"/>
        </w:rPr>
        <w:t xml:space="preserve">, and </w:t>
      </w:r>
      <w:proofErr w:type="spellStart"/>
      <w:r w:rsidRPr="00F73F78">
        <w:rPr>
          <w:rFonts w:cstheme="minorHAnsi"/>
        </w:rPr>
        <w:lastRenderedPageBreak/>
        <w:t>hallucinogenic</w:t>
      </w:r>
      <w:r>
        <w:rPr>
          <w:rFonts w:cstheme="minorHAnsi"/>
        </w:rPr>
        <w:t>s</w:t>
      </w:r>
      <w:proofErr w:type="spellEnd"/>
      <w:r w:rsidRPr="00F73F78">
        <w:rPr>
          <w:rFonts w:cstheme="minorHAnsi"/>
        </w:rPr>
        <w:t xml:space="preserve"> </w:t>
      </w:r>
      <w:proofErr w:type="gramStart"/>
      <w:r w:rsidRPr="00F73F78">
        <w:rPr>
          <w:rFonts w:cstheme="minorHAnsi"/>
        </w:rPr>
        <w:t>were reported</w:t>
      </w:r>
      <w:proofErr w:type="gramEnd"/>
      <w:r w:rsidRPr="00F73F78">
        <w:rPr>
          <w:rFonts w:cstheme="minorHAnsi"/>
        </w:rPr>
        <w:t xml:space="preserve">; a composite variable for abstinence from all illicit substances excluding medical cannabis or misuse of prescription medications based on self-report was also calculated. </w:t>
      </w:r>
    </w:p>
    <w:p w14:paraId="17204939" w14:textId="77777777" w:rsidR="002D3BB7" w:rsidRPr="00F73F78" w:rsidRDefault="002D3BB7" w:rsidP="00500E4D">
      <w:pPr>
        <w:pStyle w:val="Heading3"/>
        <w:spacing w:line="480" w:lineRule="auto"/>
        <w:rPr>
          <w:rFonts w:asciiTheme="minorHAnsi" w:hAnsiTheme="minorHAnsi" w:cstheme="minorHAnsi"/>
          <w:sz w:val="22"/>
          <w:szCs w:val="22"/>
        </w:rPr>
      </w:pPr>
      <w:r w:rsidRPr="00F73F78">
        <w:rPr>
          <w:rFonts w:asciiTheme="minorHAnsi" w:hAnsiTheme="minorHAnsi" w:cstheme="minorHAnsi"/>
          <w:sz w:val="22"/>
          <w:szCs w:val="22"/>
        </w:rPr>
        <w:t>Health-related Quality of Life</w:t>
      </w:r>
    </w:p>
    <w:p w14:paraId="4CA5DBAF" w14:textId="0C3EEE47" w:rsidR="002D3BB7" w:rsidRPr="001C54B7" w:rsidRDefault="002D3BB7" w:rsidP="00500E4D">
      <w:pPr>
        <w:spacing w:line="480" w:lineRule="auto"/>
        <w:rPr>
          <w:rFonts w:cstheme="minorHAnsi"/>
        </w:rPr>
      </w:pPr>
      <w:proofErr w:type="gramStart"/>
      <w:r w:rsidRPr="00F73F78">
        <w:rPr>
          <w:rFonts w:cstheme="minorHAnsi"/>
        </w:rPr>
        <w:t xml:space="preserve">Overall </w:t>
      </w:r>
      <w:proofErr w:type="spellStart"/>
      <w:r>
        <w:rPr>
          <w:rFonts w:cstheme="minorHAnsi"/>
        </w:rPr>
        <w:t>HRQoL</w:t>
      </w:r>
      <w:proofErr w:type="spellEnd"/>
      <w:r w:rsidRPr="00F73F78">
        <w:rPr>
          <w:rFonts w:cstheme="minorHAnsi"/>
        </w:rPr>
        <w:t xml:space="preserve"> was measured using the 12-Item Short Form Health Survey (SF-12)</w:t>
      </w:r>
      <w:r>
        <w:rPr>
          <w:rFonts w:cstheme="minorHAnsi"/>
        </w:rPr>
        <w:t xml:space="preserve">, </w:t>
      </w:r>
      <w:r w:rsidRPr="00F73F78">
        <w:rPr>
          <w:rFonts w:cstheme="minorHAnsi"/>
        </w:rPr>
        <w:t>measur</w:t>
      </w:r>
      <w:r>
        <w:rPr>
          <w:rFonts w:cstheme="minorHAnsi"/>
        </w:rPr>
        <w:t>ing</w:t>
      </w:r>
      <w:r w:rsidRPr="00F73F78">
        <w:rPr>
          <w:rFonts w:cstheme="minorHAnsi"/>
        </w:rPr>
        <w:t xml:space="preserve"> patient-reported outcomes along 8 dimensions reflecting quality of life, </w:t>
      </w:r>
      <w:r>
        <w:rPr>
          <w:rFonts w:cstheme="minorHAnsi"/>
        </w:rPr>
        <w:t xml:space="preserve">calculating </w:t>
      </w:r>
      <w:r w:rsidRPr="00F73F78">
        <w:rPr>
          <w:rFonts w:cstheme="minorHAnsi"/>
        </w:rPr>
        <w:t>a mental component summary (MCS) and physical component summary (PCS</w:t>
      </w:r>
      <w:r w:rsidRPr="001C54B7">
        <w:rPr>
          <w:rFonts w:cstheme="minorHAnsi"/>
        </w:rPr>
        <w:t>) score.</w:t>
      </w:r>
      <w:r w:rsidRPr="001C54B7">
        <w:rPr>
          <w:rFonts w:cstheme="minorHAnsi"/>
          <w:noProof/>
          <w:vertAlign w:val="superscript"/>
        </w:rPr>
        <w:t>11</w:t>
      </w:r>
      <w:r w:rsidRPr="001C54B7">
        <w:rPr>
          <w:rFonts w:cstheme="minorHAnsi"/>
        </w:rPr>
        <w:t xml:space="preserve"> These scores reflect US population norms in terms of physical and mental health with a mean score of 50 and a standard deviation (SD) of 10 points.</w:t>
      </w:r>
      <w:proofErr w:type="gramEnd"/>
      <w:r w:rsidRPr="001C54B7">
        <w:rPr>
          <w:rFonts w:cstheme="minorHAnsi"/>
        </w:rPr>
        <w:t xml:space="preserve"> </w:t>
      </w:r>
    </w:p>
    <w:p w14:paraId="11E9A976" w14:textId="77777777" w:rsidR="002D3BB7" w:rsidRPr="00F73F78" w:rsidRDefault="002D3BB7" w:rsidP="003F3BC9">
      <w:pPr>
        <w:spacing w:line="480" w:lineRule="auto"/>
        <w:rPr>
          <w:rFonts w:cstheme="minorHAnsi"/>
          <w:highlight w:val="yellow"/>
        </w:rPr>
      </w:pPr>
      <w:r w:rsidRPr="001C54B7">
        <w:rPr>
          <w:rFonts w:cstheme="minorHAnsi"/>
        </w:rPr>
        <w:t>In addition, the Beck Depression Inventory-II (BDI-II) was included to assess depression within this cohort. The BDI-II is a 21-item self-report rating inventory measuring depression symptoms and severity.</w:t>
      </w:r>
      <w:r w:rsidRPr="001C54B7">
        <w:rPr>
          <w:rFonts w:cstheme="minorHAnsi"/>
          <w:noProof/>
          <w:vertAlign w:val="superscript"/>
        </w:rPr>
        <w:t>12-14</w:t>
      </w:r>
      <w:r w:rsidRPr="001C54B7">
        <w:rPr>
          <w:rFonts w:cstheme="minorHAnsi"/>
        </w:rPr>
        <w:t xml:space="preserve"> </w:t>
      </w:r>
      <w:proofErr w:type="gramStart"/>
      <w:r w:rsidRPr="001C54B7">
        <w:rPr>
          <w:rFonts w:cstheme="minorHAnsi"/>
        </w:rPr>
        <w:t>This</w:t>
      </w:r>
      <w:proofErr w:type="gramEnd"/>
      <w:r w:rsidRPr="001C54B7">
        <w:rPr>
          <w:rFonts w:cstheme="minorHAnsi"/>
        </w:rPr>
        <w:t xml:space="preserve"> scale ranges from 0 to 63, with higher scores i</w:t>
      </w:r>
      <w:r w:rsidRPr="00F73F78">
        <w:rPr>
          <w:rFonts w:cstheme="minorHAnsi"/>
        </w:rPr>
        <w:t>ndicating greater depression</w:t>
      </w:r>
      <w:r>
        <w:rPr>
          <w:rFonts w:cstheme="minorHAnsi"/>
        </w:rPr>
        <w:t>.</w:t>
      </w:r>
      <w:r w:rsidRPr="00F47F22">
        <w:rPr>
          <w:rFonts w:cstheme="minorHAnsi"/>
          <w:noProof/>
          <w:vertAlign w:val="superscript"/>
        </w:rPr>
        <w:t>14</w:t>
      </w:r>
      <w:r w:rsidRPr="00F73F78">
        <w:rPr>
          <w:rFonts w:cstheme="minorHAnsi"/>
        </w:rPr>
        <w:t xml:space="preserve"> For our study, the question regarding suicide was excluded from the measure due to the sensitive nature of the question. </w:t>
      </w:r>
    </w:p>
    <w:p w14:paraId="4C16C206" w14:textId="77777777" w:rsidR="002D3BB7" w:rsidRPr="00F73F78" w:rsidRDefault="002D3BB7" w:rsidP="00500E4D">
      <w:pPr>
        <w:pStyle w:val="Heading3"/>
        <w:spacing w:line="480" w:lineRule="auto"/>
        <w:rPr>
          <w:rFonts w:asciiTheme="minorHAnsi" w:hAnsiTheme="minorHAnsi" w:cstheme="minorHAnsi"/>
          <w:sz w:val="22"/>
          <w:szCs w:val="22"/>
        </w:rPr>
      </w:pPr>
      <w:r w:rsidRPr="00F73F78">
        <w:rPr>
          <w:rFonts w:asciiTheme="minorHAnsi" w:hAnsiTheme="minorHAnsi" w:cstheme="minorHAnsi"/>
          <w:sz w:val="22"/>
          <w:szCs w:val="22"/>
        </w:rPr>
        <w:t>Employment</w:t>
      </w:r>
    </w:p>
    <w:p w14:paraId="201E35D3" w14:textId="77777777" w:rsidR="002D3BB7" w:rsidRPr="00F73F78" w:rsidRDefault="002D3BB7" w:rsidP="00500E4D">
      <w:pPr>
        <w:spacing w:after="0" w:line="480" w:lineRule="auto"/>
        <w:textAlignment w:val="baseline"/>
        <w:rPr>
          <w:rFonts w:cstheme="minorHAnsi"/>
        </w:rPr>
      </w:pPr>
      <w:r w:rsidRPr="00F73F78">
        <w:rPr>
          <w:rFonts w:cstheme="minorHAnsi"/>
        </w:rPr>
        <w:t>Employment status (i.e., employed full- or part-time) was self-reported quarterly by the participant.</w:t>
      </w:r>
    </w:p>
    <w:p w14:paraId="4203AABB" w14:textId="77777777" w:rsidR="002D3BB7" w:rsidRPr="00F73F78" w:rsidRDefault="002D3BB7" w:rsidP="00500E4D">
      <w:pPr>
        <w:pStyle w:val="Heading2"/>
        <w:spacing w:line="480" w:lineRule="auto"/>
        <w:rPr>
          <w:rFonts w:asciiTheme="minorHAnsi" w:hAnsiTheme="minorHAnsi" w:cstheme="minorHAnsi"/>
          <w:sz w:val="22"/>
          <w:szCs w:val="22"/>
        </w:rPr>
      </w:pPr>
      <w:r w:rsidRPr="00F73F78">
        <w:rPr>
          <w:rFonts w:asciiTheme="minorHAnsi" w:hAnsiTheme="minorHAnsi" w:cstheme="minorHAnsi"/>
          <w:sz w:val="22"/>
          <w:szCs w:val="22"/>
        </w:rPr>
        <w:t>Statistical Analysis</w:t>
      </w:r>
    </w:p>
    <w:p w14:paraId="21B9A1ED" w14:textId="77777777" w:rsidR="002D3BB7" w:rsidRPr="00F73F78" w:rsidRDefault="002D3BB7" w:rsidP="00500E4D">
      <w:pPr>
        <w:spacing w:line="480" w:lineRule="auto"/>
        <w:rPr>
          <w:rFonts w:cstheme="minorHAnsi"/>
        </w:rPr>
      </w:pPr>
      <w:r w:rsidRPr="00F73F78">
        <w:rPr>
          <w:rFonts w:cstheme="minorHAnsi"/>
        </w:rPr>
        <w:t xml:space="preserve">Our primary hypothesis was that patients who </w:t>
      </w:r>
      <w:proofErr w:type="gramStart"/>
      <w:r w:rsidRPr="00F73F78">
        <w:rPr>
          <w:rFonts w:cstheme="minorHAnsi"/>
        </w:rPr>
        <w:t>have been treated</w:t>
      </w:r>
      <w:proofErr w:type="gramEnd"/>
      <w:r w:rsidRPr="00F73F78">
        <w:rPr>
          <w:rFonts w:cstheme="minorHAnsi"/>
        </w:rPr>
        <w:t xml:space="preserve"> with </w:t>
      </w:r>
      <w:r w:rsidRPr="00F73F78">
        <w:rPr>
          <w:rFonts w:eastAsia="Times New Roman" w:cstheme="minorHAnsi"/>
          <w:color w:val="000000"/>
        </w:rPr>
        <w:t xml:space="preserve">BUP-XR would continue to experience stable or improved outcomes over time. A secondary hypothesis was that the duration of BUP-XR received </w:t>
      </w:r>
      <w:r>
        <w:rPr>
          <w:rFonts w:eastAsia="Times New Roman" w:cstheme="minorHAnsi"/>
          <w:color w:val="000000"/>
        </w:rPr>
        <w:t>is</w:t>
      </w:r>
      <w:r w:rsidRPr="00F73F78">
        <w:rPr>
          <w:rFonts w:eastAsia="Times New Roman" w:cstheme="minorHAnsi"/>
          <w:color w:val="000000"/>
        </w:rPr>
        <w:t xml:space="preserve"> associated </w:t>
      </w:r>
      <w:proofErr w:type="gramStart"/>
      <w:r w:rsidRPr="00F73F78">
        <w:rPr>
          <w:rFonts w:eastAsia="Times New Roman" w:cstheme="minorHAnsi"/>
          <w:color w:val="000000"/>
        </w:rPr>
        <w:t>with more positive outcomes (i.e., more patients with stable positive outcomes or improved outcomes)</w:t>
      </w:r>
      <w:proofErr w:type="gramEnd"/>
      <w:r w:rsidRPr="00F73F78">
        <w:rPr>
          <w:rFonts w:eastAsia="Times New Roman" w:cstheme="minorHAnsi"/>
          <w:color w:val="000000"/>
        </w:rPr>
        <w:t xml:space="preserve">. </w:t>
      </w:r>
      <w:r>
        <w:rPr>
          <w:rFonts w:cstheme="minorHAnsi"/>
        </w:rPr>
        <w:t>O</w:t>
      </w:r>
      <w:r w:rsidRPr="00F73F78">
        <w:rPr>
          <w:rFonts w:cstheme="minorHAnsi"/>
        </w:rPr>
        <w:t xml:space="preserve">utcomes at RECOVER baseline for the full cohort and by BUP-XR treatment duration group </w:t>
      </w:r>
      <w:r>
        <w:rPr>
          <w:rFonts w:cstheme="minorHAnsi"/>
        </w:rPr>
        <w:t xml:space="preserve">were described, </w:t>
      </w:r>
      <w:r w:rsidRPr="00F73F78">
        <w:rPr>
          <w:rFonts w:cstheme="minorHAnsi"/>
        </w:rPr>
        <w:t xml:space="preserve">assessing whether scores improved, remained stable, or declined compared </w:t>
      </w:r>
      <w:r>
        <w:rPr>
          <w:rFonts w:cstheme="minorHAnsi"/>
        </w:rPr>
        <w:t>with</w:t>
      </w:r>
      <w:r w:rsidRPr="00F73F78">
        <w:rPr>
          <w:rFonts w:cstheme="minorHAnsi"/>
        </w:rPr>
        <w:t xml:space="preserve"> their values at baseline</w:t>
      </w:r>
      <w:r>
        <w:rPr>
          <w:rFonts w:cstheme="minorHAnsi"/>
        </w:rPr>
        <w:t xml:space="preserve"> using chi-squared tests</w:t>
      </w:r>
      <w:r w:rsidRPr="00F73F78">
        <w:rPr>
          <w:rFonts w:cstheme="minorHAnsi"/>
        </w:rPr>
        <w:t xml:space="preserve">. </w:t>
      </w:r>
    </w:p>
    <w:p w14:paraId="6985BA57" w14:textId="02DB2AA6" w:rsidR="002D3BB7" w:rsidRPr="00F73F78" w:rsidRDefault="002D3BB7" w:rsidP="00500E4D">
      <w:pPr>
        <w:spacing w:line="480" w:lineRule="auto"/>
        <w:rPr>
          <w:rFonts w:eastAsia="Times New Roman" w:cstheme="minorHAnsi"/>
        </w:rPr>
      </w:pPr>
      <w:r w:rsidRPr="00F73F78">
        <w:rPr>
          <w:rFonts w:cstheme="minorHAnsi"/>
        </w:rPr>
        <w:lastRenderedPageBreak/>
        <w:t xml:space="preserve">For dichotomous outcomes (i.e., abstinence, employment), improvement was defined as </w:t>
      </w:r>
      <w:r>
        <w:rPr>
          <w:rFonts w:cstheme="minorHAnsi"/>
        </w:rPr>
        <w:t>changing</w:t>
      </w:r>
      <w:r w:rsidRPr="00F73F78">
        <w:rPr>
          <w:rFonts w:cstheme="minorHAnsi"/>
        </w:rPr>
        <w:t xml:space="preserve"> from the negative state to the positive (</w:t>
      </w:r>
      <w:r>
        <w:rPr>
          <w:rFonts w:cstheme="minorHAnsi"/>
        </w:rPr>
        <w:t>e.g.</w:t>
      </w:r>
      <w:r w:rsidRPr="00F73F78">
        <w:rPr>
          <w:rFonts w:cstheme="minorHAnsi"/>
        </w:rPr>
        <w:t xml:space="preserve">, from non-abstinence </w:t>
      </w:r>
      <w:r>
        <w:rPr>
          <w:rFonts w:cstheme="minorHAnsi"/>
        </w:rPr>
        <w:t>to</w:t>
      </w:r>
      <w:r w:rsidRPr="00F73F78">
        <w:rPr>
          <w:rFonts w:cstheme="minorHAnsi"/>
        </w:rPr>
        <w:t xml:space="preserve"> abstinence); stability was defined as no change from the score at RECOVER baseline and was stratified by whether outcomes remained positive or negative; and decline was defined as a switch from the positive to negative state (Table 1). For continuous or ordinal scales, decline </w:t>
      </w:r>
      <w:proofErr w:type="gramStart"/>
      <w:r w:rsidRPr="00F73F78">
        <w:rPr>
          <w:rFonts w:cstheme="minorHAnsi"/>
        </w:rPr>
        <w:t>was defined</w:t>
      </w:r>
      <w:proofErr w:type="gramEnd"/>
      <w:r w:rsidRPr="00F73F78">
        <w:rPr>
          <w:rFonts w:cstheme="minorHAnsi"/>
        </w:rPr>
        <w:t xml:space="preserve"> as a negative change in scores that was greater than the minimal clinically important difference </w:t>
      </w:r>
      <w:r>
        <w:rPr>
          <w:rFonts w:cstheme="minorHAnsi"/>
        </w:rPr>
        <w:t>(</w:t>
      </w:r>
      <w:r w:rsidRPr="00F73F78">
        <w:rPr>
          <w:rFonts w:cstheme="minorHAnsi"/>
        </w:rPr>
        <w:t>MCID</w:t>
      </w:r>
      <w:r>
        <w:rPr>
          <w:rFonts w:cstheme="minorHAnsi"/>
        </w:rPr>
        <w:t xml:space="preserve">). </w:t>
      </w:r>
      <w:proofErr w:type="gramStart"/>
      <w:r w:rsidRPr="004D3971">
        <w:rPr>
          <w:rFonts w:cstheme="minorHAnsi"/>
        </w:rPr>
        <w:t xml:space="preserve">While a difference of approximately 1.5-3 points has been established as MCID based on different </w:t>
      </w:r>
      <w:r w:rsidRPr="001C54B7">
        <w:rPr>
          <w:rFonts w:cstheme="minorHAnsi"/>
        </w:rPr>
        <w:t>methodologies,</w:t>
      </w:r>
      <w:r w:rsidRPr="001C54B7">
        <w:rPr>
          <w:rFonts w:cstheme="minorHAnsi"/>
          <w:vertAlign w:val="superscript"/>
        </w:rPr>
        <w:t>12,13</w:t>
      </w:r>
      <w:r w:rsidRPr="004D3971">
        <w:rPr>
          <w:rFonts w:cstheme="minorHAnsi"/>
        </w:rPr>
        <w:t xml:space="preserve"> there is a lack of empirical support for this definition.</w:t>
      </w:r>
      <w:r w:rsidRPr="001C54B7">
        <w:rPr>
          <w:rFonts w:cstheme="minorHAnsi"/>
          <w:vertAlign w:val="superscript"/>
        </w:rPr>
        <w:t>12</w:t>
      </w:r>
      <w:r w:rsidRPr="004D3971">
        <w:rPr>
          <w:rFonts w:cstheme="minorHAnsi"/>
        </w:rPr>
        <w:t xml:space="preserve"> In the absence of a clear MCID threshold, we used an empirically defined threshold of 0.5</w:t>
      </w:r>
      <w:r>
        <w:rPr>
          <w:rFonts w:cstheme="minorHAnsi"/>
        </w:rPr>
        <w:t xml:space="preserve"> times the</w:t>
      </w:r>
      <w:r w:rsidRPr="004D3971">
        <w:rPr>
          <w:rFonts w:cstheme="minorHAnsi"/>
        </w:rPr>
        <w:t xml:space="preserve"> baseline SD </w:t>
      </w:r>
      <w:r w:rsidRPr="00F73F78">
        <w:rPr>
          <w:rFonts w:cstheme="minorHAnsi"/>
        </w:rPr>
        <w:t xml:space="preserve">for each measure (thus, </w:t>
      </w:r>
      <w:r w:rsidRPr="00F73F78">
        <w:rPr>
          <w:rFonts w:eastAsia="Times New Roman" w:cstheme="minorHAnsi"/>
        </w:rPr>
        <w:t>4 for SF-12 PCS, 6 for SF-12 MCS, and 5 for BDI-II)</w:t>
      </w:r>
      <w:r w:rsidRPr="00F73F78">
        <w:rPr>
          <w:rFonts w:cstheme="minorHAnsi"/>
        </w:rPr>
        <w:t>; stability was defined as a change that was less than an MCID in either a positive or negative direction; and improvement was defined as a positive change that was greater than the MCID (Table 1).</w:t>
      </w:r>
      <w:proofErr w:type="gramEnd"/>
    </w:p>
    <w:p w14:paraId="4A4A931E" w14:textId="77777777" w:rsidR="002D3BB7" w:rsidRDefault="002D3BB7" w:rsidP="00500E4D">
      <w:pPr>
        <w:spacing w:line="480" w:lineRule="auto"/>
        <w:rPr>
          <w:rFonts w:cstheme="minorHAnsi"/>
        </w:rPr>
      </w:pPr>
      <w:r w:rsidRPr="00F73F78">
        <w:rPr>
          <w:rFonts w:cstheme="minorHAnsi"/>
        </w:rPr>
        <w:t xml:space="preserve">Since patients </w:t>
      </w:r>
      <w:proofErr w:type="gramStart"/>
      <w:r w:rsidRPr="00F73F78">
        <w:rPr>
          <w:rFonts w:cstheme="minorHAnsi"/>
        </w:rPr>
        <w:t>were not randomized</w:t>
      </w:r>
      <w:proofErr w:type="gramEnd"/>
      <w:r w:rsidRPr="00F73F78">
        <w:rPr>
          <w:rFonts w:cstheme="minorHAnsi"/>
        </w:rPr>
        <w:t xml:space="preserve"> to receive different durations of BUP-XR within trials but these durations were driven by study length and potentially patient characteristics in BUP-XR trials, comparisons by BUP-XR treatment duration group were conducted both before and after applying inverse probability weights. These weights were created using the TWANG macro based on the average treatme</w:t>
      </w:r>
      <w:r w:rsidRPr="001C54B7">
        <w:rPr>
          <w:rFonts w:cstheme="minorHAnsi"/>
        </w:rPr>
        <w:t>nt effect.</w:t>
      </w:r>
      <w:r w:rsidRPr="001C54B7">
        <w:rPr>
          <w:rFonts w:cstheme="minorHAnsi"/>
          <w:noProof/>
          <w:vertAlign w:val="superscript"/>
        </w:rPr>
        <w:t>15</w:t>
      </w:r>
      <w:r w:rsidRPr="001C54B7">
        <w:rPr>
          <w:rFonts w:cstheme="minorHAnsi"/>
        </w:rPr>
        <w:t xml:space="preserve"> </w:t>
      </w:r>
      <w:r w:rsidRPr="001C54B7">
        <w:rPr>
          <w:rFonts w:eastAsia="Times New Roman" w:cstheme="minorHAnsi"/>
        </w:rPr>
        <w:t>I</w:t>
      </w:r>
      <w:r w:rsidRPr="00F73F78">
        <w:rPr>
          <w:rFonts w:eastAsia="Times New Roman" w:cstheme="minorHAnsi"/>
        </w:rPr>
        <w:t xml:space="preserve">nitial variables considered for inclusion in weights were chosen based on clinical judgement; the final model was chosen based on model parsimony and relative balance of characteristics across the cohort after weighting. </w:t>
      </w:r>
      <w:r w:rsidRPr="00F73F78">
        <w:rPr>
          <w:rFonts w:cstheme="minorHAnsi"/>
        </w:rPr>
        <w:t>Final weights included pre-trial characteristics (age, body mass index [kg/m</w:t>
      </w:r>
      <w:r w:rsidRPr="00F73F78">
        <w:rPr>
          <w:rFonts w:cstheme="minorHAnsi"/>
          <w:vertAlign w:val="superscript"/>
        </w:rPr>
        <w:t>2</w:t>
      </w:r>
      <w:r w:rsidRPr="00F73F78">
        <w:rPr>
          <w:rFonts w:cstheme="minorHAnsi"/>
        </w:rPr>
        <w:t xml:space="preserve">], cocaine use, tobacco use, and UDS for opiates, health insurance, depression [BDI-II], pain [BPI]) in addition to select additional characteristics collected at RECOVER baseline (history of buprenorphine or methadone treatment prior to trial, and lifetime opioid use [years] prior to trial). </w:t>
      </w:r>
    </w:p>
    <w:p w14:paraId="29FAB4E0" w14:textId="77777777" w:rsidR="002D3BB7" w:rsidRPr="00F73F78" w:rsidRDefault="002D3BB7" w:rsidP="00500E4D">
      <w:pPr>
        <w:spacing w:line="480" w:lineRule="auto"/>
        <w:rPr>
          <w:rFonts w:cstheme="minorHAnsi"/>
        </w:rPr>
      </w:pPr>
    </w:p>
    <w:p w14:paraId="11F9BA16" w14:textId="77777777" w:rsidR="002D3BB7" w:rsidRPr="00F73F78" w:rsidRDefault="002D3BB7" w:rsidP="00500E4D">
      <w:pPr>
        <w:pStyle w:val="Heading1"/>
        <w:spacing w:line="480" w:lineRule="auto"/>
        <w:rPr>
          <w:rFonts w:asciiTheme="minorHAnsi" w:hAnsiTheme="minorHAnsi" w:cstheme="minorHAnsi"/>
          <w:sz w:val="22"/>
          <w:szCs w:val="22"/>
        </w:rPr>
      </w:pPr>
      <w:r w:rsidRPr="00F73F78">
        <w:rPr>
          <w:rFonts w:asciiTheme="minorHAnsi" w:hAnsiTheme="minorHAnsi" w:cstheme="minorHAnsi"/>
          <w:sz w:val="22"/>
          <w:szCs w:val="22"/>
        </w:rPr>
        <w:lastRenderedPageBreak/>
        <w:t>Results</w:t>
      </w:r>
    </w:p>
    <w:p w14:paraId="3464A720" w14:textId="77777777" w:rsidR="002D3BB7" w:rsidRPr="00F73F78" w:rsidRDefault="002D3BB7" w:rsidP="00500E4D">
      <w:pPr>
        <w:pStyle w:val="Heading2"/>
        <w:spacing w:line="480" w:lineRule="auto"/>
        <w:rPr>
          <w:rFonts w:asciiTheme="minorHAnsi" w:hAnsiTheme="minorHAnsi" w:cstheme="minorHAnsi"/>
          <w:sz w:val="22"/>
          <w:szCs w:val="22"/>
        </w:rPr>
      </w:pPr>
      <w:r w:rsidRPr="00F73F78">
        <w:rPr>
          <w:rFonts w:asciiTheme="minorHAnsi" w:hAnsiTheme="minorHAnsi" w:cstheme="minorHAnsi"/>
          <w:sz w:val="22"/>
          <w:szCs w:val="22"/>
        </w:rPr>
        <w:t>Study Completion</w:t>
      </w:r>
    </w:p>
    <w:p w14:paraId="146C34E5" w14:textId="77777777" w:rsidR="002D3BB7" w:rsidRPr="00F60BBF" w:rsidRDefault="002D3BB7" w:rsidP="00500E4D">
      <w:pPr>
        <w:spacing w:line="480" w:lineRule="auto"/>
        <w:rPr>
          <w:rFonts w:cstheme="minorHAnsi"/>
        </w:rPr>
      </w:pPr>
      <w:r w:rsidRPr="00F73F78">
        <w:rPr>
          <w:rFonts w:cstheme="minorHAnsi"/>
        </w:rPr>
        <w:t xml:space="preserve">Of 533 RECOVER participants, 529 had at least </w:t>
      </w:r>
      <w:proofErr w:type="gramStart"/>
      <w:r w:rsidRPr="00F73F78">
        <w:rPr>
          <w:rFonts w:cstheme="minorHAnsi"/>
        </w:rPr>
        <w:t>1</w:t>
      </w:r>
      <w:proofErr w:type="gramEnd"/>
      <w:r w:rsidRPr="00F73F78">
        <w:rPr>
          <w:rFonts w:cstheme="minorHAnsi"/>
        </w:rPr>
        <w:t xml:space="preserve"> measurement over the 18-month follow-up, which formed the basis of our cohort (Table 2). </w:t>
      </w:r>
      <w:proofErr w:type="gramStart"/>
      <w:r w:rsidRPr="00F73F78">
        <w:rPr>
          <w:rFonts w:cstheme="minorHAnsi"/>
        </w:rPr>
        <w:t>A total of 522</w:t>
      </w:r>
      <w:proofErr w:type="gramEnd"/>
      <w:r w:rsidRPr="00F73F78">
        <w:rPr>
          <w:rFonts w:cstheme="minorHAnsi"/>
        </w:rPr>
        <w:t xml:space="preserve"> participants had outcomes captured at the baseline assessment. Over 70% of participants provided responses at each 6-month assessment (6 mo</w:t>
      </w:r>
      <w:r w:rsidRPr="00F60BBF">
        <w:rPr>
          <w:rFonts w:cstheme="minorHAnsi"/>
        </w:rPr>
        <w:t xml:space="preserve">nths, n=430; 12 months, n=417; 18 months, n=387) with 268 (50%) completing all assessments. </w:t>
      </w:r>
    </w:p>
    <w:p w14:paraId="1635E67F" w14:textId="77777777" w:rsidR="002D3BB7" w:rsidRPr="00F60BBF" w:rsidRDefault="002D3BB7" w:rsidP="00500E4D">
      <w:pPr>
        <w:spacing w:line="480" w:lineRule="auto"/>
        <w:rPr>
          <w:rFonts w:cstheme="minorHAnsi"/>
        </w:rPr>
      </w:pPr>
      <w:proofErr w:type="gramStart"/>
      <w:r w:rsidRPr="00F60BBF">
        <w:rPr>
          <w:rFonts w:cstheme="minorHAnsi"/>
        </w:rPr>
        <w:t>A total of 116</w:t>
      </w:r>
      <w:proofErr w:type="gramEnd"/>
      <w:r w:rsidRPr="00F60BBF">
        <w:rPr>
          <w:rFonts w:cstheme="minorHAnsi"/>
        </w:rPr>
        <w:t xml:space="preserve"> participants (21.9%) comprised the 0-2m, 61 (11.5%) the 3-5m, 86 (16.3%) the 6-11m, 135 (25.5%) the 12m, and 131 (24.8%) the 13-18m BUP-XR treatment duration groups at the baseline assessment (Table 2). Patients in the 0-2m and 3-5m BUP-XR treatment duration groups were least likely to complete all assessments (32.8% and 37.7%, respectively) with higher completion rates across all visits for 6-11m (60.5%), 12m (59.3%) and 13-18m (57.3%) BUP-XR duration groups.</w:t>
      </w:r>
    </w:p>
    <w:p w14:paraId="2CD85D8B" w14:textId="77777777" w:rsidR="002D3BB7" w:rsidRPr="00F60BBF" w:rsidRDefault="002D3BB7" w:rsidP="00500E4D">
      <w:pPr>
        <w:pStyle w:val="Heading2"/>
        <w:spacing w:line="480" w:lineRule="auto"/>
        <w:rPr>
          <w:rFonts w:asciiTheme="minorHAnsi" w:hAnsiTheme="minorHAnsi" w:cstheme="minorHAnsi"/>
          <w:sz w:val="22"/>
          <w:szCs w:val="22"/>
        </w:rPr>
      </w:pPr>
      <w:r w:rsidRPr="00F60BBF">
        <w:rPr>
          <w:rFonts w:asciiTheme="minorHAnsi" w:hAnsiTheme="minorHAnsi" w:cstheme="minorHAnsi"/>
          <w:sz w:val="22"/>
          <w:szCs w:val="22"/>
        </w:rPr>
        <w:t xml:space="preserve">Participant Characteristics </w:t>
      </w:r>
    </w:p>
    <w:p w14:paraId="03897B4F" w14:textId="05D62394" w:rsidR="002D3BB7" w:rsidRPr="00F60BBF" w:rsidRDefault="002D3BB7" w:rsidP="00500E4D">
      <w:pPr>
        <w:spacing w:line="480" w:lineRule="auto"/>
        <w:rPr>
          <w:rFonts w:cstheme="minorHAnsi"/>
        </w:rPr>
      </w:pPr>
      <w:r w:rsidRPr="00F60BBF">
        <w:rPr>
          <w:rFonts w:cstheme="minorHAnsi"/>
        </w:rPr>
        <w:t>Overall, 66.2% of participants were male, 56.7% were white, 45.2% had a history of injectable opioid use, and 79.0% lived in stable housing at RECOVER baseline; mean participant age was 41.8 years (Table 2). Key characteristics that differed across BUP-XR duration groups included age, black race, pre-trial positive UDS for opiates, and prior use of buprenorphine (Table 2). After weighting, differences in pre-trial positive UDS remained statistically significant with those who eventually received more BUP-XR doses generally being less likely to have tested positive for opioids before their first BUP-XR trial (Supplemental Tables 1 and 2</w:t>
      </w:r>
      <w:r w:rsidR="004144FC">
        <w:rPr>
          <w:rFonts w:cstheme="minorHAnsi"/>
        </w:rPr>
        <w:t>,</w:t>
      </w:r>
      <w:r w:rsidR="004144FC" w:rsidRPr="004144FC">
        <w:t xml:space="preserve"> </w:t>
      </w:r>
      <w:hyperlink r:id="rId13" w:history="1">
        <w:r w:rsidR="004144FC" w:rsidRPr="007619BF">
          <w:rPr>
            <w:rStyle w:val="Hyperlink"/>
            <w:rFonts w:cstheme="minorHAnsi"/>
          </w:rPr>
          <w:t>http://links.lww.com/JAM/A374</w:t>
        </w:r>
      </w:hyperlink>
      <w:r w:rsidRPr="00F60BBF">
        <w:rPr>
          <w:rFonts w:cstheme="minorHAnsi"/>
        </w:rPr>
        <w:t>).</w:t>
      </w:r>
    </w:p>
    <w:p w14:paraId="4C4C490F" w14:textId="77777777" w:rsidR="002D3BB7" w:rsidRPr="00F73F78" w:rsidRDefault="002D3BB7" w:rsidP="00500E4D">
      <w:pPr>
        <w:spacing w:line="480" w:lineRule="auto"/>
        <w:rPr>
          <w:rFonts w:cstheme="minorHAnsi"/>
        </w:rPr>
      </w:pPr>
      <w:r w:rsidRPr="00F60BBF">
        <w:rPr>
          <w:rFonts w:cstheme="minorHAnsi"/>
        </w:rPr>
        <w:t>At RECOVER baseline, there were significant differences in outcomes across participants who had received different durations of BUP-XR, and those who had received a longer duration of treatment were more likely to be abstinent and have lower depression scores. While differ</w:t>
      </w:r>
      <w:r w:rsidRPr="00F73F78">
        <w:rPr>
          <w:rFonts w:cstheme="minorHAnsi"/>
        </w:rPr>
        <w:t xml:space="preserve">ences in </w:t>
      </w:r>
      <w:proofErr w:type="spellStart"/>
      <w:r>
        <w:rPr>
          <w:rFonts w:cstheme="minorHAnsi"/>
        </w:rPr>
        <w:t>HRQoL</w:t>
      </w:r>
      <w:proofErr w:type="spellEnd"/>
      <w:r>
        <w:rPr>
          <w:rFonts w:cstheme="minorHAnsi"/>
        </w:rPr>
        <w:t xml:space="preserve"> </w:t>
      </w:r>
      <w:r w:rsidRPr="00F73F78">
        <w:rPr>
          <w:rFonts w:cstheme="minorHAnsi"/>
        </w:rPr>
        <w:t xml:space="preserve">were </w:t>
      </w:r>
      <w:r w:rsidRPr="00F73F78">
        <w:rPr>
          <w:rFonts w:cstheme="minorHAnsi"/>
        </w:rPr>
        <w:lastRenderedPageBreak/>
        <w:t>also statistically significantly different, trends were less clear across BUP-XR duration groups. Employment was 47.7% at RECOVER baseline (Table 2).</w:t>
      </w:r>
    </w:p>
    <w:p w14:paraId="259BA99B" w14:textId="77777777" w:rsidR="002D3BB7" w:rsidRPr="00F73F78" w:rsidRDefault="002D3BB7" w:rsidP="00500E4D">
      <w:pPr>
        <w:pStyle w:val="Heading2"/>
        <w:spacing w:line="480" w:lineRule="auto"/>
        <w:rPr>
          <w:rFonts w:asciiTheme="minorHAnsi" w:hAnsiTheme="minorHAnsi" w:cstheme="minorHAnsi"/>
          <w:sz w:val="22"/>
          <w:szCs w:val="22"/>
        </w:rPr>
      </w:pPr>
      <w:r w:rsidRPr="00F73F78">
        <w:rPr>
          <w:rFonts w:asciiTheme="minorHAnsi" w:hAnsiTheme="minorHAnsi" w:cstheme="minorHAnsi"/>
          <w:sz w:val="22"/>
          <w:szCs w:val="22"/>
        </w:rPr>
        <w:t xml:space="preserve">Substance Use Disorder Treatment </w:t>
      </w:r>
      <w:proofErr w:type="gramStart"/>
      <w:r w:rsidRPr="00F73F78">
        <w:rPr>
          <w:rFonts w:asciiTheme="minorHAnsi" w:hAnsiTheme="minorHAnsi" w:cstheme="minorHAnsi"/>
          <w:sz w:val="22"/>
          <w:szCs w:val="22"/>
        </w:rPr>
        <w:t>During</w:t>
      </w:r>
      <w:proofErr w:type="gramEnd"/>
      <w:r w:rsidRPr="00F73F78">
        <w:rPr>
          <w:rFonts w:asciiTheme="minorHAnsi" w:hAnsiTheme="minorHAnsi" w:cstheme="minorHAnsi"/>
          <w:sz w:val="22"/>
          <w:szCs w:val="22"/>
        </w:rPr>
        <w:t xml:space="preserve"> RECOVER</w:t>
      </w:r>
    </w:p>
    <w:p w14:paraId="5FC65B06" w14:textId="77777777" w:rsidR="002D3BB7" w:rsidRPr="00F73F78" w:rsidRDefault="002D3BB7" w:rsidP="00500E4D">
      <w:pPr>
        <w:spacing w:line="480" w:lineRule="auto"/>
        <w:rPr>
          <w:rFonts w:cstheme="minorHAnsi"/>
        </w:rPr>
      </w:pPr>
      <w:r w:rsidRPr="00F73F78">
        <w:rPr>
          <w:rFonts w:cstheme="minorHAnsi"/>
        </w:rPr>
        <w:t>Of the 411 participants who provided information on substance use disorder (SUD) treatment at any semi-annual assessment during the 18-month follow-up period, 32.8% reported receiving pharmacotherapy for OUD over follow-up (46.4% of 0-2m, 42.2% of 3-5m, 21.4% of 6-11m, 30.1% of 12m, and 30.6% of 13-18m BUP-XR treatment duration groups). Buprenorphine was the most common medication used (27.4%), followed by methadone (6.1%) and naltrexone (1.2%); participants could have used more than one of these during the follow-up period. Other treatments included counseling (16.2%) and 12-step programs (18.7%). The proportion of participants receiving treatment increased over time during the RECOVER follow-up period (Table 3). For those who did not report receiving any treatment for SUD at any assessment for the entire 18-month observational period (n=178), 94.4% reported that one reason for this was that they did not feel they needed treatment. Other reasons included not being able to afford treatment (15.9%), not wanting anyone to know (8.5%), and insurance concerns (8.5%).</w:t>
      </w:r>
    </w:p>
    <w:p w14:paraId="579EEC77" w14:textId="77777777" w:rsidR="002D3BB7" w:rsidRPr="00F73F78" w:rsidRDefault="002D3BB7" w:rsidP="00500E4D">
      <w:pPr>
        <w:pStyle w:val="Heading2"/>
        <w:spacing w:line="480" w:lineRule="auto"/>
        <w:rPr>
          <w:rFonts w:asciiTheme="minorHAnsi" w:hAnsiTheme="minorHAnsi" w:cstheme="minorHAnsi"/>
          <w:sz w:val="22"/>
          <w:szCs w:val="22"/>
        </w:rPr>
      </w:pPr>
      <w:r w:rsidRPr="00F73F78">
        <w:rPr>
          <w:rFonts w:asciiTheme="minorHAnsi" w:hAnsiTheme="minorHAnsi" w:cstheme="minorHAnsi"/>
          <w:sz w:val="22"/>
          <w:szCs w:val="22"/>
        </w:rPr>
        <w:t>Abstinence from Opioids and Illicit Substances</w:t>
      </w:r>
    </w:p>
    <w:p w14:paraId="06E271AB" w14:textId="77777777" w:rsidR="002D3BB7" w:rsidRPr="00F73F78" w:rsidRDefault="002D3BB7" w:rsidP="00500E4D">
      <w:pPr>
        <w:spacing w:line="480" w:lineRule="auto"/>
        <w:rPr>
          <w:rFonts w:cstheme="minorHAnsi"/>
        </w:rPr>
      </w:pPr>
      <w:r w:rsidRPr="00F73F78">
        <w:rPr>
          <w:rFonts w:cstheme="minorHAnsi"/>
        </w:rPr>
        <w:t xml:space="preserve">Within the full cohort, 46.9% of the 480 participants for whom abstinence over time </w:t>
      </w:r>
      <w:proofErr w:type="gramStart"/>
      <w:r w:rsidRPr="00F73F78">
        <w:rPr>
          <w:rFonts w:cstheme="minorHAnsi"/>
        </w:rPr>
        <w:t>could be calculated</w:t>
      </w:r>
      <w:proofErr w:type="gramEnd"/>
      <w:r w:rsidRPr="00F73F78">
        <w:rPr>
          <w:rFonts w:cstheme="minorHAnsi"/>
        </w:rPr>
        <w:t xml:space="preserve"> had sustained abstinence for the entire 18-month observation period. Sustained abstinence over the entire 18-month follow-up period was statistically significantly higher (p&lt;0.001) for the 6-11m (47.5%), 12m (52.1%), and 13-18m (62.5%) BUP-XR treatment duration groups compared with the 0-2m (36.6%) BUP-XR treatment duration group, but lower for the 3-5m BUP-XR duration group (24.0%) after weighting</w:t>
      </w:r>
      <w:r>
        <w:rPr>
          <w:rFonts w:cstheme="minorHAnsi"/>
        </w:rPr>
        <w:t>, indicating higher abstinence in those who received more injections</w:t>
      </w:r>
      <w:r w:rsidRPr="00F73F78">
        <w:rPr>
          <w:rFonts w:cstheme="minorHAnsi"/>
        </w:rPr>
        <w:t>.</w:t>
      </w:r>
    </w:p>
    <w:p w14:paraId="382F57D5" w14:textId="123BFEF3" w:rsidR="002D3BB7" w:rsidRPr="00F73F78" w:rsidRDefault="002D3BB7" w:rsidP="00500E4D">
      <w:pPr>
        <w:spacing w:line="480" w:lineRule="auto"/>
        <w:rPr>
          <w:rFonts w:cstheme="minorHAnsi"/>
        </w:rPr>
      </w:pPr>
      <w:r w:rsidRPr="00F73F78">
        <w:rPr>
          <w:rFonts w:cstheme="minorHAnsi"/>
        </w:rPr>
        <w:t xml:space="preserve">Out of the entire cohort, 66.2% of participants were abstinent at 6 months (14.4% becoming abstinent after baseline; 51.8% stable abstinent), 66.9% at 12 months, and 68.9% at 18 months (Table 3) based on </w:t>
      </w:r>
      <w:r w:rsidRPr="00F73F78">
        <w:rPr>
          <w:rFonts w:cstheme="minorHAnsi"/>
        </w:rPr>
        <w:lastRenderedPageBreak/>
        <w:t xml:space="preserve">past week self-report. Similar results </w:t>
      </w:r>
      <w:proofErr w:type="gramStart"/>
      <w:r w:rsidRPr="00F73F78">
        <w:rPr>
          <w:rFonts w:cstheme="minorHAnsi"/>
        </w:rPr>
        <w:t>were found</w:t>
      </w:r>
      <w:proofErr w:type="gramEnd"/>
      <w:r w:rsidRPr="00F73F78">
        <w:rPr>
          <w:rFonts w:cstheme="minorHAnsi"/>
        </w:rPr>
        <w:t xml:space="preserve"> when excluding patients with any MOUD; 70.9% of participants were abstinent at 6 months, 63% at 12 months, and 62.9% at 18 months (Table 3). After weighting and over the entire cohort, there were statistically significant differences in the proportion of respondents who were abstinent at the 6-, 12-, and 18-month visits across BUP-XR duration groups (Figure 2A, Supplemental Table 1</w:t>
      </w:r>
      <w:r w:rsidR="004144FC">
        <w:rPr>
          <w:rFonts w:cstheme="minorHAnsi"/>
        </w:rPr>
        <w:t>,</w:t>
      </w:r>
      <w:r w:rsidR="004144FC" w:rsidRPr="004144FC">
        <w:t xml:space="preserve"> </w:t>
      </w:r>
      <w:hyperlink r:id="rId14" w:history="1">
        <w:r w:rsidR="004144FC" w:rsidRPr="007619BF">
          <w:rPr>
            <w:rStyle w:val="Hyperlink"/>
            <w:rFonts w:cstheme="minorHAnsi"/>
          </w:rPr>
          <w:t>http://links.lww.com/JAM/A374</w:t>
        </w:r>
      </w:hyperlink>
      <w:r w:rsidRPr="00F73F78">
        <w:rPr>
          <w:rFonts w:cstheme="minorHAnsi"/>
        </w:rPr>
        <w:t>; p&lt;0.001). The greatest amount of improvement in abstinence occurred within the 0-2m and 3-5m BUP-XR treatment duration groups, but this may have also had to do with lower proportions of participants who were abstinent at baseline. Similar trends were observed when evaluating abstinence based on UDS (Figure 2B, Supplemental Table 1</w:t>
      </w:r>
      <w:r w:rsidR="004144FC">
        <w:rPr>
          <w:rFonts w:cstheme="minorHAnsi"/>
        </w:rPr>
        <w:t>,</w:t>
      </w:r>
      <w:r w:rsidR="004144FC" w:rsidRPr="004144FC">
        <w:t xml:space="preserve"> </w:t>
      </w:r>
      <w:hyperlink r:id="rId15" w:history="1">
        <w:r w:rsidR="004144FC" w:rsidRPr="007619BF">
          <w:rPr>
            <w:rStyle w:val="Hyperlink"/>
            <w:rFonts w:cstheme="minorHAnsi"/>
          </w:rPr>
          <w:t>http://links.lww.com/JAM/A374</w:t>
        </w:r>
      </w:hyperlink>
      <w:r w:rsidRPr="00F73F78">
        <w:rPr>
          <w:rFonts w:cstheme="minorHAnsi"/>
        </w:rPr>
        <w:t>; p&lt;0.05 at 6- and 18-month visits) and combining UDS and self-reported information (Figure 2C, Supplemental Table 1</w:t>
      </w:r>
      <w:r w:rsidR="004144FC">
        <w:rPr>
          <w:rFonts w:cstheme="minorHAnsi"/>
        </w:rPr>
        <w:t>,</w:t>
      </w:r>
      <w:r w:rsidR="004144FC" w:rsidRPr="004144FC">
        <w:t xml:space="preserve"> </w:t>
      </w:r>
      <w:hyperlink r:id="rId16" w:history="1">
        <w:r w:rsidR="004144FC" w:rsidRPr="007619BF">
          <w:rPr>
            <w:rStyle w:val="Hyperlink"/>
            <w:rFonts w:cstheme="minorHAnsi"/>
          </w:rPr>
          <w:t>http://links.lww.com/JAM/A374</w:t>
        </w:r>
      </w:hyperlink>
      <w:r w:rsidRPr="00F73F78">
        <w:rPr>
          <w:rFonts w:cstheme="minorHAnsi"/>
        </w:rPr>
        <w:t xml:space="preserve">). </w:t>
      </w:r>
    </w:p>
    <w:p w14:paraId="0B494E63" w14:textId="5428B86D" w:rsidR="002D3BB7" w:rsidRPr="00F73F78" w:rsidRDefault="002D3BB7" w:rsidP="00500E4D">
      <w:pPr>
        <w:spacing w:line="480" w:lineRule="auto"/>
        <w:rPr>
          <w:rFonts w:cstheme="minorHAnsi"/>
        </w:rPr>
      </w:pPr>
      <w:r>
        <w:rPr>
          <w:rFonts w:cstheme="minorHAnsi"/>
        </w:rPr>
        <w:t xml:space="preserve">Concerning </w:t>
      </w:r>
      <w:r w:rsidRPr="00F73F78">
        <w:rPr>
          <w:rFonts w:cstheme="minorHAnsi"/>
        </w:rPr>
        <w:t xml:space="preserve">other substances, over the total study period, 64.1% of participants reported using non-medical cannabis, 43.1% reported using cocaine, and 83.2% reported using a non-opioid illicit drug or misusing non-opioid prescription medication. In the full cohort, 45.4% of respondents were abstinent from illicit substances (excluding cannabis) at 6 months, 47.2% were abstinent at 12 months, and 53.0% were abstinent at 18 months (Table 3). Excluding patients with any MOUD, 48.3% of respondents were abstinent from illicit substances (excluding cannabis) at 6 months, 43.6% at 12 months, and </w:t>
      </w:r>
      <w:r>
        <w:rPr>
          <w:rFonts w:cstheme="minorHAnsi"/>
        </w:rPr>
        <w:t>47.6</w:t>
      </w:r>
      <w:r w:rsidRPr="00F73F78">
        <w:rPr>
          <w:rFonts w:cstheme="minorHAnsi"/>
        </w:rPr>
        <w:t>% at 18 months (Table 3). Over the entire cohort, there were statistically significant differences in the proportion of patients who were abstinent across BUP-XR treatment duration groups at 12 months (p=0.025) and 18 months (p&lt;0.001), and statistically significantly different patterns of change at 6, 12, and 18 months (p&lt;0.05; Figure 2D, Supplemental Table 1</w:t>
      </w:r>
      <w:r w:rsidR="004144FC">
        <w:rPr>
          <w:rFonts w:cstheme="minorHAnsi"/>
        </w:rPr>
        <w:t>,</w:t>
      </w:r>
      <w:r w:rsidR="004144FC" w:rsidRPr="004144FC">
        <w:t xml:space="preserve"> </w:t>
      </w:r>
      <w:hyperlink r:id="rId17" w:history="1">
        <w:r w:rsidR="004144FC" w:rsidRPr="007619BF">
          <w:rPr>
            <w:rStyle w:val="Hyperlink"/>
            <w:rFonts w:cstheme="minorHAnsi"/>
          </w:rPr>
          <w:t>http://links.lww.com/JAM/A374</w:t>
        </w:r>
      </w:hyperlink>
      <w:r w:rsidRPr="00F73F78">
        <w:rPr>
          <w:rFonts w:cstheme="minorHAnsi"/>
        </w:rPr>
        <w:t>).</w:t>
      </w:r>
    </w:p>
    <w:p w14:paraId="1650F4CC" w14:textId="77777777" w:rsidR="002D3BB7" w:rsidRPr="00F73F78" w:rsidRDefault="002D3BB7" w:rsidP="00500E4D">
      <w:pPr>
        <w:pStyle w:val="Heading2"/>
        <w:spacing w:line="480" w:lineRule="auto"/>
        <w:rPr>
          <w:rFonts w:asciiTheme="minorHAnsi" w:hAnsiTheme="minorHAnsi" w:cstheme="minorHAnsi"/>
          <w:sz w:val="22"/>
          <w:szCs w:val="22"/>
        </w:rPr>
      </w:pPr>
      <w:r w:rsidRPr="00F73F78">
        <w:rPr>
          <w:rFonts w:asciiTheme="minorHAnsi" w:hAnsiTheme="minorHAnsi" w:cstheme="minorHAnsi"/>
          <w:sz w:val="22"/>
          <w:szCs w:val="22"/>
        </w:rPr>
        <w:t>Health-related Quality of Life and Psychological Distress</w:t>
      </w:r>
    </w:p>
    <w:p w14:paraId="3ACBFEDE" w14:textId="77777777" w:rsidR="002D3BB7" w:rsidRPr="00F73F78" w:rsidRDefault="002D3BB7" w:rsidP="00500E4D">
      <w:pPr>
        <w:spacing w:line="480" w:lineRule="auto"/>
        <w:rPr>
          <w:rFonts w:cstheme="minorHAnsi"/>
        </w:rPr>
      </w:pPr>
      <w:r w:rsidRPr="00F73F78">
        <w:rPr>
          <w:rFonts w:cstheme="minorHAnsi"/>
        </w:rPr>
        <w:t xml:space="preserve">Out of the entire cohort, at 6 months, 68.1% of participants had improved or stable </w:t>
      </w:r>
      <w:r>
        <w:rPr>
          <w:rFonts w:cstheme="minorHAnsi"/>
        </w:rPr>
        <w:t>SF-12 PCS</w:t>
      </w:r>
      <w:r w:rsidRPr="00F73F78">
        <w:rPr>
          <w:rFonts w:cstheme="minorHAnsi"/>
        </w:rPr>
        <w:t xml:space="preserve">, with 72.2% improved/stable at 12 months and 61.7% improved/stable at 18 months (Table 3). Similarly, </w:t>
      </w:r>
      <w:r w:rsidRPr="00F73F78">
        <w:rPr>
          <w:rFonts w:cstheme="minorHAnsi"/>
        </w:rPr>
        <w:lastRenderedPageBreak/>
        <w:t xml:space="preserve">excluding patients with any MOUD, 70.5% of participants had improved or stable </w:t>
      </w:r>
      <w:r>
        <w:rPr>
          <w:rFonts w:cstheme="minorHAnsi"/>
        </w:rPr>
        <w:t>PCS</w:t>
      </w:r>
      <w:r w:rsidRPr="00F73F78">
        <w:rPr>
          <w:rFonts w:cstheme="minorHAnsi"/>
        </w:rPr>
        <w:t xml:space="preserve"> at 6 months, 72.6% at 12 months, and 64.4% at 18 months (Table 3). </w:t>
      </w:r>
    </w:p>
    <w:p w14:paraId="3EFD4C70" w14:textId="77777777" w:rsidR="002D3BB7" w:rsidRPr="00F73F78" w:rsidRDefault="002D3BB7" w:rsidP="00500E4D">
      <w:pPr>
        <w:spacing w:line="480" w:lineRule="auto"/>
        <w:rPr>
          <w:rFonts w:cstheme="minorHAnsi"/>
        </w:rPr>
      </w:pPr>
      <w:r>
        <w:rPr>
          <w:rFonts w:cstheme="minorHAnsi"/>
        </w:rPr>
        <w:t>SF-12 MCS</w:t>
      </w:r>
      <w:r w:rsidRPr="00F73F78">
        <w:rPr>
          <w:rFonts w:cstheme="minorHAnsi"/>
        </w:rPr>
        <w:t xml:space="preserve"> showed similar results over the entire cohort, with 74.6% improved/stable at 6 months, 65.7% at 12 months, and 62.5% at 18 months (Table 3). Excluding patients with any MOUD, 76.9% of participants at 6 months, 65.8% at 12 months, and 62.6% at 18 months had improved or stable </w:t>
      </w:r>
      <w:r>
        <w:rPr>
          <w:rFonts w:cstheme="minorHAnsi"/>
        </w:rPr>
        <w:t xml:space="preserve">MCS </w:t>
      </w:r>
      <w:r w:rsidRPr="00F73F78">
        <w:rPr>
          <w:rFonts w:cstheme="minorHAnsi"/>
        </w:rPr>
        <w:t>(Table 3).</w:t>
      </w:r>
    </w:p>
    <w:p w14:paraId="166A2A99" w14:textId="4A9CDC0E" w:rsidR="002D3BB7" w:rsidRPr="00F73F78" w:rsidRDefault="002D3BB7" w:rsidP="00500E4D">
      <w:pPr>
        <w:spacing w:line="480" w:lineRule="auto"/>
        <w:rPr>
          <w:rFonts w:cstheme="minorHAnsi"/>
        </w:rPr>
      </w:pPr>
      <w:r w:rsidRPr="00F73F78">
        <w:rPr>
          <w:rFonts w:cstheme="minorHAnsi"/>
        </w:rPr>
        <w:t xml:space="preserve">Over the entire cohort, there were statistically significant differences in change patterns for PCS at 12 months, with the 3-5m BUP-XR treatment duration group least likely to decline and 12m BUP-XR treatment duration group most likely to decline (Supplemental Figure </w:t>
      </w:r>
      <w:r w:rsidR="007D7B8F">
        <w:rPr>
          <w:rFonts w:cstheme="minorHAnsi"/>
        </w:rPr>
        <w:t>1</w:t>
      </w:r>
      <w:r w:rsidRPr="00F73F78">
        <w:rPr>
          <w:rFonts w:cstheme="minorHAnsi"/>
        </w:rPr>
        <w:t>E</w:t>
      </w:r>
      <w:r w:rsidR="004144FC">
        <w:rPr>
          <w:rFonts w:cstheme="minorHAnsi"/>
        </w:rPr>
        <w:t>,</w:t>
      </w:r>
      <w:r w:rsidR="004144FC" w:rsidRPr="004144FC">
        <w:t xml:space="preserve"> </w:t>
      </w:r>
      <w:hyperlink r:id="rId18" w:history="1">
        <w:r w:rsidR="004144FC" w:rsidRPr="007619BF">
          <w:rPr>
            <w:rStyle w:val="Hyperlink"/>
            <w:rFonts w:cstheme="minorHAnsi"/>
          </w:rPr>
          <w:t>http://links.lww.com/JAM/A374</w:t>
        </w:r>
      </w:hyperlink>
      <w:r w:rsidRPr="00F73F78">
        <w:rPr>
          <w:rFonts w:cstheme="minorHAnsi"/>
        </w:rPr>
        <w:t>, Supplemental Table 1</w:t>
      </w:r>
      <w:r w:rsidR="004144FC">
        <w:rPr>
          <w:rFonts w:cstheme="minorHAnsi"/>
        </w:rPr>
        <w:t>,</w:t>
      </w:r>
      <w:r w:rsidR="004144FC" w:rsidRPr="004144FC">
        <w:t xml:space="preserve"> </w:t>
      </w:r>
      <w:hyperlink r:id="rId19" w:history="1">
        <w:r w:rsidR="004144FC" w:rsidRPr="007619BF">
          <w:rPr>
            <w:rStyle w:val="Hyperlink"/>
            <w:rFonts w:cstheme="minorHAnsi"/>
          </w:rPr>
          <w:t>http://links.lww.com/JAM/A374</w:t>
        </w:r>
      </w:hyperlink>
      <w:r w:rsidRPr="00F73F78">
        <w:rPr>
          <w:rFonts w:cstheme="minorHAnsi"/>
        </w:rPr>
        <w:t xml:space="preserve">). For MCS, there were only statistically significant differences across treatment arms at 6 months, with the 3-5 month BUP-XR treatment duration group more likely to improve than other groups (Supplemental Figure </w:t>
      </w:r>
      <w:r w:rsidR="007D7B8F">
        <w:rPr>
          <w:rFonts w:cstheme="minorHAnsi"/>
        </w:rPr>
        <w:t>1</w:t>
      </w:r>
      <w:r w:rsidRPr="00F73F78">
        <w:rPr>
          <w:rFonts w:cstheme="minorHAnsi"/>
        </w:rPr>
        <w:t>F</w:t>
      </w:r>
      <w:r w:rsidR="004144FC">
        <w:rPr>
          <w:rFonts w:cstheme="minorHAnsi"/>
        </w:rPr>
        <w:t>,</w:t>
      </w:r>
      <w:r w:rsidR="004144FC" w:rsidRPr="004144FC">
        <w:t xml:space="preserve"> </w:t>
      </w:r>
      <w:hyperlink r:id="rId20" w:history="1">
        <w:r w:rsidR="004144FC" w:rsidRPr="007619BF">
          <w:rPr>
            <w:rStyle w:val="Hyperlink"/>
            <w:rFonts w:cstheme="minorHAnsi"/>
          </w:rPr>
          <w:t>http://links.lww.com/JAM/A374</w:t>
        </w:r>
      </w:hyperlink>
      <w:r w:rsidRPr="00F73F78">
        <w:rPr>
          <w:rFonts w:cstheme="minorHAnsi"/>
        </w:rPr>
        <w:t>, Supplemental Table 1</w:t>
      </w:r>
      <w:r w:rsidR="004144FC">
        <w:rPr>
          <w:rFonts w:cstheme="minorHAnsi"/>
        </w:rPr>
        <w:t>,</w:t>
      </w:r>
      <w:r w:rsidR="004144FC" w:rsidRPr="004144FC">
        <w:t xml:space="preserve"> </w:t>
      </w:r>
      <w:hyperlink r:id="rId21" w:history="1">
        <w:r w:rsidR="004144FC" w:rsidRPr="007619BF">
          <w:rPr>
            <w:rStyle w:val="Hyperlink"/>
            <w:rFonts w:cstheme="minorHAnsi"/>
          </w:rPr>
          <w:t>http://links.lww.com/JAM/A374</w:t>
        </w:r>
      </w:hyperlink>
      <w:r w:rsidRPr="00F73F78">
        <w:rPr>
          <w:rFonts w:cstheme="minorHAnsi"/>
        </w:rPr>
        <w:t>).</w:t>
      </w:r>
    </w:p>
    <w:p w14:paraId="01F0F51F" w14:textId="60ACF8CF" w:rsidR="002D3BB7" w:rsidRPr="00F60BBF" w:rsidRDefault="002D3BB7" w:rsidP="00500E4D">
      <w:pPr>
        <w:spacing w:line="480" w:lineRule="auto"/>
        <w:rPr>
          <w:rFonts w:cstheme="minorHAnsi"/>
        </w:rPr>
      </w:pPr>
      <w:r>
        <w:rPr>
          <w:rFonts w:cstheme="minorHAnsi"/>
        </w:rPr>
        <w:t xml:space="preserve">In the entire cohort, </w:t>
      </w:r>
      <w:r w:rsidRPr="00F73F78">
        <w:rPr>
          <w:rFonts w:cstheme="minorHAnsi"/>
        </w:rPr>
        <w:t>75% ha</w:t>
      </w:r>
      <w:r>
        <w:rPr>
          <w:rFonts w:cstheme="minorHAnsi"/>
        </w:rPr>
        <w:t>d</w:t>
      </w:r>
      <w:r w:rsidRPr="00F73F78">
        <w:rPr>
          <w:rFonts w:cstheme="minorHAnsi"/>
        </w:rPr>
        <w:t xml:space="preserve"> stable or improved BDI-II scores at 6 months, 76.1% at 12 months, and 75.9% at 18 months (Table 3). Similarly, excluding patients with any MOUD, 77.7% showed stable or improved BDI-II scores at 6 months, 74.6% at 12 months, and 76.1% at 18 months (Table 3). After weighting, over the </w:t>
      </w:r>
      <w:r w:rsidRPr="00F60BBF">
        <w:rPr>
          <w:rFonts w:cstheme="minorHAnsi"/>
        </w:rPr>
        <w:t xml:space="preserve">entire cohort, there were statistically significant differences in patterns of change at 12 months (p=0.025), with participants who were in the 13-18m BUP-XR treatment duration group more likely to be improved or stable compared with shorter treatment duration groups (Supplemental Figure </w:t>
      </w:r>
      <w:r w:rsidR="007D7B8F">
        <w:rPr>
          <w:rFonts w:cstheme="minorHAnsi"/>
        </w:rPr>
        <w:t>1</w:t>
      </w:r>
      <w:r w:rsidRPr="00F60BBF">
        <w:rPr>
          <w:rFonts w:cstheme="minorHAnsi"/>
        </w:rPr>
        <w:t>G</w:t>
      </w:r>
      <w:r w:rsidR="004144FC">
        <w:rPr>
          <w:rFonts w:cstheme="minorHAnsi"/>
        </w:rPr>
        <w:t>,</w:t>
      </w:r>
      <w:r w:rsidR="004144FC" w:rsidRPr="004144FC">
        <w:t xml:space="preserve"> </w:t>
      </w:r>
      <w:hyperlink r:id="rId22" w:history="1">
        <w:r w:rsidR="004144FC" w:rsidRPr="007619BF">
          <w:rPr>
            <w:rStyle w:val="Hyperlink"/>
            <w:rFonts w:cstheme="minorHAnsi"/>
          </w:rPr>
          <w:t>http://links.lww.com/JAM/A374</w:t>
        </w:r>
      </w:hyperlink>
      <w:r w:rsidRPr="00F60BBF">
        <w:rPr>
          <w:rFonts w:cstheme="minorHAnsi"/>
        </w:rPr>
        <w:t>, Supplemental Table 1</w:t>
      </w:r>
      <w:r w:rsidR="004144FC">
        <w:rPr>
          <w:rFonts w:cstheme="minorHAnsi"/>
        </w:rPr>
        <w:t>,</w:t>
      </w:r>
      <w:r w:rsidR="004144FC" w:rsidRPr="004144FC">
        <w:t xml:space="preserve"> </w:t>
      </w:r>
      <w:hyperlink r:id="rId23" w:history="1">
        <w:r w:rsidR="004144FC" w:rsidRPr="007619BF">
          <w:rPr>
            <w:rStyle w:val="Hyperlink"/>
            <w:rFonts w:cstheme="minorHAnsi"/>
          </w:rPr>
          <w:t>http://links.lww.com/JAM/A374</w:t>
        </w:r>
      </w:hyperlink>
      <w:r w:rsidRPr="00F60BBF">
        <w:rPr>
          <w:rFonts w:cstheme="minorHAnsi"/>
        </w:rPr>
        <w:t>).</w:t>
      </w:r>
    </w:p>
    <w:p w14:paraId="13F848F5" w14:textId="77777777" w:rsidR="002D3BB7" w:rsidRPr="00F60BBF" w:rsidRDefault="002D3BB7" w:rsidP="00500E4D">
      <w:pPr>
        <w:pStyle w:val="Heading2"/>
        <w:spacing w:line="480" w:lineRule="auto"/>
        <w:rPr>
          <w:rFonts w:asciiTheme="minorHAnsi" w:hAnsiTheme="minorHAnsi" w:cstheme="minorHAnsi"/>
          <w:sz w:val="22"/>
          <w:szCs w:val="22"/>
        </w:rPr>
      </w:pPr>
      <w:r w:rsidRPr="00F60BBF">
        <w:rPr>
          <w:rFonts w:asciiTheme="minorHAnsi" w:hAnsiTheme="minorHAnsi" w:cstheme="minorHAnsi"/>
          <w:sz w:val="22"/>
          <w:szCs w:val="22"/>
        </w:rPr>
        <w:t>Employment</w:t>
      </w:r>
    </w:p>
    <w:p w14:paraId="3713964E" w14:textId="42616826" w:rsidR="002D3BB7" w:rsidRPr="00F73F78" w:rsidRDefault="002D3BB7" w:rsidP="00500E4D">
      <w:pPr>
        <w:spacing w:line="480" w:lineRule="auto"/>
        <w:rPr>
          <w:rFonts w:cstheme="minorHAnsi"/>
        </w:rPr>
      </w:pPr>
      <w:r w:rsidRPr="00F73F78">
        <w:rPr>
          <w:rFonts w:cstheme="minorHAnsi"/>
        </w:rPr>
        <w:t xml:space="preserve">Most patients either maintained their baseline employment or moved from unemployed to employed during the RECOVER follow-up period (in the entire cohort: 45.1% employed at 6 months, 47.7% at 12 </w:t>
      </w:r>
      <w:r w:rsidRPr="00F73F78">
        <w:rPr>
          <w:rFonts w:cstheme="minorHAnsi"/>
        </w:rPr>
        <w:lastRenderedPageBreak/>
        <w:t xml:space="preserve">months, 46.8% at 18 months; excluding patients with any MOUD: 47.3% employed at 6 months, 50.5% at 12 months, 48.6% at 18 months; Table 3). For all BUP-XR treatment duration groups, while employment remained relatively stable over time, the largest difference in change patterns across BUP-XR groups was at 6 months (p=0.05) after weighting the cohort. At the 6-month time point, participants in the 6-11 m BUP-XR treatment duration group were the most likely to become unemployed, and those in the 13-18m BUP-XR treatment duration group were the least likely (Supplemental Figure </w:t>
      </w:r>
      <w:r w:rsidR="007D7B8F">
        <w:rPr>
          <w:rFonts w:cstheme="minorHAnsi"/>
        </w:rPr>
        <w:t>1</w:t>
      </w:r>
      <w:r w:rsidRPr="00F73F78">
        <w:rPr>
          <w:rFonts w:cstheme="minorHAnsi"/>
        </w:rPr>
        <w:t>H</w:t>
      </w:r>
      <w:r w:rsidR="004144FC">
        <w:rPr>
          <w:rFonts w:cstheme="minorHAnsi"/>
        </w:rPr>
        <w:t>,</w:t>
      </w:r>
      <w:r w:rsidR="004144FC" w:rsidRPr="004144FC">
        <w:t xml:space="preserve"> </w:t>
      </w:r>
      <w:hyperlink r:id="rId24" w:history="1">
        <w:r w:rsidR="004144FC" w:rsidRPr="007619BF">
          <w:rPr>
            <w:rStyle w:val="Hyperlink"/>
            <w:rFonts w:cstheme="minorHAnsi"/>
          </w:rPr>
          <w:t>http://links.lww.com/JAM/A374</w:t>
        </w:r>
      </w:hyperlink>
      <w:r w:rsidRPr="00F73F78">
        <w:rPr>
          <w:rFonts w:cstheme="minorHAnsi"/>
        </w:rPr>
        <w:t>, Supplemental Table 1</w:t>
      </w:r>
      <w:r w:rsidR="004144FC">
        <w:rPr>
          <w:rFonts w:cstheme="minorHAnsi"/>
        </w:rPr>
        <w:t>,</w:t>
      </w:r>
      <w:r w:rsidR="004144FC" w:rsidRPr="004144FC">
        <w:t xml:space="preserve"> </w:t>
      </w:r>
      <w:hyperlink r:id="rId25" w:history="1">
        <w:r w:rsidR="004144FC" w:rsidRPr="007619BF">
          <w:rPr>
            <w:rStyle w:val="Hyperlink"/>
            <w:rFonts w:cstheme="minorHAnsi"/>
          </w:rPr>
          <w:t>http://links.lww.com/JAM/A374</w:t>
        </w:r>
      </w:hyperlink>
      <w:r w:rsidRPr="00F73F78">
        <w:rPr>
          <w:rFonts w:cstheme="minorHAnsi"/>
        </w:rPr>
        <w:t xml:space="preserve">). </w:t>
      </w:r>
    </w:p>
    <w:p w14:paraId="0579FAC4" w14:textId="77777777" w:rsidR="002D3BB7" w:rsidRPr="00F73F78" w:rsidRDefault="002D3BB7" w:rsidP="00500E4D">
      <w:pPr>
        <w:pStyle w:val="Heading1"/>
        <w:spacing w:line="480" w:lineRule="auto"/>
        <w:rPr>
          <w:rStyle w:val="normaltextrun1"/>
          <w:rFonts w:asciiTheme="minorHAnsi" w:eastAsiaTheme="minorHAnsi" w:hAnsiTheme="minorHAnsi" w:cstheme="minorHAnsi"/>
          <w:sz w:val="22"/>
          <w:szCs w:val="22"/>
        </w:rPr>
      </w:pPr>
      <w:r w:rsidRPr="00F73F78">
        <w:rPr>
          <w:rFonts w:asciiTheme="minorHAnsi" w:hAnsiTheme="minorHAnsi" w:cstheme="minorHAnsi"/>
          <w:sz w:val="22"/>
          <w:szCs w:val="22"/>
        </w:rPr>
        <w:t>Discussion</w:t>
      </w:r>
    </w:p>
    <w:p w14:paraId="3395EF2B" w14:textId="77777777" w:rsidR="002D3BB7" w:rsidRPr="00F73F78" w:rsidRDefault="002D3BB7" w:rsidP="00500E4D">
      <w:pPr>
        <w:spacing w:line="480" w:lineRule="auto"/>
        <w:rPr>
          <w:rFonts w:cstheme="minorHAnsi"/>
        </w:rPr>
      </w:pPr>
      <w:r w:rsidRPr="00F73F78">
        <w:rPr>
          <w:rFonts w:cstheme="minorHAnsi"/>
        </w:rPr>
        <w:t xml:space="preserve">Up to 18 months following last BUP-XR injection, RECOVER study </w:t>
      </w:r>
      <w:r>
        <w:rPr>
          <w:rFonts w:cstheme="minorHAnsi"/>
        </w:rPr>
        <w:t>participants</w:t>
      </w:r>
      <w:r w:rsidRPr="00F73F78">
        <w:rPr>
          <w:rFonts w:cstheme="minorHAnsi"/>
        </w:rPr>
        <w:t xml:space="preserve"> appeared to largely retain or improve in their outcomes over </w:t>
      </w:r>
      <w:proofErr w:type="gramStart"/>
      <w:r w:rsidRPr="00F73F78">
        <w:rPr>
          <w:rFonts w:cstheme="minorHAnsi"/>
        </w:rPr>
        <w:t>time</w:t>
      </w:r>
      <w:r>
        <w:rPr>
          <w:rFonts w:cstheme="minorHAnsi"/>
        </w:rPr>
        <w:t>,</w:t>
      </w:r>
      <w:proofErr w:type="gramEnd"/>
      <w:r w:rsidRPr="00F73F78">
        <w:rPr>
          <w:rFonts w:cstheme="minorHAnsi"/>
        </w:rPr>
        <w:t xml:space="preserve"> </w:t>
      </w:r>
      <w:r>
        <w:rPr>
          <w:rFonts w:cstheme="minorHAnsi"/>
        </w:rPr>
        <w:t>and those receiving</w:t>
      </w:r>
      <w:r w:rsidRPr="00F73F78">
        <w:rPr>
          <w:rFonts w:cstheme="minorHAnsi"/>
        </w:rPr>
        <w:t xml:space="preserve"> a longer duration of BUP-XR had better outcomes. Almost half of participants reported sustained abstinence for 18 months following discontinuation of BUP-XR within a clinical trial setting. </w:t>
      </w:r>
    </w:p>
    <w:p w14:paraId="1A0526C8" w14:textId="77777777" w:rsidR="002D3BB7" w:rsidRPr="00F73F78" w:rsidRDefault="002D3BB7" w:rsidP="00500E4D">
      <w:pPr>
        <w:autoSpaceDE w:val="0"/>
        <w:autoSpaceDN w:val="0"/>
        <w:adjustRightInd w:val="0"/>
        <w:spacing w:line="480" w:lineRule="auto"/>
        <w:rPr>
          <w:rFonts w:cstheme="minorHAnsi"/>
          <w:i/>
          <w:iCs/>
        </w:rPr>
      </w:pPr>
      <w:r w:rsidRPr="00F73F78">
        <w:rPr>
          <w:rFonts w:cstheme="minorHAnsi"/>
        </w:rPr>
        <w:t xml:space="preserve">Our results are consistent with </w:t>
      </w:r>
      <w:r>
        <w:rPr>
          <w:rFonts w:cstheme="minorHAnsi"/>
        </w:rPr>
        <w:t>a meta-analysis</w:t>
      </w:r>
      <w:r w:rsidRPr="00F47F22">
        <w:rPr>
          <w:rFonts w:cstheme="minorHAnsi"/>
          <w:noProof/>
          <w:vertAlign w:val="superscript"/>
        </w:rPr>
        <w:t>16</w:t>
      </w:r>
      <w:r w:rsidRPr="00F73F78">
        <w:rPr>
          <w:rFonts w:cstheme="minorHAnsi"/>
        </w:rPr>
        <w:t xml:space="preserve"> showing that benefits from sustained treatment can extend beyond the period of active treatment itself. </w:t>
      </w:r>
      <w:r>
        <w:rPr>
          <w:rFonts w:cstheme="minorHAnsi"/>
        </w:rPr>
        <w:t>While</w:t>
      </w:r>
      <w:r w:rsidRPr="00F73F78">
        <w:rPr>
          <w:rFonts w:cstheme="minorHAnsi"/>
        </w:rPr>
        <w:t xml:space="preserve"> the majority of the studies summarized within the meta-analysis were </w:t>
      </w:r>
      <w:r>
        <w:rPr>
          <w:rFonts w:cstheme="minorHAnsi"/>
        </w:rPr>
        <w:t xml:space="preserve">in </w:t>
      </w:r>
      <w:r w:rsidRPr="00F73F78">
        <w:rPr>
          <w:rFonts w:cstheme="minorHAnsi"/>
        </w:rPr>
        <w:t xml:space="preserve">people who use heroin, the RECOVER </w:t>
      </w:r>
      <w:r w:rsidRPr="00F73F78">
        <w:rPr>
          <w:rStyle w:val="normaltextrun1"/>
          <w:rFonts w:cstheme="minorHAnsi"/>
        </w:rPr>
        <w:t>cohort was composed of participants who have a varied opioid use background</w:t>
      </w:r>
      <w:r>
        <w:rPr>
          <w:rStyle w:val="normaltextrun1"/>
          <w:rFonts w:cstheme="minorHAnsi"/>
        </w:rPr>
        <w:t>,</w:t>
      </w:r>
      <w:r w:rsidRPr="00F47F22">
        <w:rPr>
          <w:rStyle w:val="normaltextrun1"/>
          <w:rFonts w:cstheme="minorHAnsi"/>
          <w:noProof/>
          <w:vertAlign w:val="superscript"/>
        </w:rPr>
        <w:t>7</w:t>
      </w:r>
      <w:r w:rsidRPr="00F73F78">
        <w:rPr>
          <w:rStyle w:val="normaltextrun1"/>
          <w:rFonts w:cstheme="minorHAnsi"/>
        </w:rPr>
        <w:t xml:space="preserve"> with 65% using both heroin and prescription opioids in their history</w:t>
      </w:r>
      <w:r>
        <w:rPr>
          <w:rStyle w:val="normaltextrun1"/>
          <w:rFonts w:cstheme="minorHAnsi"/>
        </w:rPr>
        <w:t>.</w:t>
      </w:r>
      <w:r w:rsidRPr="00F47F22">
        <w:rPr>
          <w:rFonts w:cstheme="minorHAnsi"/>
          <w:noProof/>
          <w:vertAlign w:val="superscript"/>
        </w:rPr>
        <w:t>17</w:t>
      </w:r>
    </w:p>
    <w:p w14:paraId="52AD782F" w14:textId="5DBC533E" w:rsidR="002D3BB7" w:rsidRPr="00F73F78" w:rsidRDefault="002D3BB7" w:rsidP="00500E4D">
      <w:pPr>
        <w:spacing w:line="480" w:lineRule="auto"/>
        <w:rPr>
          <w:rFonts w:cstheme="minorHAnsi"/>
        </w:rPr>
      </w:pPr>
      <w:r w:rsidRPr="00F73F78">
        <w:rPr>
          <w:rFonts w:cstheme="minorHAnsi"/>
        </w:rPr>
        <w:t xml:space="preserve">Longer BUP-XR treatment duration was associated with higher rates of abstinence </w:t>
      </w:r>
      <w:r>
        <w:rPr>
          <w:rFonts w:cstheme="minorHAnsi"/>
        </w:rPr>
        <w:t>from</w:t>
      </w:r>
      <w:r w:rsidRPr="00F73F78">
        <w:rPr>
          <w:rFonts w:cstheme="minorHAnsi"/>
        </w:rPr>
        <w:t xml:space="preserve"> opioids </w:t>
      </w:r>
      <w:r>
        <w:rPr>
          <w:rFonts w:cstheme="minorHAnsi"/>
        </w:rPr>
        <w:t>and</w:t>
      </w:r>
      <w:r w:rsidRPr="00F73F78">
        <w:rPr>
          <w:rFonts w:cstheme="minorHAnsi"/>
        </w:rPr>
        <w:t xml:space="preserve"> other illicit drug use, lower depression, and better </w:t>
      </w:r>
      <w:proofErr w:type="spellStart"/>
      <w:r>
        <w:rPr>
          <w:rFonts w:cstheme="minorHAnsi"/>
        </w:rPr>
        <w:t>HRQoL</w:t>
      </w:r>
      <w:proofErr w:type="spellEnd"/>
      <w:r w:rsidRPr="00F73F78">
        <w:rPr>
          <w:rFonts w:cstheme="minorHAnsi"/>
        </w:rPr>
        <w:t xml:space="preserve"> outcomes at RECOVER baseline, with equivalent or better rates of stability or improvement across BUP-XR treatment duration groups. Our results may be indicative of the BUP-XR safety and efficacy profile; potential advantages include consistent protection with sustained plasma concentrations (2-3 ng/mL or above) during monthly </w:t>
      </w:r>
      <w:r w:rsidRPr="00F73F78">
        <w:rPr>
          <w:rFonts w:cstheme="minorHAnsi"/>
        </w:rPr>
        <w:lastRenderedPageBreak/>
        <w:t>treatment and potential</w:t>
      </w:r>
      <w:r>
        <w:rPr>
          <w:rFonts w:cstheme="minorHAnsi"/>
        </w:rPr>
        <w:t>ly</w:t>
      </w:r>
      <w:r w:rsidRPr="00F73F78">
        <w:rPr>
          <w:rFonts w:cstheme="minorHAnsi"/>
        </w:rPr>
        <w:t xml:space="preserve"> longer duration effects, as buprenorphine concentrations slowly decrease after discontinuation of treatment</w:t>
      </w:r>
      <w:r>
        <w:rPr>
          <w:rFonts w:cstheme="minorHAnsi"/>
        </w:rPr>
        <w:t>.</w:t>
      </w:r>
      <w:r w:rsidRPr="00F47F22">
        <w:rPr>
          <w:rFonts w:cstheme="minorHAnsi"/>
          <w:noProof/>
          <w:vertAlign w:val="superscript"/>
        </w:rPr>
        <w:t>18-20</w:t>
      </w:r>
    </w:p>
    <w:p w14:paraId="63E87F62" w14:textId="77777777" w:rsidR="002D3BB7" w:rsidRPr="00F73F78" w:rsidRDefault="002D3BB7" w:rsidP="00500E4D">
      <w:pPr>
        <w:spacing w:line="480" w:lineRule="auto"/>
        <w:rPr>
          <w:rFonts w:cstheme="minorHAnsi"/>
        </w:rPr>
      </w:pPr>
      <w:proofErr w:type="gramStart"/>
      <w:r w:rsidRPr="00F73F78">
        <w:rPr>
          <w:rFonts w:cstheme="minorHAnsi"/>
        </w:rPr>
        <w:t xml:space="preserve">This finding is consistent with evidence on treatment duration with buprenorphine, </w:t>
      </w:r>
      <w:r>
        <w:rPr>
          <w:rFonts w:cstheme="minorHAnsi"/>
        </w:rPr>
        <w:t>indicating</w:t>
      </w:r>
      <w:r w:rsidRPr="00F73F78">
        <w:rPr>
          <w:rFonts w:cstheme="minorHAnsi"/>
        </w:rPr>
        <w:t xml:space="preserve"> significant improvements in patient outcomes for 15 months compared with 6</w:t>
      </w:r>
      <w:r>
        <w:rPr>
          <w:rFonts w:cstheme="minorHAnsi"/>
        </w:rPr>
        <w:t>-</w:t>
      </w:r>
      <w:r w:rsidRPr="00F73F78">
        <w:rPr>
          <w:rFonts w:cstheme="minorHAnsi"/>
        </w:rPr>
        <w:t>9 months of treatment</w:t>
      </w:r>
      <w:r>
        <w:rPr>
          <w:rFonts w:cstheme="minorHAnsi"/>
        </w:rPr>
        <w:t>.</w:t>
      </w:r>
      <w:r w:rsidRPr="00F47F22">
        <w:rPr>
          <w:rFonts w:cstheme="minorHAnsi"/>
          <w:noProof/>
          <w:vertAlign w:val="superscript"/>
        </w:rPr>
        <w:t>21</w:t>
      </w:r>
      <w:r w:rsidRPr="00F73F78">
        <w:rPr>
          <w:rFonts w:cstheme="minorHAnsi"/>
        </w:rPr>
        <w:t xml:space="preserve"> The </w:t>
      </w:r>
      <w:proofErr w:type="spellStart"/>
      <w:r w:rsidRPr="00F73F78">
        <w:rPr>
          <w:rFonts w:cstheme="minorHAnsi"/>
        </w:rPr>
        <w:t>Vivitrol</w:t>
      </w:r>
      <w:proofErr w:type="spellEnd"/>
      <w:r w:rsidRPr="00F73F78">
        <w:rPr>
          <w:rFonts w:cstheme="minorHAnsi"/>
        </w:rPr>
        <w:t xml:space="preserve"> Cost and Treatment Outcomes Registry analysis, measuring the impact of extended-release naltrexone on patient-relevant outcomes, also suggests that longer treatment may be associated with better outcomes</w:t>
      </w:r>
      <w:r>
        <w:rPr>
          <w:rFonts w:cstheme="minorHAnsi"/>
        </w:rPr>
        <w:t>.</w:t>
      </w:r>
      <w:r w:rsidRPr="00F47F22">
        <w:rPr>
          <w:rFonts w:cstheme="minorHAnsi"/>
          <w:noProof/>
          <w:vertAlign w:val="superscript"/>
        </w:rPr>
        <w:t>17</w:t>
      </w:r>
      <w:r w:rsidRPr="00F73F78">
        <w:rPr>
          <w:rFonts w:cstheme="minorHAnsi"/>
        </w:rPr>
        <w:t xml:space="preserve"> RECOVER also demonstrates that positive outcomes may extend beyond the initial treatment period.</w:t>
      </w:r>
      <w:proofErr w:type="gramEnd"/>
      <w:r w:rsidRPr="00F73F78">
        <w:rPr>
          <w:rFonts w:cstheme="minorHAnsi"/>
        </w:rPr>
        <w:t xml:space="preserve"> Participants’ health, economic, and social benefits while on active BUP-XR treatment during clinical trials were maintained during the RECOVER follow-up period</w:t>
      </w:r>
      <w:r>
        <w:rPr>
          <w:rFonts w:cstheme="minorHAnsi"/>
        </w:rPr>
        <w:t>.</w:t>
      </w:r>
      <w:r w:rsidRPr="00F47F22">
        <w:rPr>
          <w:rFonts w:cstheme="minorHAnsi"/>
          <w:noProof/>
          <w:vertAlign w:val="superscript"/>
        </w:rPr>
        <w:t>6,7</w:t>
      </w:r>
      <w:r w:rsidRPr="00F73F78">
        <w:rPr>
          <w:rFonts w:cstheme="minorHAnsi"/>
        </w:rPr>
        <w:t xml:space="preserve"> The relationship between BUP-XR treatment duration prior to RECOVER and other patient-reported outcomes were less apparent than those with abstinence outcomes. This is not surprising since the casual link between pharmacotherapy and abstinence is more proximal than clinical, psychosocial, and economic outcomes. </w:t>
      </w:r>
    </w:p>
    <w:p w14:paraId="696BCA69" w14:textId="4C682C06" w:rsidR="002D3BB7" w:rsidRPr="00F73F78" w:rsidRDefault="002D3BB7" w:rsidP="00500E4D">
      <w:pPr>
        <w:spacing w:line="480" w:lineRule="auto"/>
        <w:rPr>
          <w:rFonts w:eastAsia="Times New Roman" w:cstheme="minorHAnsi"/>
        </w:rPr>
      </w:pPr>
      <w:r w:rsidRPr="00F73F78">
        <w:rPr>
          <w:rFonts w:cstheme="minorHAnsi"/>
        </w:rPr>
        <w:t xml:space="preserve">This study has several limitations. Participants </w:t>
      </w:r>
      <w:proofErr w:type="gramStart"/>
      <w:r w:rsidRPr="00F73F78">
        <w:rPr>
          <w:rFonts w:cstheme="minorHAnsi"/>
        </w:rPr>
        <w:t>were not randomized</w:t>
      </w:r>
      <w:proofErr w:type="gramEnd"/>
      <w:r w:rsidRPr="00F73F78">
        <w:rPr>
          <w:rFonts w:cstheme="minorHAnsi"/>
        </w:rPr>
        <w:t xml:space="preserve"> to BUP-XR treatment duration groups, and although weighted analyses were applied, comparisons between BUP-XR treatment duration groups were potentially biased. </w:t>
      </w:r>
      <w:r>
        <w:rPr>
          <w:rFonts w:eastAsia="Times New Roman" w:cstheme="minorHAnsi"/>
        </w:rPr>
        <w:t>F</w:t>
      </w:r>
      <w:r w:rsidRPr="00F73F78">
        <w:rPr>
          <w:rFonts w:eastAsia="Times New Roman" w:cstheme="minorHAnsi"/>
        </w:rPr>
        <w:t>indings may be subject to floor and ceiling effects, as</w:t>
      </w:r>
      <w:r>
        <w:rPr>
          <w:rFonts w:eastAsia="Times New Roman" w:cstheme="minorHAnsi"/>
        </w:rPr>
        <w:t xml:space="preserve"> </w:t>
      </w:r>
      <w:r w:rsidRPr="00F73F78">
        <w:rPr>
          <w:rFonts w:eastAsia="Times New Roman" w:cstheme="minorHAnsi"/>
        </w:rPr>
        <w:t>p</w:t>
      </w:r>
      <w:r>
        <w:rPr>
          <w:rFonts w:eastAsia="Times New Roman" w:cstheme="minorHAnsi"/>
        </w:rPr>
        <w:t>articipants</w:t>
      </w:r>
      <w:r w:rsidRPr="00F73F78">
        <w:rPr>
          <w:rFonts w:eastAsia="Times New Roman" w:cstheme="minorHAnsi"/>
        </w:rPr>
        <w:t xml:space="preserve"> </w:t>
      </w:r>
      <w:r>
        <w:rPr>
          <w:rFonts w:eastAsia="Times New Roman" w:cstheme="minorHAnsi"/>
        </w:rPr>
        <w:t>receiving</w:t>
      </w:r>
      <w:r w:rsidRPr="00F73F78">
        <w:rPr>
          <w:rFonts w:eastAsia="Times New Roman" w:cstheme="minorHAnsi"/>
        </w:rPr>
        <w:t xml:space="preserve"> the fewest BUP-XR doses </w:t>
      </w:r>
      <w:r>
        <w:rPr>
          <w:rFonts w:eastAsia="Times New Roman" w:cstheme="minorHAnsi"/>
        </w:rPr>
        <w:t>had better outcomes</w:t>
      </w:r>
      <w:r w:rsidRPr="00F73F78">
        <w:rPr>
          <w:rFonts w:eastAsia="Times New Roman" w:cstheme="minorHAnsi"/>
        </w:rPr>
        <w:t xml:space="preserve"> during the follow-up period, even though their overall performance may not have been as good as those </w:t>
      </w:r>
      <w:r>
        <w:rPr>
          <w:rFonts w:eastAsia="Times New Roman" w:cstheme="minorHAnsi"/>
        </w:rPr>
        <w:t>receiving</w:t>
      </w:r>
      <w:r w:rsidRPr="00F73F78">
        <w:rPr>
          <w:rFonts w:eastAsia="Times New Roman" w:cstheme="minorHAnsi"/>
        </w:rPr>
        <w:t xml:space="preserve"> more doses. This illustrates that there may be different paths to recovery. In addition, decreased completion rates for shorter-duration groups may add potential bias. </w:t>
      </w:r>
    </w:p>
    <w:p w14:paraId="674108FD" w14:textId="77777777" w:rsidR="002D3BB7" w:rsidRPr="00F73F78" w:rsidRDefault="002D3BB7" w:rsidP="00500E4D">
      <w:pPr>
        <w:spacing w:line="480" w:lineRule="auto"/>
        <w:rPr>
          <w:rFonts w:cstheme="minorHAnsi"/>
        </w:rPr>
      </w:pPr>
      <w:r w:rsidRPr="00F73F78">
        <w:rPr>
          <w:rFonts w:cstheme="minorHAnsi"/>
        </w:rPr>
        <w:t xml:space="preserve">Although we weighted the treatment duration groups to reflect similar pre-trial characteristics, there may have been residual differences. </w:t>
      </w:r>
      <w:r>
        <w:rPr>
          <w:rFonts w:cstheme="minorHAnsi"/>
        </w:rPr>
        <w:t>L</w:t>
      </w:r>
      <w:r w:rsidRPr="00F73F78">
        <w:rPr>
          <w:rFonts w:cstheme="minorHAnsi"/>
        </w:rPr>
        <w:t>ength of time between last BUP-XR dose and enrollment in the RECOVER study and differences between study completers versus participants who discontinued prematurely</w:t>
      </w:r>
      <w:r>
        <w:rPr>
          <w:rFonts w:cstheme="minorHAnsi"/>
        </w:rPr>
        <w:t xml:space="preserve"> </w:t>
      </w:r>
      <w:r w:rsidRPr="00F73F78">
        <w:rPr>
          <w:rFonts w:cstheme="minorHAnsi"/>
        </w:rPr>
        <w:t xml:space="preserve">may have affected comparisons across treatment duration groups. </w:t>
      </w:r>
      <w:r>
        <w:rPr>
          <w:rFonts w:cstheme="minorHAnsi"/>
        </w:rPr>
        <w:t>In addition,</w:t>
      </w:r>
      <w:r w:rsidRPr="00F73F78">
        <w:rPr>
          <w:rFonts w:cstheme="minorHAnsi"/>
        </w:rPr>
        <w:t xml:space="preserve"> almost </w:t>
      </w:r>
      <w:r>
        <w:rPr>
          <w:rFonts w:cstheme="minorHAnsi"/>
        </w:rPr>
        <w:t>one-</w:t>
      </w:r>
      <w:r w:rsidRPr="00F73F78">
        <w:rPr>
          <w:rFonts w:cstheme="minorHAnsi"/>
        </w:rPr>
        <w:lastRenderedPageBreak/>
        <w:t>third of participants report</w:t>
      </w:r>
      <w:r>
        <w:rPr>
          <w:rFonts w:cstheme="minorHAnsi"/>
        </w:rPr>
        <w:t>ed</w:t>
      </w:r>
      <w:r w:rsidRPr="00F73F78">
        <w:rPr>
          <w:rFonts w:cstheme="minorHAnsi"/>
        </w:rPr>
        <w:t xml:space="preserve"> pharmacotherapy use for OUD as well during the RECOVER follow-up period. However, when we removed any patients </w:t>
      </w:r>
      <w:r>
        <w:rPr>
          <w:rFonts w:cstheme="minorHAnsi"/>
        </w:rPr>
        <w:t>receiving</w:t>
      </w:r>
      <w:r w:rsidRPr="00F73F78">
        <w:rPr>
          <w:rFonts w:cstheme="minorHAnsi"/>
        </w:rPr>
        <w:t xml:space="preserve"> MOUD during the follow-up period, we found similar results. Given these limitations, it is not possible to assign a causative relationship between BUP-XR treatment duration and study outcomes. </w:t>
      </w:r>
    </w:p>
    <w:p w14:paraId="4502D2DD" w14:textId="77777777" w:rsidR="002D3BB7" w:rsidRPr="00F73F78" w:rsidRDefault="002D3BB7" w:rsidP="00500E4D">
      <w:pPr>
        <w:spacing w:line="480" w:lineRule="auto"/>
        <w:rPr>
          <w:rFonts w:cstheme="minorHAnsi"/>
        </w:rPr>
      </w:pPr>
      <w:r w:rsidRPr="00F73F78">
        <w:rPr>
          <w:rFonts w:cstheme="minorHAnsi"/>
        </w:rPr>
        <w:t xml:space="preserve">A strength of this study is the use of </w:t>
      </w:r>
      <w:r>
        <w:rPr>
          <w:rFonts w:cstheme="minorHAnsi"/>
        </w:rPr>
        <w:t xml:space="preserve">both </w:t>
      </w:r>
      <w:r w:rsidRPr="00F73F78">
        <w:rPr>
          <w:rFonts w:cstheme="minorHAnsi"/>
        </w:rPr>
        <w:t>self-report and UDS to assess abstinence. There was a high correlation between self-reported and UDS results within this cohort</w:t>
      </w:r>
      <w:proofErr w:type="gramStart"/>
      <w:r>
        <w:rPr>
          <w:rFonts w:cstheme="minorHAnsi"/>
        </w:rPr>
        <w:t>,</w:t>
      </w:r>
      <w:r w:rsidRPr="00F47F22">
        <w:rPr>
          <w:rFonts w:cstheme="minorHAnsi"/>
          <w:noProof/>
          <w:vertAlign w:val="superscript"/>
        </w:rPr>
        <w:t>7</w:t>
      </w:r>
      <w:proofErr w:type="gramEnd"/>
      <w:r w:rsidRPr="00F73F78">
        <w:rPr>
          <w:rFonts w:cstheme="minorHAnsi"/>
        </w:rPr>
        <w:t xml:space="preserve"> and sensitivity analysis yielded similar findings regardless of outcome measure. No OUD treatment </w:t>
      </w:r>
      <w:proofErr w:type="gramStart"/>
      <w:r w:rsidRPr="00F73F78">
        <w:rPr>
          <w:rFonts w:cstheme="minorHAnsi"/>
        </w:rPr>
        <w:t>was given</w:t>
      </w:r>
      <w:proofErr w:type="gramEnd"/>
      <w:r w:rsidRPr="00F73F78">
        <w:rPr>
          <w:rFonts w:cstheme="minorHAnsi"/>
        </w:rPr>
        <w:t xml:space="preserve"> to participants as part of the RECOVER study, but knowledge of being within the RECOVER study and being asked to complete a survey quarterly may have modified behavior </w:t>
      </w:r>
      <w:r>
        <w:rPr>
          <w:rFonts w:cstheme="minorHAnsi"/>
        </w:rPr>
        <w:t>[</w:t>
      </w:r>
      <w:r w:rsidRPr="00F73F78">
        <w:rPr>
          <w:rFonts w:cstheme="minorHAnsi"/>
        </w:rPr>
        <w:t>i.e., Hawthorne effect</w:t>
      </w:r>
      <w:r w:rsidRPr="00F47F22">
        <w:rPr>
          <w:rFonts w:cstheme="minorHAnsi"/>
          <w:noProof/>
          <w:vertAlign w:val="superscript"/>
        </w:rPr>
        <w:t>22</w:t>
      </w:r>
      <w:r>
        <w:rPr>
          <w:rFonts w:cstheme="minorHAnsi"/>
        </w:rPr>
        <w:t>]</w:t>
      </w:r>
      <w:r w:rsidRPr="00F73F78">
        <w:rPr>
          <w:rFonts w:cstheme="minorHAnsi"/>
        </w:rPr>
        <w:t xml:space="preserve">. </w:t>
      </w:r>
    </w:p>
    <w:p w14:paraId="3D8E118D" w14:textId="536DBC9E" w:rsidR="002D3BB7" w:rsidRPr="00F73F78" w:rsidRDefault="002D3BB7" w:rsidP="001C54B7">
      <w:pPr>
        <w:spacing w:line="480" w:lineRule="auto"/>
        <w:rPr>
          <w:rFonts w:cstheme="minorHAnsi"/>
        </w:rPr>
      </w:pPr>
      <w:r w:rsidRPr="00F73F78">
        <w:rPr>
          <w:rFonts w:cstheme="minorHAnsi"/>
        </w:rPr>
        <w:t xml:space="preserve">To advance understanding of personalized treatment duration, </w:t>
      </w:r>
      <w:r>
        <w:rPr>
          <w:rFonts w:cstheme="minorHAnsi"/>
        </w:rPr>
        <w:t xml:space="preserve">it is important to </w:t>
      </w:r>
      <w:r w:rsidRPr="00F73F78">
        <w:rPr>
          <w:rFonts w:cstheme="minorHAnsi"/>
        </w:rPr>
        <w:t xml:space="preserve">understand why those with shorter duration of treatment can achieve abstinence. </w:t>
      </w:r>
      <w:r>
        <w:rPr>
          <w:rFonts w:cstheme="minorHAnsi"/>
        </w:rPr>
        <w:t>T</w:t>
      </w:r>
      <w:r w:rsidRPr="00F73F78">
        <w:rPr>
          <w:rFonts w:cstheme="minorHAnsi"/>
        </w:rPr>
        <w:t xml:space="preserve">he </w:t>
      </w:r>
      <w:r>
        <w:rPr>
          <w:rFonts w:cstheme="minorHAnsi"/>
        </w:rPr>
        <w:t xml:space="preserve">ongoing </w:t>
      </w:r>
      <w:r w:rsidRPr="00F73F78">
        <w:rPr>
          <w:rFonts w:cstheme="minorHAnsi"/>
        </w:rPr>
        <w:t>RECOVER cohort follow-up (</w:t>
      </w:r>
      <w:r w:rsidRPr="00F73F78">
        <w:rPr>
          <w:rFonts w:cstheme="minorHAnsi"/>
          <w:color w:val="000000"/>
          <w:shd w:val="clear" w:color="auto" w:fill="FFFFFF"/>
        </w:rPr>
        <w:t>NCT04577144)</w:t>
      </w:r>
      <w:r w:rsidRPr="00F73F78">
        <w:rPr>
          <w:rFonts w:cstheme="minorHAnsi"/>
        </w:rPr>
        <w:t xml:space="preserve"> would provide </w:t>
      </w:r>
      <w:r>
        <w:rPr>
          <w:rFonts w:cstheme="minorHAnsi"/>
        </w:rPr>
        <w:t>a</w:t>
      </w:r>
      <w:r w:rsidRPr="00F73F78">
        <w:rPr>
          <w:rFonts w:cstheme="minorHAnsi"/>
        </w:rPr>
        <w:t xml:space="preserve"> greater perspective </w:t>
      </w:r>
      <w:r>
        <w:rPr>
          <w:rFonts w:cstheme="minorHAnsi"/>
        </w:rPr>
        <w:t>of</w:t>
      </w:r>
      <w:r w:rsidRPr="00F73F78">
        <w:rPr>
          <w:rFonts w:cstheme="minorHAnsi"/>
        </w:rPr>
        <w:t xml:space="preserve"> long-term outcomes in treatment-seeking participants with OUD. </w:t>
      </w:r>
      <w:r>
        <w:rPr>
          <w:rFonts w:cstheme="minorHAnsi"/>
        </w:rPr>
        <w:t>T</w:t>
      </w:r>
      <w:r w:rsidRPr="00F73F78">
        <w:rPr>
          <w:rFonts w:cstheme="minorHAnsi"/>
        </w:rPr>
        <w:t>he generalizability of these results to individuals who initiate treatment with BUP-XR outside of a clinical trial treatment setting warrants further study.</w:t>
      </w:r>
    </w:p>
    <w:p w14:paraId="0E442033" w14:textId="77777777" w:rsidR="002D3BB7" w:rsidRPr="00F73F78" w:rsidRDefault="002D3BB7" w:rsidP="00500E4D">
      <w:pPr>
        <w:pStyle w:val="Heading1"/>
        <w:spacing w:line="480" w:lineRule="auto"/>
        <w:rPr>
          <w:rFonts w:asciiTheme="minorHAnsi" w:hAnsiTheme="minorHAnsi" w:cstheme="minorHAnsi"/>
          <w:sz w:val="22"/>
          <w:szCs w:val="22"/>
        </w:rPr>
      </w:pPr>
      <w:r w:rsidRPr="00F73F78">
        <w:rPr>
          <w:rFonts w:asciiTheme="minorHAnsi" w:hAnsiTheme="minorHAnsi" w:cstheme="minorHAnsi"/>
          <w:sz w:val="22"/>
          <w:szCs w:val="22"/>
        </w:rPr>
        <w:t>Conclusions</w:t>
      </w:r>
    </w:p>
    <w:p w14:paraId="6693ED10" w14:textId="110403A5" w:rsidR="002D3BB7" w:rsidRDefault="002D3BB7" w:rsidP="00500E4D">
      <w:pPr>
        <w:spacing w:after="0" w:line="480" w:lineRule="auto"/>
        <w:textAlignment w:val="baseline"/>
        <w:rPr>
          <w:rFonts w:cstheme="minorHAnsi"/>
        </w:rPr>
      </w:pPr>
      <w:r>
        <w:rPr>
          <w:rFonts w:cstheme="minorHAnsi"/>
        </w:rPr>
        <w:t>Over a</w:t>
      </w:r>
      <w:r w:rsidRPr="00F73F78">
        <w:rPr>
          <w:rFonts w:cstheme="minorHAnsi"/>
        </w:rPr>
        <w:t xml:space="preserve">n 18-month </w:t>
      </w:r>
      <w:proofErr w:type="gramStart"/>
      <w:r w:rsidRPr="00F73F78">
        <w:rPr>
          <w:rFonts w:cstheme="minorHAnsi"/>
        </w:rPr>
        <w:t>time frame</w:t>
      </w:r>
      <w:proofErr w:type="gramEnd"/>
      <w:r w:rsidRPr="00F73F78">
        <w:rPr>
          <w:rFonts w:cstheme="minorHAnsi"/>
        </w:rPr>
        <w:t xml:space="preserve"> after</w:t>
      </w:r>
      <w:r>
        <w:rPr>
          <w:rFonts w:cstheme="minorHAnsi"/>
        </w:rPr>
        <w:t xml:space="preserve"> RECOVER</w:t>
      </w:r>
      <w:r w:rsidRPr="00F73F78">
        <w:rPr>
          <w:rFonts w:cstheme="minorHAnsi"/>
        </w:rPr>
        <w:t xml:space="preserve"> BUP-XR trial participation</w:t>
      </w:r>
      <w:r>
        <w:rPr>
          <w:rFonts w:cstheme="minorHAnsi"/>
        </w:rPr>
        <w:t>, a</w:t>
      </w:r>
      <w:r w:rsidRPr="00F73F78">
        <w:rPr>
          <w:rFonts w:cstheme="minorHAnsi"/>
        </w:rPr>
        <w:t xml:space="preserve"> large proportion of participants achieved and retained favorable abstinence, psychosocial, and clinical outcomes.</w:t>
      </w:r>
      <w:r>
        <w:rPr>
          <w:rFonts w:cstheme="minorHAnsi"/>
        </w:rPr>
        <w:t xml:space="preserve"> </w:t>
      </w:r>
      <w:r w:rsidRPr="00F73F78">
        <w:rPr>
          <w:rFonts w:cstheme="minorHAnsi"/>
        </w:rPr>
        <w:t xml:space="preserve">Additional evaluation of these endpoints over time </w:t>
      </w:r>
      <w:proofErr w:type="gramStart"/>
      <w:r w:rsidRPr="00F73F78">
        <w:rPr>
          <w:rFonts w:cstheme="minorHAnsi"/>
        </w:rPr>
        <w:t>is needed</w:t>
      </w:r>
      <w:proofErr w:type="gramEnd"/>
      <w:r w:rsidRPr="00F73F78">
        <w:rPr>
          <w:rFonts w:cstheme="minorHAnsi"/>
        </w:rPr>
        <w:t>.</w:t>
      </w:r>
    </w:p>
    <w:p w14:paraId="620C7907" w14:textId="2EAEF974" w:rsidR="004C2E9E" w:rsidRDefault="004C2E9E" w:rsidP="00500E4D">
      <w:pPr>
        <w:spacing w:after="0" w:line="480" w:lineRule="auto"/>
        <w:textAlignment w:val="baseline"/>
        <w:rPr>
          <w:rFonts w:cstheme="minorHAnsi"/>
        </w:rPr>
      </w:pPr>
    </w:p>
    <w:p w14:paraId="09A494F6" w14:textId="549B0F77" w:rsidR="004C2E9E" w:rsidRDefault="004C2E9E" w:rsidP="00500E4D">
      <w:pPr>
        <w:spacing w:after="0" w:line="480" w:lineRule="auto"/>
        <w:textAlignment w:val="baseline"/>
        <w:rPr>
          <w:rFonts w:cstheme="minorHAnsi"/>
        </w:rPr>
      </w:pPr>
    </w:p>
    <w:p w14:paraId="5BAD182B" w14:textId="11D946BC" w:rsidR="004C2E9E" w:rsidRDefault="004C2E9E" w:rsidP="00500E4D">
      <w:pPr>
        <w:spacing w:after="0" w:line="480" w:lineRule="auto"/>
        <w:textAlignment w:val="baseline"/>
        <w:rPr>
          <w:rFonts w:cstheme="minorHAnsi"/>
        </w:rPr>
      </w:pPr>
    </w:p>
    <w:p w14:paraId="577B52DE" w14:textId="455E22F3" w:rsidR="004C2E9E" w:rsidRDefault="004C2E9E" w:rsidP="00500E4D">
      <w:pPr>
        <w:spacing w:after="0" w:line="480" w:lineRule="auto"/>
        <w:textAlignment w:val="baseline"/>
        <w:rPr>
          <w:rFonts w:cstheme="minorHAnsi"/>
        </w:rPr>
      </w:pPr>
    </w:p>
    <w:p w14:paraId="476F8B16" w14:textId="4D4D5D0B" w:rsidR="004C2E9E" w:rsidRDefault="004C2E9E" w:rsidP="00500E4D">
      <w:pPr>
        <w:spacing w:after="0" w:line="480" w:lineRule="auto"/>
        <w:textAlignment w:val="baseline"/>
        <w:rPr>
          <w:rFonts w:cstheme="minorHAnsi"/>
          <w:highlight w:val="yellow"/>
        </w:rPr>
      </w:pPr>
    </w:p>
    <w:p w14:paraId="2BF743D1" w14:textId="1619FE8F" w:rsidR="004C2E9E" w:rsidRDefault="004C2E9E" w:rsidP="00500E4D">
      <w:pPr>
        <w:spacing w:after="0" w:line="480" w:lineRule="auto"/>
        <w:textAlignment w:val="baseline"/>
        <w:rPr>
          <w:rFonts w:cstheme="minorHAnsi"/>
          <w:highlight w:val="yellow"/>
        </w:rPr>
      </w:pPr>
    </w:p>
    <w:p w14:paraId="7E477150" w14:textId="462BC599" w:rsidR="004C2E9E" w:rsidRDefault="004C2E9E" w:rsidP="00500E4D">
      <w:pPr>
        <w:spacing w:after="0" w:line="480" w:lineRule="auto"/>
        <w:textAlignment w:val="baseline"/>
        <w:rPr>
          <w:rFonts w:cstheme="minorHAnsi"/>
          <w:highlight w:val="yellow"/>
        </w:rPr>
      </w:pPr>
    </w:p>
    <w:p w14:paraId="77E15530" w14:textId="413DC81A" w:rsidR="004C2E9E" w:rsidRPr="004C2E9E" w:rsidRDefault="004C2E9E" w:rsidP="004C2E9E">
      <w:pPr>
        <w:pStyle w:val="Heading1"/>
        <w:rPr>
          <w:rFonts w:asciiTheme="minorHAnsi" w:eastAsia="Times New Roman" w:hAnsiTheme="minorHAnsi" w:cstheme="minorHAnsi"/>
          <w:sz w:val="22"/>
          <w:szCs w:val="22"/>
        </w:rPr>
      </w:pPr>
      <w:r w:rsidRPr="004C2E9E">
        <w:rPr>
          <w:rFonts w:asciiTheme="minorHAnsi" w:eastAsia="Times New Roman" w:hAnsiTheme="minorHAnsi" w:cstheme="minorHAnsi"/>
          <w:sz w:val="22"/>
          <w:szCs w:val="22"/>
        </w:rPr>
        <w:t>Figure Captions</w:t>
      </w:r>
    </w:p>
    <w:p w14:paraId="078CC81D" w14:textId="77777777" w:rsidR="004C2E9E" w:rsidRPr="004C2E9E" w:rsidRDefault="004C2E9E" w:rsidP="004C2E9E"/>
    <w:p w14:paraId="619FB7A1" w14:textId="77777777" w:rsidR="004C2E9E" w:rsidRPr="00F73F78" w:rsidRDefault="004C2E9E" w:rsidP="004C2E9E">
      <w:pPr>
        <w:pStyle w:val="C-PLR-TableFootnote"/>
        <w:rPr>
          <w:rFonts w:asciiTheme="minorHAnsi" w:eastAsiaTheme="minorHAnsi" w:hAnsiTheme="minorHAnsi" w:cstheme="minorHAnsi"/>
          <w:b/>
          <w:bCs/>
          <w:sz w:val="22"/>
          <w:szCs w:val="22"/>
        </w:rPr>
      </w:pPr>
      <w:r w:rsidRPr="00F73F78">
        <w:rPr>
          <w:rFonts w:asciiTheme="minorHAnsi" w:eastAsiaTheme="minorHAnsi" w:hAnsiTheme="minorHAnsi" w:cstheme="minorHAnsi"/>
          <w:b/>
          <w:bCs/>
          <w:sz w:val="22"/>
          <w:szCs w:val="22"/>
        </w:rPr>
        <w:t>Figure 1. Overview of RECOVER Data Collection Period and Study Sample Size by Visit</w:t>
      </w:r>
    </w:p>
    <w:p w14:paraId="4754921A" w14:textId="77777777" w:rsidR="004C2E9E" w:rsidRPr="00F73F78" w:rsidRDefault="004C2E9E" w:rsidP="004C2E9E">
      <w:pPr>
        <w:pStyle w:val="C-PLR-TableFootnote"/>
        <w:rPr>
          <w:rFonts w:asciiTheme="minorHAnsi" w:hAnsiTheme="minorHAnsi" w:cstheme="minorHAnsi"/>
          <w:sz w:val="22"/>
          <w:szCs w:val="22"/>
        </w:rPr>
      </w:pPr>
      <w:r w:rsidRPr="00F73F78">
        <w:rPr>
          <w:rFonts w:asciiTheme="minorHAnsi" w:hAnsiTheme="minorHAnsi" w:cstheme="minorHAnsi"/>
          <w:sz w:val="22"/>
          <w:szCs w:val="22"/>
        </w:rPr>
        <w:t>* Employment also captured at quarterly assessments, but only semi-annual assessments included in this analysis. Opioid craving scale added as the study was ongoing and only consistently captured for 12 and 18-month assessments</w:t>
      </w:r>
    </w:p>
    <w:p w14:paraId="1275B788" w14:textId="77777777" w:rsidR="004C2E9E" w:rsidRPr="00F73F78" w:rsidRDefault="004C2E9E" w:rsidP="004C2E9E">
      <w:pPr>
        <w:pStyle w:val="C-PLR-TableFootnote"/>
        <w:rPr>
          <w:rFonts w:asciiTheme="minorHAnsi" w:hAnsiTheme="minorHAnsi" w:cstheme="minorHAnsi"/>
          <w:sz w:val="22"/>
          <w:szCs w:val="22"/>
        </w:rPr>
      </w:pPr>
      <w:r w:rsidRPr="00F73F78">
        <w:rPr>
          <w:rFonts w:asciiTheme="minorHAnsi" w:hAnsiTheme="minorHAnsi" w:cstheme="minorHAnsi"/>
          <w:sz w:val="22"/>
          <w:szCs w:val="22"/>
        </w:rPr>
        <w:t>+ For a subgroup of participants (n=142), the RECOVER study overlapped with a BUP-XR extension study, and as such patients with overlap were re-indexed to first semi-annual visit after BUP-XR discontinuation. Sample sizes per visit reflect this re-indexed cohort.</w:t>
      </w:r>
    </w:p>
    <w:p w14:paraId="490E85D7" w14:textId="77777777" w:rsidR="004C2E9E" w:rsidRPr="00F73F78" w:rsidRDefault="004C2E9E" w:rsidP="004C2E9E">
      <w:pPr>
        <w:pStyle w:val="C-PLR-TableFootnote"/>
        <w:rPr>
          <w:rFonts w:asciiTheme="minorHAnsi" w:hAnsiTheme="minorHAnsi" w:cstheme="minorHAnsi"/>
          <w:sz w:val="22"/>
          <w:szCs w:val="22"/>
        </w:rPr>
      </w:pPr>
      <w:r w:rsidRPr="00F73F78">
        <w:rPr>
          <w:rFonts w:asciiTheme="minorHAnsi" w:hAnsiTheme="minorHAnsi" w:cstheme="minorHAnsi"/>
          <w:sz w:val="22"/>
          <w:szCs w:val="22"/>
        </w:rPr>
        <w:t>** BUP-XR received within trials was SUBLOCADE (</w:t>
      </w:r>
      <w:proofErr w:type="spellStart"/>
      <w:r w:rsidRPr="00F73F78">
        <w:rPr>
          <w:rFonts w:asciiTheme="minorHAnsi" w:hAnsiTheme="minorHAnsi" w:cstheme="minorHAnsi"/>
          <w:sz w:val="22"/>
          <w:szCs w:val="22"/>
        </w:rPr>
        <w:t>Indivior</w:t>
      </w:r>
      <w:proofErr w:type="spellEnd"/>
      <w:r w:rsidRPr="00F73F78">
        <w:rPr>
          <w:rFonts w:asciiTheme="minorHAnsi" w:hAnsiTheme="minorHAnsi" w:cstheme="minorHAnsi"/>
          <w:sz w:val="22"/>
          <w:szCs w:val="22"/>
        </w:rPr>
        <w:t>, Richmond, VA)</w:t>
      </w:r>
    </w:p>
    <w:p w14:paraId="4D31741A" w14:textId="77777777" w:rsidR="004C2E9E" w:rsidRPr="00F73F78" w:rsidRDefault="004C2E9E" w:rsidP="004C2E9E">
      <w:pPr>
        <w:rPr>
          <w:rFonts w:cstheme="minorHAnsi"/>
          <w:b/>
          <w:bCs/>
        </w:rPr>
      </w:pPr>
    </w:p>
    <w:p w14:paraId="7D3FF1F8" w14:textId="77777777" w:rsidR="004C2E9E" w:rsidRDefault="004C2E9E" w:rsidP="004C2E9E">
      <w:pPr>
        <w:rPr>
          <w:rFonts w:cstheme="minorHAnsi"/>
          <w:b/>
          <w:bCs/>
        </w:rPr>
      </w:pPr>
      <w:r w:rsidRPr="00F73F78">
        <w:rPr>
          <w:rFonts w:cstheme="minorHAnsi"/>
          <w:b/>
          <w:bCs/>
        </w:rPr>
        <w:t xml:space="preserve">Figure 2. Weighted Self-Reported Opioid Abstinence in Past Week and Sustained Abstinence </w:t>
      </w:r>
      <w:proofErr w:type="gramStart"/>
      <w:r w:rsidRPr="00F73F78">
        <w:rPr>
          <w:rFonts w:cstheme="minorHAnsi"/>
          <w:b/>
          <w:bCs/>
        </w:rPr>
        <w:t>From</w:t>
      </w:r>
      <w:proofErr w:type="gramEnd"/>
      <w:r w:rsidRPr="00F73F78">
        <w:rPr>
          <w:rFonts w:cstheme="minorHAnsi"/>
          <w:b/>
          <w:bCs/>
        </w:rPr>
        <w:t xml:space="preserve"> Opioids Over 18 Months</w:t>
      </w:r>
    </w:p>
    <w:p w14:paraId="19329FD9" w14:textId="77777777" w:rsidR="004C2E9E" w:rsidRPr="001C54B7" w:rsidRDefault="004C2E9E" w:rsidP="004C2E9E">
      <w:pPr>
        <w:rPr>
          <w:rFonts w:cstheme="minorHAnsi"/>
          <w:b/>
          <w:bCs/>
        </w:rPr>
      </w:pPr>
      <w:r w:rsidRPr="004C25FE">
        <w:rPr>
          <w:rFonts w:ascii="Calibri" w:eastAsia="Times New Roman" w:hAnsi="Calibri" w:cs="Calibri"/>
        </w:rPr>
        <w:t>A.</w:t>
      </w:r>
      <w:r>
        <w:rPr>
          <w:rFonts w:ascii="Calibri" w:eastAsia="Times New Roman" w:hAnsi="Calibri" w:cs="Calibri"/>
        </w:rPr>
        <w:t xml:space="preserve">  </w:t>
      </w:r>
      <w:r w:rsidRPr="001C54B7">
        <w:rPr>
          <w:rFonts w:ascii="Calibri" w:eastAsia="Times New Roman" w:hAnsi="Calibri" w:cs="Calibri"/>
        </w:rPr>
        <w:t>Self-reported abstinence</w:t>
      </w:r>
      <w:r>
        <w:rPr>
          <w:rFonts w:ascii="Calibri" w:eastAsia="Times New Roman" w:hAnsi="Calibri" w:cs="Calibri"/>
        </w:rPr>
        <w:t xml:space="preserve"> from opioids</w:t>
      </w:r>
      <w:r w:rsidRPr="001C54B7">
        <w:rPr>
          <w:rFonts w:ascii="Calibri" w:eastAsia="Times New Roman" w:hAnsi="Calibri" w:cs="Calibri"/>
        </w:rPr>
        <w:t xml:space="preserve"> rates; B. </w:t>
      </w:r>
      <w:r>
        <w:rPr>
          <w:rFonts w:ascii="Calibri" w:eastAsia="Times New Roman" w:hAnsi="Calibri" w:cs="Calibri"/>
        </w:rPr>
        <w:t>UDS-based abstinence from opioids rates; C. Combined self-reported and UDS-based abstinence from opioids rates; D. Self-reported abstinence from all illicit substances rates.</w:t>
      </w:r>
    </w:p>
    <w:p w14:paraId="462AF8E9" w14:textId="77777777" w:rsidR="004C2E9E" w:rsidRPr="00F73F78" w:rsidRDefault="004C2E9E" w:rsidP="004C2E9E">
      <w:pPr>
        <w:pStyle w:val="C-PLR-TableFootnote"/>
        <w:rPr>
          <w:rFonts w:asciiTheme="minorHAnsi" w:hAnsiTheme="minorHAnsi" w:cstheme="minorHAnsi"/>
          <w:sz w:val="22"/>
          <w:szCs w:val="22"/>
        </w:rPr>
      </w:pPr>
      <w:r w:rsidRPr="00F73F78">
        <w:rPr>
          <w:rFonts w:asciiTheme="minorHAnsi" w:hAnsiTheme="minorHAnsi" w:cstheme="minorHAnsi"/>
          <w:sz w:val="22"/>
          <w:szCs w:val="22"/>
        </w:rPr>
        <w:t>Abbreviations: BUP-XR, buprenorphine extended release; m, months</w:t>
      </w:r>
      <w:r>
        <w:rPr>
          <w:rFonts w:asciiTheme="minorHAnsi" w:hAnsiTheme="minorHAnsi" w:cstheme="minorHAnsi"/>
          <w:sz w:val="22"/>
          <w:szCs w:val="22"/>
        </w:rPr>
        <w:t>; UDS, urine drug screen</w:t>
      </w:r>
      <w:r w:rsidRPr="00F73F78">
        <w:rPr>
          <w:rFonts w:asciiTheme="minorHAnsi" w:hAnsiTheme="minorHAnsi" w:cstheme="minorHAnsi"/>
          <w:sz w:val="22"/>
          <w:szCs w:val="22"/>
        </w:rPr>
        <w:t>.</w:t>
      </w:r>
    </w:p>
    <w:p w14:paraId="799BDB82" w14:textId="77777777" w:rsidR="004C2E9E" w:rsidRPr="00F73F78" w:rsidRDefault="004C2E9E" w:rsidP="004C2E9E">
      <w:pPr>
        <w:pStyle w:val="C-PLR-TableFootnote"/>
        <w:rPr>
          <w:rFonts w:asciiTheme="minorHAnsi" w:hAnsiTheme="minorHAnsi" w:cstheme="minorHAnsi"/>
          <w:sz w:val="22"/>
          <w:szCs w:val="22"/>
        </w:rPr>
      </w:pPr>
      <w:r w:rsidRPr="00F73F78">
        <w:rPr>
          <w:rFonts w:asciiTheme="minorHAnsi" w:hAnsiTheme="minorHAnsi" w:cstheme="minorHAnsi"/>
          <w:sz w:val="22"/>
          <w:szCs w:val="22"/>
        </w:rPr>
        <w:t xml:space="preserve">Results represent weighted proportion of participants, with changes measured change from RECOVER baseline. Definitions of improved, stable, and declined </w:t>
      </w:r>
      <w:proofErr w:type="gramStart"/>
      <w:r w:rsidRPr="00F73F78">
        <w:rPr>
          <w:rFonts w:asciiTheme="minorHAnsi" w:hAnsiTheme="minorHAnsi" w:cstheme="minorHAnsi"/>
          <w:sz w:val="22"/>
          <w:szCs w:val="22"/>
        </w:rPr>
        <w:t>were based</w:t>
      </w:r>
      <w:proofErr w:type="gramEnd"/>
      <w:r w:rsidRPr="00F73F78">
        <w:rPr>
          <w:rFonts w:asciiTheme="minorHAnsi" w:hAnsiTheme="minorHAnsi" w:cstheme="minorHAnsi"/>
          <w:sz w:val="22"/>
          <w:szCs w:val="22"/>
        </w:rPr>
        <w:t xml:space="preserve"> on movement from abstinent to non-abstinent as decline, or movement from non-abstinent to abstinent as improvement. Inverse probability weights included key pre-trial characteristics as described within text. Proportions for those who declined </w:t>
      </w:r>
      <w:proofErr w:type="gramStart"/>
      <w:r w:rsidRPr="00F73F78">
        <w:rPr>
          <w:rFonts w:asciiTheme="minorHAnsi" w:hAnsiTheme="minorHAnsi" w:cstheme="minorHAnsi"/>
          <w:sz w:val="22"/>
          <w:szCs w:val="22"/>
        </w:rPr>
        <w:t>were multiplied</w:t>
      </w:r>
      <w:proofErr w:type="gramEnd"/>
      <w:r w:rsidRPr="00F73F78">
        <w:rPr>
          <w:rFonts w:asciiTheme="minorHAnsi" w:hAnsiTheme="minorHAnsi" w:cstheme="minorHAnsi"/>
          <w:sz w:val="22"/>
          <w:szCs w:val="22"/>
        </w:rPr>
        <w:t xml:space="preserve"> by -1 for graphing purposes to aid in the easy interpretation of figures.</w:t>
      </w:r>
    </w:p>
    <w:p w14:paraId="6B40F466" w14:textId="77777777" w:rsidR="004C2E9E" w:rsidRPr="00F73F78" w:rsidRDefault="004C2E9E" w:rsidP="004C2E9E">
      <w:pPr>
        <w:rPr>
          <w:rFonts w:cstheme="minorHAnsi"/>
        </w:rPr>
      </w:pPr>
    </w:p>
    <w:p w14:paraId="1742509E" w14:textId="373B7DC5" w:rsidR="004C2E9E" w:rsidRDefault="004C2E9E" w:rsidP="00500E4D">
      <w:pPr>
        <w:spacing w:after="0" w:line="480" w:lineRule="auto"/>
        <w:textAlignment w:val="baseline"/>
        <w:rPr>
          <w:rFonts w:cstheme="minorHAnsi"/>
          <w:highlight w:val="yellow"/>
        </w:rPr>
      </w:pPr>
    </w:p>
    <w:p w14:paraId="0054CA5C" w14:textId="05346C7B" w:rsidR="004C2E9E" w:rsidRDefault="004C2E9E" w:rsidP="00500E4D">
      <w:pPr>
        <w:spacing w:after="0" w:line="480" w:lineRule="auto"/>
        <w:textAlignment w:val="baseline"/>
        <w:rPr>
          <w:rFonts w:cstheme="minorHAnsi"/>
          <w:highlight w:val="yellow"/>
        </w:rPr>
      </w:pPr>
    </w:p>
    <w:p w14:paraId="47326AAC" w14:textId="5845CB63" w:rsidR="004C2E9E" w:rsidRDefault="004C2E9E" w:rsidP="00500E4D">
      <w:pPr>
        <w:spacing w:after="0" w:line="480" w:lineRule="auto"/>
        <w:textAlignment w:val="baseline"/>
        <w:rPr>
          <w:rFonts w:cstheme="minorHAnsi"/>
          <w:highlight w:val="yellow"/>
        </w:rPr>
      </w:pPr>
    </w:p>
    <w:p w14:paraId="08986BBC" w14:textId="6010BD64" w:rsidR="004C2E9E" w:rsidRDefault="004C2E9E" w:rsidP="00500E4D">
      <w:pPr>
        <w:spacing w:after="0" w:line="480" w:lineRule="auto"/>
        <w:textAlignment w:val="baseline"/>
        <w:rPr>
          <w:rFonts w:cstheme="minorHAnsi"/>
          <w:highlight w:val="yellow"/>
        </w:rPr>
      </w:pPr>
    </w:p>
    <w:p w14:paraId="7D3E87C8" w14:textId="4FF84041" w:rsidR="004C2E9E" w:rsidRDefault="004C2E9E" w:rsidP="00500E4D">
      <w:pPr>
        <w:spacing w:after="0" w:line="480" w:lineRule="auto"/>
        <w:textAlignment w:val="baseline"/>
        <w:rPr>
          <w:rFonts w:cstheme="minorHAnsi"/>
          <w:highlight w:val="yellow"/>
        </w:rPr>
      </w:pPr>
    </w:p>
    <w:p w14:paraId="01C5CC98" w14:textId="729C17D6" w:rsidR="004C2E9E" w:rsidRDefault="004C2E9E" w:rsidP="00500E4D">
      <w:pPr>
        <w:spacing w:after="0" w:line="480" w:lineRule="auto"/>
        <w:textAlignment w:val="baseline"/>
        <w:rPr>
          <w:rFonts w:cstheme="minorHAnsi"/>
          <w:highlight w:val="yellow"/>
        </w:rPr>
      </w:pPr>
    </w:p>
    <w:p w14:paraId="694B70B0" w14:textId="7068F3BB" w:rsidR="004C2E9E" w:rsidRDefault="004C2E9E" w:rsidP="00500E4D">
      <w:pPr>
        <w:spacing w:after="0" w:line="480" w:lineRule="auto"/>
        <w:textAlignment w:val="baseline"/>
        <w:rPr>
          <w:rFonts w:cstheme="minorHAnsi"/>
          <w:highlight w:val="yellow"/>
        </w:rPr>
      </w:pPr>
    </w:p>
    <w:p w14:paraId="055B2F78" w14:textId="1C9B7313" w:rsidR="004C2E9E" w:rsidRDefault="004C2E9E" w:rsidP="00500E4D">
      <w:pPr>
        <w:spacing w:after="0" w:line="480" w:lineRule="auto"/>
        <w:textAlignment w:val="baseline"/>
        <w:rPr>
          <w:rFonts w:cstheme="minorHAnsi"/>
          <w:highlight w:val="yellow"/>
        </w:rPr>
      </w:pPr>
    </w:p>
    <w:p w14:paraId="129A60A5" w14:textId="77777777" w:rsidR="004C2E9E" w:rsidRPr="00F73F78" w:rsidRDefault="004C2E9E" w:rsidP="00500E4D">
      <w:pPr>
        <w:spacing w:after="0" w:line="480" w:lineRule="auto"/>
        <w:textAlignment w:val="baseline"/>
        <w:rPr>
          <w:rFonts w:cstheme="minorHAnsi"/>
          <w:highlight w:val="yellow"/>
        </w:rPr>
      </w:pPr>
    </w:p>
    <w:p w14:paraId="53FA62EA" w14:textId="023A8E83" w:rsidR="002D3BB7" w:rsidRPr="004C2E9E" w:rsidRDefault="002D3BB7" w:rsidP="004C2E9E">
      <w:pPr>
        <w:pStyle w:val="Heading1"/>
        <w:numPr>
          <w:ilvl w:val="0"/>
          <w:numId w:val="4"/>
        </w:numPr>
        <w:spacing w:line="480" w:lineRule="auto"/>
        <w:rPr>
          <w:rFonts w:asciiTheme="minorHAnsi" w:hAnsiTheme="minorHAnsi" w:cstheme="minorHAnsi"/>
          <w:sz w:val="22"/>
          <w:szCs w:val="22"/>
        </w:rPr>
      </w:pPr>
      <w:r w:rsidRPr="004C2E9E">
        <w:rPr>
          <w:rFonts w:asciiTheme="minorHAnsi" w:hAnsiTheme="minorHAnsi" w:cstheme="minorHAnsi"/>
          <w:sz w:val="22"/>
          <w:szCs w:val="22"/>
        </w:rPr>
        <w:t xml:space="preserve">References </w:t>
      </w:r>
    </w:p>
    <w:p w14:paraId="47B19E9F" w14:textId="77777777" w:rsidR="002D3BB7" w:rsidRPr="004C2E9E" w:rsidRDefault="002D3BB7" w:rsidP="00F47F22">
      <w:pPr>
        <w:pStyle w:val="EndNoteBibliography"/>
        <w:spacing w:after="240"/>
        <w:ind w:left="720" w:hanging="720"/>
        <w:rPr>
          <w:sz w:val="22"/>
          <w:szCs w:val="22"/>
        </w:rPr>
      </w:pPr>
      <w:r w:rsidRPr="004C2E9E">
        <w:rPr>
          <w:sz w:val="22"/>
          <w:szCs w:val="22"/>
        </w:rPr>
        <w:t>1.</w:t>
      </w:r>
      <w:r w:rsidRPr="004C2E9E">
        <w:rPr>
          <w:sz w:val="22"/>
          <w:szCs w:val="22"/>
        </w:rPr>
        <w:tab/>
        <w:t>American Hospital Association. CDC: Drug overdose deaths up 4.6% in 2019 [Web]. 2021.  Available at: https://www.aha.org/news/headline/2020-07-16-cdc-drug-overdose-deaths-46-2019#:~:text=Drug%20overdose%20deaths%20in%20the,by%20drug%20category%20and%20state.</w:t>
      </w:r>
    </w:p>
    <w:p w14:paraId="041F1E05" w14:textId="77777777" w:rsidR="002D3BB7" w:rsidRPr="004C2E9E" w:rsidRDefault="002D3BB7" w:rsidP="00F47F22">
      <w:pPr>
        <w:pStyle w:val="EndNoteBibliography"/>
        <w:spacing w:after="240"/>
        <w:ind w:left="720" w:hanging="720"/>
        <w:rPr>
          <w:sz w:val="22"/>
          <w:szCs w:val="22"/>
        </w:rPr>
      </w:pPr>
      <w:r w:rsidRPr="004C2E9E">
        <w:rPr>
          <w:sz w:val="22"/>
          <w:szCs w:val="22"/>
        </w:rPr>
        <w:t>2.</w:t>
      </w:r>
      <w:r w:rsidRPr="004C2E9E">
        <w:rPr>
          <w:sz w:val="22"/>
          <w:szCs w:val="22"/>
        </w:rPr>
        <w:tab/>
        <w:t>Council of Economic Advisers. The underestimated cost of the opioid crisis. [Website]. 2017.  Available at: https://www.whitehouse.gov/sites/whitehouse.gov/files/images/The%20Underestimated%20Cost%20of%20the%20Opioid%20Crisis.pdf. Accessed: June 14.</w:t>
      </w:r>
    </w:p>
    <w:p w14:paraId="38CF5AA4" w14:textId="77777777" w:rsidR="002D3BB7" w:rsidRPr="004C2E9E" w:rsidRDefault="002D3BB7" w:rsidP="00F47F22">
      <w:pPr>
        <w:pStyle w:val="EndNoteBibliography"/>
        <w:spacing w:after="240"/>
        <w:ind w:left="720" w:hanging="720"/>
        <w:rPr>
          <w:sz w:val="22"/>
          <w:szCs w:val="22"/>
        </w:rPr>
      </w:pPr>
      <w:r w:rsidRPr="004C2E9E">
        <w:rPr>
          <w:sz w:val="22"/>
          <w:szCs w:val="22"/>
        </w:rPr>
        <w:t>3.</w:t>
      </w:r>
      <w:r w:rsidRPr="004C2E9E">
        <w:rPr>
          <w:sz w:val="22"/>
          <w:szCs w:val="22"/>
        </w:rPr>
        <w:tab/>
        <w:t>National Institute on Drug Abuse. Opioid overdose crisis. [Website]. 2020.  Available at: https://www.drugabuse.gov/drug-topics/opioids/opioid-overdose-crisis. Accessed: June 14.</w:t>
      </w:r>
    </w:p>
    <w:p w14:paraId="05D52198" w14:textId="77777777" w:rsidR="002D3BB7" w:rsidRPr="004C2E9E" w:rsidRDefault="002D3BB7" w:rsidP="00F47F22">
      <w:pPr>
        <w:pStyle w:val="EndNoteBibliography"/>
        <w:spacing w:after="240"/>
        <w:ind w:left="720" w:hanging="720"/>
        <w:rPr>
          <w:sz w:val="22"/>
          <w:szCs w:val="22"/>
        </w:rPr>
      </w:pPr>
      <w:r w:rsidRPr="004C2E9E">
        <w:rPr>
          <w:sz w:val="22"/>
          <w:szCs w:val="22"/>
        </w:rPr>
        <w:t>4.</w:t>
      </w:r>
      <w:r w:rsidRPr="004C2E9E">
        <w:rPr>
          <w:sz w:val="22"/>
          <w:szCs w:val="22"/>
        </w:rPr>
        <w:tab/>
        <w:t>National Institutes of Health. NIH HEAL Initiative Research Plan. [Website]. 2020.  Available at: https://heal.nih.gov/about/research-plan. Accessed: June 14.</w:t>
      </w:r>
    </w:p>
    <w:p w14:paraId="5C7679CB" w14:textId="77777777" w:rsidR="002D3BB7" w:rsidRPr="004C2E9E" w:rsidRDefault="002D3BB7" w:rsidP="00F47F22">
      <w:pPr>
        <w:pStyle w:val="EndNoteBibliography"/>
        <w:spacing w:after="240"/>
        <w:ind w:left="720" w:hanging="720"/>
        <w:rPr>
          <w:sz w:val="22"/>
          <w:szCs w:val="22"/>
        </w:rPr>
      </w:pPr>
      <w:r w:rsidRPr="004C2E9E">
        <w:rPr>
          <w:sz w:val="22"/>
          <w:szCs w:val="22"/>
        </w:rPr>
        <w:t>5.</w:t>
      </w:r>
      <w:r w:rsidRPr="004C2E9E">
        <w:rPr>
          <w:sz w:val="22"/>
          <w:szCs w:val="22"/>
        </w:rPr>
        <w:tab/>
        <w:t>American Society of Addiction Medicine. Definition of addiction. 2019.  Available at: https://www.asam.org/docs/default-source/quality-science/asam's-2019-definition-of-addiction-(1).pdf?sfvrsn=b8b64fc2_2. Accessed: November 24.</w:t>
      </w:r>
    </w:p>
    <w:p w14:paraId="482B35B7" w14:textId="77777777" w:rsidR="002D3BB7" w:rsidRPr="004C2E9E" w:rsidRDefault="002D3BB7" w:rsidP="00F47F22">
      <w:pPr>
        <w:pStyle w:val="EndNoteBibliography"/>
        <w:spacing w:after="240"/>
        <w:ind w:left="720" w:hanging="720"/>
        <w:rPr>
          <w:sz w:val="22"/>
          <w:szCs w:val="22"/>
        </w:rPr>
      </w:pPr>
      <w:r w:rsidRPr="004C2E9E">
        <w:rPr>
          <w:sz w:val="22"/>
          <w:szCs w:val="22"/>
        </w:rPr>
        <w:t>6.</w:t>
      </w:r>
      <w:r w:rsidRPr="004C2E9E">
        <w:rPr>
          <w:sz w:val="22"/>
          <w:szCs w:val="22"/>
        </w:rPr>
        <w:tab/>
        <w:t xml:space="preserve">Ling W, Nadipelli VR, Ronquest NA, et al. Remission from chronic opioid use-studying environmental and socio-economic factors on recovery (RECOVER): study design and participant characteristics. </w:t>
      </w:r>
      <w:r w:rsidRPr="004C2E9E">
        <w:rPr>
          <w:i/>
          <w:sz w:val="22"/>
          <w:szCs w:val="22"/>
        </w:rPr>
        <w:t xml:space="preserve">Contemp Clin Trials. </w:t>
      </w:r>
      <w:r w:rsidRPr="004C2E9E">
        <w:rPr>
          <w:sz w:val="22"/>
          <w:szCs w:val="22"/>
        </w:rPr>
        <w:t>2019;76:93-103.</w:t>
      </w:r>
    </w:p>
    <w:p w14:paraId="3CB88692" w14:textId="77777777" w:rsidR="002D3BB7" w:rsidRPr="004C2E9E" w:rsidRDefault="002D3BB7" w:rsidP="00F47F22">
      <w:pPr>
        <w:pStyle w:val="EndNoteBibliography"/>
        <w:spacing w:after="240"/>
        <w:ind w:left="720" w:hanging="720"/>
        <w:rPr>
          <w:sz w:val="22"/>
          <w:szCs w:val="22"/>
        </w:rPr>
      </w:pPr>
      <w:r w:rsidRPr="004C2E9E">
        <w:rPr>
          <w:sz w:val="22"/>
          <w:szCs w:val="22"/>
        </w:rPr>
        <w:lastRenderedPageBreak/>
        <w:t>7.</w:t>
      </w:r>
      <w:r w:rsidRPr="004C2E9E">
        <w:rPr>
          <w:sz w:val="22"/>
          <w:szCs w:val="22"/>
        </w:rPr>
        <w:tab/>
        <w:t xml:space="preserve">Ling W, Nadipelli VR, Aldridge AP, et al. Recovery from opioid use disorder (OUD) after monthly long-acting buprenorphine treatment: 12-month longitudinal outcomes from RECOVER, an observational study. </w:t>
      </w:r>
      <w:r w:rsidRPr="004C2E9E">
        <w:rPr>
          <w:i/>
          <w:sz w:val="22"/>
          <w:szCs w:val="22"/>
        </w:rPr>
        <w:t xml:space="preserve">J Addict Med. </w:t>
      </w:r>
      <w:r w:rsidRPr="004C2E9E">
        <w:rPr>
          <w:sz w:val="22"/>
          <w:szCs w:val="22"/>
        </w:rPr>
        <w:t>2020;14(5):e233-e240.</w:t>
      </w:r>
    </w:p>
    <w:p w14:paraId="0E0F67C2" w14:textId="77777777" w:rsidR="002D3BB7" w:rsidRPr="004C2E9E" w:rsidRDefault="002D3BB7" w:rsidP="00F47F22">
      <w:pPr>
        <w:pStyle w:val="EndNoteBibliography"/>
        <w:spacing w:after="240"/>
        <w:ind w:left="720" w:hanging="720"/>
        <w:rPr>
          <w:sz w:val="22"/>
          <w:szCs w:val="22"/>
        </w:rPr>
      </w:pPr>
      <w:r w:rsidRPr="004C2E9E">
        <w:rPr>
          <w:sz w:val="22"/>
          <w:szCs w:val="22"/>
        </w:rPr>
        <w:t>8.</w:t>
      </w:r>
      <w:r w:rsidRPr="004C2E9E">
        <w:rPr>
          <w:sz w:val="22"/>
          <w:szCs w:val="22"/>
        </w:rPr>
        <w:tab/>
        <w:t xml:space="preserve">Haight BR, Learned SM, Laffont CM, et al. Efficacy and safety of a monthly buprenorphine depot injection for opioid use disorder: a multicentre, randomised, double-blind, placebo-controlled, phase 3 trial. </w:t>
      </w:r>
      <w:r w:rsidRPr="004C2E9E">
        <w:rPr>
          <w:i/>
          <w:sz w:val="22"/>
          <w:szCs w:val="22"/>
        </w:rPr>
        <w:t xml:space="preserve">Lancet. </w:t>
      </w:r>
      <w:r w:rsidRPr="004C2E9E">
        <w:rPr>
          <w:sz w:val="22"/>
          <w:szCs w:val="22"/>
        </w:rPr>
        <w:t>2019;393(10173):778-790.</w:t>
      </w:r>
    </w:p>
    <w:p w14:paraId="000C335B" w14:textId="77777777" w:rsidR="002D3BB7" w:rsidRPr="004C2E9E" w:rsidRDefault="002D3BB7" w:rsidP="00F47F22">
      <w:pPr>
        <w:pStyle w:val="EndNoteBibliography"/>
        <w:spacing w:after="240"/>
        <w:ind w:left="720" w:hanging="720"/>
        <w:rPr>
          <w:sz w:val="22"/>
          <w:szCs w:val="22"/>
        </w:rPr>
      </w:pPr>
      <w:r w:rsidRPr="004C2E9E">
        <w:rPr>
          <w:sz w:val="22"/>
          <w:szCs w:val="22"/>
        </w:rPr>
        <w:t>9.</w:t>
      </w:r>
      <w:r w:rsidRPr="004C2E9E">
        <w:rPr>
          <w:sz w:val="22"/>
          <w:szCs w:val="22"/>
        </w:rPr>
        <w:tab/>
        <w:t xml:space="preserve">Ling W, Nadipelli VR, Solem CT, et al. Patient-centered outcomes in participants of a buprenorphine monthly depot (BUP-XR) double-blind, placebo-controlled, multicenter, phase 3 study. </w:t>
      </w:r>
      <w:r w:rsidRPr="004C2E9E">
        <w:rPr>
          <w:i/>
          <w:sz w:val="22"/>
          <w:szCs w:val="22"/>
        </w:rPr>
        <w:t xml:space="preserve">J Addict Med. </w:t>
      </w:r>
      <w:r w:rsidRPr="004C2E9E">
        <w:rPr>
          <w:sz w:val="22"/>
          <w:szCs w:val="22"/>
        </w:rPr>
        <w:t>2019;13(6):442-449.</w:t>
      </w:r>
    </w:p>
    <w:p w14:paraId="6F1ACE2C" w14:textId="77777777" w:rsidR="002D3BB7" w:rsidRPr="004C2E9E" w:rsidRDefault="002D3BB7" w:rsidP="00F47F22">
      <w:pPr>
        <w:pStyle w:val="EndNoteBibliography"/>
        <w:spacing w:after="240"/>
        <w:ind w:left="720" w:hanging="720"/>
        <w:rPr>
          <w:sz w:val="22"/>
          <w:szCs w:val="22"/>
        </w:rPr>
      </w:pPr>
      <w:r w:rsidRPr="004C2E9E">
        <w:rPr>
          <w:sz w:val="22"/>
          <w:szCs w:val="22"/>
        </w:rPr>
        <w:t>10.</w:t>
      </w:r>
      <w:r w:rsidRPr="004C2E9E">
        <w:rPr>
          <w:sz w:val="22"/>
          <w:szCs w:val="22"/>
        </w:rPr>
        <w:tab/>
        <w:t xml:space="preserve">Vernon MK, Reinders S, Mannix S, Gullo K, Gorodetzky CW, Clinch T. Psychometric evaluation of the 10-item Short Opiate Withdrawal Scale-Gossop (SOWS-Gossop) in patients undergoing opioid detoxification. </w:t>
      </w:r>
      <w:r w:rsidRPr="004C2E9E">
        <w:rPr>
          <w:i/>
          <w:sz w:val="22"/>
          <w:szCs w:val="22"/>
        </w:rPr>
        <w:t xml:space="preserve">Addict Behav. </w:t>
      </w:r>
      <w:r w:rsidRPr="004C2E9E">
        <w:rPr>
          <w:sz w:val="22"/>
          <w:szCs w:val="22"/>
        </w:rPr>
        <w:t>2016;60:109-116.</w:t>
      </w:r>
    </w:p>
    <w:p w14:paraId="72645CF4" w14:textId="77777777" w:rsidR="002D3BB7" w:rsidRPr="004C2E9E" w:rsidRDefault="002D3BB7" w:rsidP="00F47F22">
      <w:pPr>
        <w:pStyle w:val="EndNoteBibliography"/>
        <w:spacing w:after="240"/>
        <w:ind w:left="720" w:hanging="720"/>
        <w:rPr>
          <w:sz w:val="22"/>
          <w:szCs w:val="22"/>
        </w:rPr>
      </w:pPr>
      <w:r w:rsidRPr="004C2E9E">
        <w:rPr>
          <w:sz w:val="22"/>
          <w:szCs w:val="22"/>
        </w:rPr>
        <w:t>11.</w:t>
      </w:r>
      <w:r w:rsidRPr="004C2E9E">
        <w:rPr>
          <w:sz w:val="22"/>
          <w:szCs w:val="22"/>
        </w:rPr>
        <w:tab/>
        <w:t xml:space="preserve">Ware JE, Kosinski M, Bjorner JB, Turner-Bowker DM, Gandek B, Maruish ME. </w:t>
      </w:r>
      <w:r w:rsidRPr="004C2E9E">
        <w:rPr>
          <w:i/>
          <w:sz w:val="22"/>
          <w:szCs w:val="22"/>
        </w:rPr>
        <w:t>User's manual for the SF-36v2 Health Survey.</w:t>
      </w:r>
      <w:r w:rsidRPr="004C2E9E">
        <w:rPr>
          <w:sz w:val="22"/>
          <w:szCs w:val="22"/>
        </w:rPr>
        <w:t xml:space="preserve"> Quality Metric, Lincoln, RI; 2008.</w:t>
      </w:r>
    </w:p>
    <w:p w14:paraId="0F4EE492" w14:textId="77777777" w:rsidR="002D3BB7" w:rsidRPr="004C2E9E" w:rsidRDefault="002D3BB7" w:rsidP="00F47F22">
      <w:pPr>
        <w:pStyle w:val="EndNoteBibliography"/>
        <w:spacing w:after="240"/>
        <w:ind w:left="720" w:hanging="720"/>
        <w:rPr>
          <w:sz w:val="22"/>
          <w:szCs w:val="22"/>
        </w:rPr>
      </w:pPr>
      <w:r w:rsidRPr="004C2E9E">
        <w:rPr>
          <w:sz w:val="22"/>
          <w:szCs w:val="22"/>
        </w:rPr>
        <w:t>12.</w:t>
      </w:r>
      <w:r w:rsidRPr="004C2E9E">
        <w:rPr>
          <w:sz w:val="22"/>
          <w:szCs w:val="22"/>
        </w:rPr>
        <w:tab/>
        <w:t xml:space="preserve">Button KS, Kounali D, Thomas L, et al. Minimal clinically important difference on the Beck Depression Inventory–II according to the patient's perspective. </w:t>
      </w:r>
      <w:r w:rsidRPr="004C2E9E">
        <w:rPr>
          <w:i/>
          <w:sz w:val="22"/>
          <w:szCs w:val="22"/>
        </w:rPr>
        <w:t xml:space="preserve">Psychol Med. </w:t>
      </w:r>
      <w:r w:rsidRPr="004C2E9E">
        <w:rPr>
          <w:sz w:val="22"/>
          <w:szCs w:val="22"/>
        </w:rPr>
        <w:t>2015;45(15):3269-3279.</w:t>
      </w:r>
    </w:p>
    <w:p w14:paraId="60A3661E" w14:textId="77777777" w:rsidR="002D3BB7" w:rsidRPr="004C2E9E" w:rsidRDefault="002D3BB7" w:rsidP="00F47F22">
      <w:pPr>
        <w:pStyle w:val="EndNoteBibliography"/>
        <w:spacing w:after="240"/>
        <w:ind w:left="720" w:hanging="720"/>
        <w:rPr>
          <w:sz w:val="22"/>
          <w:szCs w:val="22"/>
        </w:rPr>
      </w:pPr>
      <w:r w:rsidRPr="004C2E9E">
        <w:rPr>
          <w:sz w:val="22"/>
          <w:szCs w:val="22"/>
        </w:rPr>
        <w:t>13.</w:t>
      </w:r>
      <w:r w:rsidRPr="004C2E9E">
        <w:rPr>
          <w:sz w:val="22"/>
          <w:szCs w:val="22"/>
        </w:rPr>
        <w:tab/>
        <w:t xml:space="preserve">Clement N, Weir D, Holland J, Gerrand C, Deehan D. Meaningful changes in the Short Form 12 physical and mental summary scores after total knee arthroplasty. </w:t>
      </w:r>
      <w:r w:rsidRPr="004C2E9E">
        <w:rPr>
          <w:i/>
          <w:sz w:val="22"/>
          <w:szCs w:val="22"/>
        </w:rPr>
        <w:t xml:space="preserve">Knee. </w:t>
      </w:r>
      <w:r w:rsidRPr="004C2E9E">
        <w:rPr>
          <w:sz w:val="22"/>
          <w:szCs w:val="22"/>
        </w:rPr>
        <w:t>2019;26(4):861-868.</w:t>
      </w:r>
    </w:p>
    <w:p w14:paraId="779165C3" w14:textId="77777777" w:rsidR="002D3BB7" w:rsidRPr="004C2E9E" w:rsidRDefault="002D3BB7" w:rsidP="00F47F22">
      <w:pPr>
        <w:pStyle w:val="EndNoteBibliography"/>
        <w:spacing w:after="240"/>
        <w:ind w:left="720" w:hanging="720"/>
        <w:rPr>
          <w:sz w:val="22"/>
          <w:szCs w:val="22"/>
        </w:rPr>
      </w:pPr>
      <w:r w:rsidRPr="004C2E9E">
        <w:rPr>
          <w:sz w:val="22"/>
          <w:szCs w:val="22"/>
        </w:rPr>
        <w:t>14.</w:t>
      </w:r>
      <w:r w:rsidRPr="004C2E9E">
        <w:rPr>
          <w:sz w:val="22"/>
          <w:szCs w:val="22"/>
        </w:rPr>
        <w:tab/>
        <w:t xml:space="preserve">Smarr KL, Keefer AL. Measures of depression and depressive symptoms. </w:t>
      </w:r>
      <w:r w:rsidRPr="004C2E9E">
        <w:rPr>
          <w:i/>
          <w:sz w:val="22"/>
          <w:szCs w:val="22"/>
        </w:rPr>
        <w:t xml:space="preserve">Arthritis Care Res (Hoboken). </w:t>
      </w:r>
      <w:r w:rsidRPr="004C2E9E">
        <w:rPr>
          <w:sz w:val="22"/>
          <w:szCs w:val="22"/>
        </w:rPr>
        <w:t>2020;72 Suppl 10:608-629.</w:t>
      </w:r>
    </w:p>
    <w:p w14:paraId="1FF9D404" w14:textId="77777777" w:rsidR="002D3BB7" w:rsidRPr="004C2E9E" w:rsidRDefault="002D3BB7" w:rsidP="00F47F22">
      <w:pPr>
        <w:pStyle w:val="EndNoteBibliography"/>
        <w:spacing w:after="240"/>
        <w:ind w:left="720" w:hanging="720"/>
        <w:rPr>
          <w:sz w:val="22"/>
          <w:szCs w:val="22"/>
        </w:rPr>
      </w:pPr>
      <w:r w:rsidRPr="004C2E9E">
        <w:rPr>
          <w:sz w:val="22"/>
          <w:szCs w:val="22"/>
        </w:rPr>
        <w:lastRenderedPageBreak/>
        <w:t>15.</w:t>
      </w:r>
      <w:r w:rsidRPr="004C2E9E">
        <w:rPr>
          <w:sz w:val="22"/>
          <w:szCs w:val="22"/>
        </w:rPr>
        <w:tab/>
        <w:t xml:space="preserve">Ridgeway G, McCaffrey D, </w:t>
      </w:r>
      <w:bookmarkStart w:id="0" w:name="_GoBack"/>
      <w:r w:rsidRPr="004C2E9E">
        <w:rPr>
          <w:sz w:val="22"/>
          <w:szCs w:val="22"/>
        </w:rPr>
        <w:t xml:space="preserve">Morral A, Burgette L, Griffin BA. </w:t>
      </w:r>
      <w:r w:rsidRPr="004C2E9E">
        <w:rPr>
          <w:i/>
          <w:sz w:val="22"/>
          <w:szCs w:val="22"/>
        </w:rPr>
        <w:t xml:space="preserve">Toolkit for Weighting and Analysis of Nonequivalent Groups: A tutorial for the twang </w:t>
      </w:r>
      <w:bookmarkEnd w:id="0"/>
      <w:r w:rsidRPr="004C2E9E">
        <w:rPr>
          <w:i/>
          <w:sz w:val="22"/>
          <w:szCs w:val="22"/>
        </w:rPr>
        <w:t xml:space="preserve">package. </w:t>
      </w:r>
      <w:r w:rsidRPr="004C2E9E">
        <w:rPr>
          <w:sz w:val="22"/>
          <w:szCs w:val="22"/>
        </w:rPr>
        <w:t>2017. http://cran.r-project.org/web/packages/twang/vignettes/twang.pdf.</w:t>
      </w:r>
    </w:p>
    <w:p w14:paraId="4E475FC4" w14:textId="77777777" w:rsidR="002D3BB7" w:rsidRPr="004C2E9E" w:rsidRDefault="002D3BB7" w:rsidP="00F47F22">
      <w:pPr>
        <w:pStyle w:val="EndNoteBibliography"/>
        <w:spacing w:after="240"/>
        <w:ind w:left="720" w:hanging="720"/>
        <w:rPr>
          <w:sz w:val="22"/>
          <w:szCs w:val="22"/>
        </w:rPr>
      </w:pPr>
      <w:r w:rsidRPr="004C2E9E">
        <w:rPr>
          <w:sz w:val="22"/>
          <w:szCs w:val="22"/>
        </w:rPr>
        <w:t>16.</w:t>
      </w:r>
      <w:r w:rsidRPr="004C2E9E">
        <w:rPr>
          <w:sz w:val="22"/>
          <w:szCs w:val="22"/>
        </w:rPr>
        <w:tab/>
        <w:t xml:space="preserve">Hser YI, Evans E, Grella C, Ling W, Anglin D. Long-term course of opioid addiction. </w:t>
      </w:r>
      <w:r w:rsidRPr="004C2E9E">
        <w:rPr>
          <w:i/>
          <w:sz w:val="22"/>
          <w:szCs w:val="22"/>
        </w:rPr>
        <w:t xml:space="preserve">Harv Rev Psychiatry. </w:t>
      </w:r>
      <w:r w:rsidRPr="004C2E9E">
        <w:rPr>
          <w:sz w:val="22"/>
          <w:szCs w:val="22"/>
        </w:rPr>
        <w:t>2015;23(2):76-89.</w:t>
      </w:r>
    </w:p>
    <w:p w14:paraId="2331B287" w14:textId="77777777" w:rsidR="002D3BB7" w:rsidRPr="004C2E9E" w:rsidRDefault="002D3BB7" w:rsidP="00F47F22">
      <w:pPr>
        <w:pStyle w:val="EndNoteBibliography"/>
        <w:spacing w:after="240"/>
        <w:ind w:left="720" w:hanging="720"/>
        <w:rPr>
          <w:sz w:val="22"/>
          <w:szCs w:val="22"/>
        </w:rPr>
      </w:pPr>
      <w:r w:rsidRPr="004C2E9E">
        <w:rPr>
          <w:sz w:val="22"/>
          <w:szCs w:val="22"/>
        </w:rPr>
        <w:t>17.</w:t>
      </w:r>
      <w:r w:rsidRPr="004C2E9E">
        <w:rPr>
          <w:sz w:val="22"/>
          <w:szCs w:val="22"/>
        </w:rPr>
        <w:tab/>
        <w:t xml:space="preserve">Saxon AJ, Akerman SC, Liu CC, Sullivan MA, Silverman BL, Vocci FJ. Extended-release naltrexone (XR-NTX) for opioid use disorder in clinical practice: Vivitrol's cost and treatment outcomes registry. </w:t>
      </w:r>
      <w:r w:rsidRPr="004C2E9E">
        <w:rPr>
          <w:i/>
          <w:sz w:val="22"/>
          <w:szCs w:val="22"/>
        </w:rPr>
        <w:t xml:space="preserve">Addiction. </w:t>
      </w:r>
      <w:r w:rsidRPr="004C2E9E">
        <w:rPr>
          <w:sz w:val="22"/>
          <w:szCs w:val="22"/>
        </w:rPr>
        <w:t>2018;113(8):1477-1487.</w:t>
      </w:r>
    </w:p>
    <w:p w14:paraId="449AB418" w14:textId="77777777" w:rsidR="002D3BB7" w:rsidRPr="004C2E9E" w:rsidRDefault="002D3BB7" w:rsidP="00F47F22">
      <w:pPr>
        <w:pStyle w:val="EndNoteBibliography"/>
        <w:spacing w:after="240"/>
        <w:ind w:left="720" w:hanging="720"/>
        <w:rPr>
          <w:sz w:val="22"/>
          <w:szCs w:val="22"/>
        </w:rPr>
      </w:pPr>
      <w:r w:rsidRPr="004C2E9E">
        <w:rPr>
          <w:sz w:val="22"/>
          <w:szCs w:val="22"/>
        </w:rPr>
        <w:t>18.</w:t>
      </w:r>
      <w:r w:rsidRPr="004C2E9E">
        <w:rPr>
          <w:sz w:val="22"/>
          <w:szCs w:val="22"/>
        </w:rPr>
        <w:tab/>
        <w:t xml:space="preserve">Nasser AF, Heidbreder C, Gomeni R, Fudala PJ, Zheng B, Greenwald MK. A population pharmacokinetic and pharmacodynamic modelling approach to support the clinical development of RBP-6000, a new, subcutaneously injectable, long-acting, sustained-release formulation of buprenorphine, for the treatment of opioid dependence. </w:t>
      </w:r>
      <w:r w:rsidRPr="004C2E9E">
        <w:rPr>
          <w:i/>
          <w:sz w:val="22"/>
          <w:szCs w:val="22"/>
        </w:rPr>
        <w:t xml:space="preserve">Clin Pharmacokinet. </w:t>
      </w:r>
      <w:r w:rsidRPr="004C2E9E">
        <w:rPr>
          <w:sz w:val="22"/>
          <w:szCs w:val="22"/>
        </w:rPr>
        <w:t>2014;53(9):813-824.</w:t>
      </w:r>
    </w:p>
    <w:p w14:paraId="7DFBC865" w14:textId="77777777" w:rsidR="002D3BB7" w:rsidRPr="004C2E9E" w:rsidRDefault="002D3BB7" w:rsidP="00F47F22">
      <w:pPr>
        <w:pStyle w:val="EndNoteBibliography"/>
        <w:spacing w:after="240"/>
        <w:ind w:left="720" w:hanging="720"/>
        <w:rPr>
          <w:sz w:val="22"/>
          <w:szCs w:val="22"/>
        </w:rPr>
      </w:pPr>
      <w:r w:rsidRPr="004C2E9E">
        <w:rPr>
          <w:sz w:val="22"/>
          <w:szCs w:val="22"/>
        </w:rPr>
        <w:t>19.</w:t>
      </w:r>
      <w:r w:rsidRPr="004C2E9E">
        <w:rPr>
          <w:sz w:val="22"/>
          <w:szCs w:val="22"/>
        </w:rPr>
        <w:tab/>
        <w:t xml:space="preserve">Laffont CM, Gomeni R, Heidbreder C, Jones JP, 3rd, Nasser AF. Population pharmacokinetic modeling after repeated administrations of RBP-6000, a new, subcutaneously injectable, long-acting, sustained-release formulation of buprenorphine, for the treatment of opioid use disorder. </w:t>
      </w:r>
      <w:r w:rsidRPr="004C2E9E">
        <w:rPr>
          <w:i/>
          <w:sz w:val="22"/>
          <w:szCs w:val="22"/>
        </w:rPr>
        <w:t xml:space="preserve">J Clin Pharmacol. </w:t>
      </w:r>
      <w:r w:rsidRPr="004C2E9E">
        <w:rPr>
          <w:sz w:val="22"/>
          <w:szCs w:val="22"/>
        </w:rPr>
        <w:t>2016;56(7):806-815.</w:t>
      </w:r>
    </w:p>
    <w:p w14:paraId="3F43B610" w14:textId="77777777" w:rsidR="002D3BB7" w:rsidRPr="004C2E9E" w:rsidRDefault="002D3BB7" w:rsidP="00F47F22">
      <w:pPr>
        <w:pStyle w:val="EndNoteBibliography"/>
        <w:spacing w:after="240"/>
        <w:ind w:left="720" w:hanging="720"/>
        <w:rPr>
          <w:sz w:val="22"/>
          <w:szCs w:val="22"/>
        </w:rPr>
      </w:pPr>
      <w:r w:rsidRPr="004C2E9E">
        <w:rPr>
          <w:sz w:val="22"/>
          <w:szCs w:val="22"/>
        </w:rPr>
        <w:t>20.</w:t>
      </w:r>
      <w:r w:rsidRPr="004C2E9E">
        <w:rPr>
          <w:sz w:val="22"/>
          <w:szCs w:val="22"/>
        </w:rPr>
        <w:tab/>
        <w:t xml:space="preserve">Nasser AF, Greenwald MK, Vince B, et al. Sustained-release buprenorphine (RBP-6000) blocks the effects of opioid challenge with hydromorphone in subjects with opioid use disorder. </w:t>
      </w:r>
      <w:r w:rsidRPr="004C2E9E">
        <w:rPr>
          <w:i/>
          <w:sz w:val="22"/>
          <w:szCs w:val="22"/>
        </w:rPr>
        <w:t xml:space="preserve">J Clin Psychopharmacol. </w:t>
      </w:r>
      <w:r w:rsidRPr="004C2E9E">
        <w:rPr>
          <w:sz w:val="22"/>
          <w:szCs w:val="22"/>
        </w:rPr>
        <w:t>2016;36(1):18-26.</w:t>
      </w:r>
    </w:p>
    <w:p w14:paraId="23AC68E5" w14:textId="77777777" w:rsidR="002D3BB7" w:rsidRPr="004C2E9E" w:rsidRDefault="002D3BB7" w:rsidP="00F47F22">
      <w:pPr>
        <w:pStyle w:val="EndNoteBibliography"/>
        <w:spacing w:after="240"/>
        <w:ind w:left="720" w:hanging="720"/>
        <w:rPr>
          <w:sz w:val="22"/>
          <w:szCs w:val="22"/>
        </w:rPr>
      </w:pPr>
      <w:r w:rsidRPr="004C2E9E">
        <w:rPr>
          <w:sz w:val="22"/>
          <w:szCs w:val="22"/>
        </w:rPr>
        <w:lastRenderedPageBreak/>
        <w:t>21.</w:t>
      </w:r>
      <w:r w:rsidRPr="004C2E9E">
        <w:rPr>
          <w:sz w:val="22"/>
          <w:szCs w:val="22"/>
        </w:rPr>
        <w:tab/>
        <w:t xml:space="preserve">Samples H, Williams AR, Crystal S, Olfson M. Impact of long-term buprenorphine treatment on adverse health care outcomes in Medicaid. </w:t>
      </w:r>
      <w:r w:rsidRPr="004C2E9E">
        <w:rPr>
          <w:i/>
          <w:sz w:val="22"/>
          <w:szCs w:val="22"/>
        </w:rPr>
        <w:t xml:space="preserve">Health Aff (Millwood). </w:t>
      </w:r>
      <w:r w:rsidRPr="004C2E9E">
        <w:rPr>
          <w:sz w:val="22"/>
          <w:szCs w:val="22"/>
        </w:rPr>
        <w:t>2020;39(5):747-755.</w:t>
      </w:r>
    </w:p>
    <w:p w14:paraId="662E7842" w14:textId="11CD916F" w:rsidR="002D3BB7" w:rsidRPr="004C2E9E" w:rsidRDefault="002D3BB7" w:rsidP="002D3BB7">
      <w:pPr>
        <w:pStyle w:val="EndNoteBibliography"/>
        <w:ind w:left="720" w:hanging="720"/>
        <w:rPr>
          <w:sz w:val="22"/>
          <w:szCs w:val="22"/>
        </w:rPr>
      </w:pPr>
      <w:r w:rsidRPr="004C2E9E">
        <w:rPr>
          <w:sz w:val="22"/>
          <w:szCs w:val="22"/>
        </w:rPr>
        <w:t>22.</w:t>
      </w:r>
      <w:r w:rsidRPr="004C2E9E">
        <w:rPr>
          <w:sz w:val="22"/>
          <w:szCs w:val="22"/>
        </w:rPr>
        <w:tab/>
        <w:t xml:space="preserve">McCarney R, Warner J, Iliffe S, van Haselen R, Griffin M, Fisher P. The Hawthorne effect: a randomised, controlled trial. </w:t>
      </w:r>
      <w:r w:rsidRPr="004C2E9E">
        <w:rPr>
          <w:i/>
          <w:sz w:val="22"/>
          <w:szCs w:val="22"/>
        </w:rPr>
        <w:t xml:space="preserve">BMC Med Res Methodol. </w:t>
      </w:r>
      <w:r w:rsidRPr="004C2E9E">
        <w:rPr>
          <w:sz w:val="22"/>
          <w:szCs w:val="22"/>
        </w:rPr>
        <w:t>2007;7:30.</w:t>
      </w:r>
    </w:p>
    <w:sectPr w:rsidR="002D3BB7" w:rsidRPr="004C2E9E" w:rsidSect="002D3BB7">
      <w:footerReference w:type="default" r:id="rId26"/>
      <w:pgSz w:w="12240" w:h="15840"/>
      <w:pgMar w:top="1440" w:right="1440" w:bottom="1440" w:left="1440" w:header="720" w:footer="720" w:gutter="0"/>
      <w:lnNumType w:countBy="1" w:restart="continuou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546921A" w14:textId="77777777" w:rsidR="0033112B" w:rsidRDefault="0033112B">
      <w:pPr>
        <w:spacing w:after="0" w:line="240" w:lineRule="auto"/>
      </w:pPr>
      <w:r>
        <w:separator/>
      </w:r>
    </w:p>
  </w:endnote>
  <w:endnote w:type="continuationSeparator" w:id="0">
    <w:p w14:paraId="24449A89" w14:textId="77777777" w:rsidR="0033112B" w:rsidRDefault="003311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11285570"/>
      <w:docPartObj>
        <w:docPartGallery w:val="Page Numbers (Bottom of Page)"/>
        <w:docPartUnique/>
      </w:docPartObj>
    </w:sdtPr>
    <w:sdtEndPr>
      <w:rPr>
        <w:noProof/>
      </w:rPr>
    </w:sdtEndPr>
    <w:sdtContent>
      <w:p w14:paraId="40729674" w14:textId="41C8C3B1" w:rsidR="00F53312" w:rsidRDefault="006E5E44">
        <w:pPr>
          <w:pStyle w:val="Footer"/>
          <w:jc w:val="right"/>
        </w:pPr>
        <w:r>
          <w:fldChar w:fldCharType="begin"/>
        </w:r>
        <w:r>
          <w:instrText xml:space="preserve"> PAGE   \* MERGEFORMAT </w:instrText>
        </w:r>
        <w:r>
          <w:fldChar w:fldCharType="separate"/>
        </w:r>
        <w:r w:rsidR="004144FC">
          <w:rPr>
            <w:noProof/>
          </w:rPr>
          <w:t>21</w:t>
        </w:r>
        <w:r>
          <w:rPr>
            <w:noProof/>
          </w:rPr>
          <w:fldChar w:fldCharType="end"/>
        </w:r>
      </w:p>
    </w:sdtContent>
  </w:sdt>
  <w:p w14:paraId="0702B437" w14:textId="77777777" w:rsidR="00F53312" w:rsidRDefault="003311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07C1E18" w14:textId="77777777" w:rsidR="0033112B" w:rsidRDefault="0033112B">
      <w:pPr>
        <w:spacing w:after="0" w:line="240" w:lineRule="auto"/>
      </w:pPr>
      <w:r>
        <w:separator/>
      </w:r>
    </w:p>
  </w:footnote>
  <w:footnote w:type="continuationSeparator" w:id="0">
    <w:p w14:paraId="297E36A5" w14:textId="77777777" w:rsidR="0033112B" w:rsidRDefault="0033112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D390C5B"/>
    <w:multiLevelType w:val="multilevel"/>
    <w:tmpl w:val="6396EB2A"/>
    <w:lvl w:ilvl="0">
      <w:start w:val="1"/>
      <w:numFmt w:val="decimal"/>
      <w:pStyle w:val="Heading1"/>
      <w:lvlText w:val="%1"/>
      <w:lvlJc w:val="left"/>
      <w:pPr>
        <w:ind w:left="432" w:hanging="432"/>
      </w:pPr>
    </w:lvl>
    <w:lvl w:ilvl="1">
      <w:start w:val="1"/>
      <w:numFmt w:val="decimal"/>
      <w:pStyle w:val="Heading2"/>
      <w:lvlText w:val="%1.%2"/>
      <w:lvlJc w:val="left"/>
      <w:pPr>
        <w:ind w:left="453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 w15:restartNumberingAfterBreak="0">
    <w:nsid w:val="6A3124F9"/>
    <w:multiLevelType w:val="hybridMultilevel"/>
    <w:tmpl w:val="DC80BC8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C116628"/>
    <w:multiLevelType w:val="hybridMultilevel"/>
    <w:tmpl w:val="EACACCD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0"/>
    <w:lvlOverride w:ilvl="0">
      <w:startOverride w:val="7"/>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1&lt;/Suspended&gt;&lt;/ENInstantFormat&gt;"/>
  </w:docVars>
  <w:rsids>
    <w:rsidRoot w:val="002D3BB7"/>
    <w:rsid w:val="000B69E9"/>
    <w:rsid w:val="002D3BB7"/>
    <w:rsid w:val="0033112B"/>
    <w:rsid w:val="004144FC"/>
    <w:rsid w:val="004C2E9E"/>
    <w:rsid w:val="005E1AC1"/>
    <w:rsid w:val="006E5E44"/>
    <w:rsid w:val="00763CAD"/>
    <w:rsid w:val="007D7B8F"/>
    <w:rsid w:val="00E80F54"/>
    <w:rsid w:val="00F60BB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5C55DE"/>
  <w15:chartTrackingRefBased/>
  <w15:docId w15:val="{53C5EF0E-12D3-4D51-89AB-77B99327C4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D3BB7"/>
  </w:style>
  <w:style w:type="paragraph" w:styleId="Heading1">
    <w:name w:val="heading 1"/>
    <w:basedOn w:val="Normal"/>
    <w:next w:val="Normal"/>
    <w:link w:val="Heading1Char"/>
    <w:uiPriority w:val="9"/>
    <w:qFormat/>
    <w:rsid w:val="002D3BB7"/>
    <w:pPr>
      <w:keepNext/>
      <w:keepLines/>
      <w:numPr>
        <w:numId w:val="1"/>
      </w:numPr>
      <w:spacing w:before="240" w:after="0"/>
      <w:outlineLvl w:val="0"/>
    </w:pPr>
    <w:rPr>
      <w:rFonts w:asciiTheme="majorHAnsi" w:eastAsiaTheme="majorEastAsia" w:hAnsiTheme="majorHAnsi" w:cstheme="majorBidi"/>
      <w:sz w:val="32"/>
      <w:szCs w:val="32"/>
    </w:rPr>
  </w:style>
  <w:style w:type="paragraph" w:styleId="Heading2">
    <w:name w:val="heading 2"/>
    <w:basedOn w:val="Normal"/>
    <w:next w:val="Normal"/>
    <w:link w:val="Heading2Char"/>
    <w:uiPriority w:val="9"/>
    <w:unhideWhenUsed/>
    <w:qFormat/>
    <w:rsid w:val="002D3BB7"/>
    <w:pPr>
      <w:keepNext/>
      <w:keepLines/>
      <w:numPr>
        <w:ilvl w:val="1"/>
        <w:numId w:val="1"/>
      </w:numPr>
      <w:spacing w:before="40" w:after="60"/>
      <w:ind w:left="540" w:hanging="540"/>
      <w:outlineLvl w:val="1"/>
    </w:pPr>
    <w:rPr>
      <w:rFonts w:asciiTheme="majorHAnsi" w:eastAsiaTheme="majorEastAsia" w:hAnsiTheme="majorHAnsi" w:cstheme="majorBidi"/>
      <w:sz w:val="26"/>
      <w:szCs w:val="26"/>
    </w:rPr>
  </w:style>
  <w:style w:type="paragraph" w:styleId="Heading3">
    <w:name w:val="heading 3"/>
    <w:basedOn w:val="Normal"/>
    <w:next w:val="Normal"/>
    <w:link w:val="Heading3Char"/>
    <w:uiPriority w:val="9"/>
    <w:unhideWhenUsed/>
    <w:qFormat/>
    <w:rsid w:val="002D3BB7"/>
    <w:pPr>
      <w:keepNext/>
      <w:keepLines/>
      <w:numPr>
        <w:ilvl w:val="2"/>
        <w:numId w:val="1"/>
      </w:numPr>
      <w:spacing w:before="40" w:after="0"/>
      <w:outlineLvl w:val="2"/>
    </w:pPr>
    <w:rPr>
      <w:rFonts w:asciiTheme="majorHAnsi" w:eastAsiaTheme="majorEastAsia" w:hAnsiTheme="majorHAnsi" w:cstheme="majorBidi"/>
      <w:sz w:val="24"/>
      <w:szCs w:val="24"/>
    </w:rPr>
  </w:style>
  <w:style w:type="paragraph" w:styleId="Heading4">
    <w:name w:val="heading 4"/>
    <w:basedOn w:val="Normal"/>
    <w:next w:val="Normal"/>
    <w:link w:val="Heading4Char"/>
    <w:uiPriority w:val="9"/>
    <w:semiHidden/>
    <w:unhideWhenUsed/>
    <w:qFormat/>
    <w:rsid w:val="002D3BB7"/>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2D3BB7"/>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2D3BB7"/>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2D3BB7"/>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2D3BB7"/>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2D3BB7"/>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D3BB7"/>
    <w:rPr>
      <w:rFonts w:asciiTheme="majorHAnsi" w:eastAsiaTheme="majorEastAsia" w:hAnsiTheme="majorHAnsi" w:cstheme="majorBidi"/>
      <w:sz w:val="32"/>
      <w:szCs w:val="32"/>
    </w:rPr>
  </w:style>
  <w:style w:type="character" w:customStyle="1" w:styleId="Heading2Char">
    <w:name w:val="Heading 2 Char"/>
    <w:basedOn w:val="DefaultParagraphFont"/>
    <w:link w:val="Heading2"/>
    <w:uiPriority w:val="9"/>
    <w:rsid w:val="002D3BB7"/>
    <w:rPr>
      <w:rFonts w:asciiTheme="majorHAnsi" w:eastAsiaTheme="majorEastAsia" w:hAnsiTheme="majorHAnsi" w:cstheme="majorBidi"/>
      <w:sz w:val="26"/>
      <w:szCs w:val="26"/>
    </w:rPr>
  </w:style>
  <w:style w:type="character" w:customStyle="1" w:styleId="Heading3Char">
    <w:name w:val="Heading 3 Char"/>
    <w:basedOn w:val="DefaultParagraphFont"/>
    <w:link w:val="Heading3"/>
    <w:uiPriority w:val="9"/>
    <w:rsid w:val="002D3BB7"/>
    <w:rPr>
      <w:rFonts w:asciiTheme="majorHAnsi" w:eastAsiaTheme="majorEastAsia" w:hAnsiTheme="majorHAnsi" w:cstheme="majorBidi"/>
      <w:sz w:val="24"/>
      <w:szCs w:val="24"/>
    </w:rPr>
  </w:style>
  <w:style w:type="character" w:customStyle="1" w:styleId="Heading4Char">
    <w:name w:val="Heading 4 Char"/>
    <w:basedOn w:val="DefaultParagraphFont"/>
    <w:link w:val="Heading4"/>
    <w:uiPriority w:val="9"/>
    <w:semiHidden/>
    <w:rsid w:val="002D3BB7"/>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2D3BB7"/>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2D3BB7"/>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2D3BB7"/>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2D3BB7"/>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2D3BB7"/>
    <w:rPr>
      <w:rFonts w:asciiTheme="majorHAnsi" w:eastAsiaTheme="majorEastAsia" w:hAnsiTheme="majorHAnsi" w:cstheme="majorBidi"/>
      <w:i/>
      <w:iCs/>
      <w:color w:val="272727" w:themeColor="text1" w:themeTint="D8"/>
      <w:sz w:val="21"/>
      <w:szCs w:val="21"/>
    </w:rPr>
  </w:style>
  <w:style w:type="character" w:styleId="Hyperlink">
    <w:name w:val="Hyperlink"/>
    <w:basedOn w:val="DefaultParagraphFont"/>
    <w:uiPriority w:val="99"/>
    <w:unhideWhenUsed/>
    <w:rsid w:val="002D3BB7"/>
    <w:rPr>
      <w:color w:val="0000FF"/>
      <w:u w:val="single"/>
    </w:rPr>
  </w:style>
  <w:style w:type="character" w:customStyle="1" w:styleId="UnresolvedMention1">
    <w:name w:val="Unresolved Mention1"/>
    <w:basedOn w:val="DefaultParagraphFont"/>
    <w:uiPriority w:val="99"/>
    <w:semiHidden/>
    <w:unhideWhenUsed/>
    <w:rsid w:val="002D3BB7"/>
    <w:rPr>
      <w:color w:val="605E5C"/>
      <w:shd w:val="clear" w:color="auto" w:fill="E1DFDD"/>
    </w:rPr>
  </w:style>
  <w:style w:type="paragraph" w:customStyle="1" w:styleId="Paragraph">
    <w:name w:val="Paragraph"/>
    <w:basedOn w:val="Normal"/>
    <w:link w:val="ParagraphChar"/>
    <w:qFormat/>
    <w:rsid w:val="002D3BB7"/>
    <w:pPr>
      <w:spacing w:after="0" w:line="480" w:lineRule="auto"/>
    </w:pPr>
    <w:rPr>
      <w:rFonts w:ascii="Arial" w:eastAsia="Times New Roman" w:hAnsi="Arial" w:cs="Times New Roman"/>
      <w:szCs w:val="24"/>
      <w:lang w:val="en-GB"/>
    </w:rPr>
  </w:style>
  <w:style w:type="character" w:customStyle="1" w:styleId="ParagraphChar">
    <w:name w:val="Paragraph Char"/>
    <w:link w:val="Paragraph"/>
    <w:locked/>
    <w:rsid w:val="002D3BB7"/>
    <w:rPr>
      <w:rFonts w:ascii="Arial" w:eastAsia="Times New Roman" w:hAnsi="Arial" w:cs="Times New Roman"/>
      <w:szCs w:val="24"/>
      <w:lang w:val="en-GB"/>
    </w:rPr>
  </w:style>
  <w:style w:type="character" w:styleId="CommentReference">
    <w:name w:val="annotation reference"/>
    <w:basedOn w:val="DefaultParagraphFont"/>
    <w:uiPriority w:val="99"/>
    <w:semiHidden/>
    <w:unhideWhenUsed/>
    <w:rsid w:val="002D3BB7"/>
    <w:rPr>
      <w:sz w:val="16"/>
      <w:szCs w:val="16"/>
    </w:rPr>
  </w:style>
  <w:style w:type="paragraph" w:styleId="CommentText">
    <w:name w:val="annotation text"/>
    <w:basedOn w:val="Normal"/>
    <w:link w:val="CommentTextChar"/>
    <w:uiPriority w:val="99"/>
    <w:unhideWhenUsed/>
    <w:rsid w:val="002D3BB7"/>
    <w:pPr>
      <w:spacing w:line="240" w:lineRule="auto"/>
    </w:pPr>
    <w:rPr>
      <w:sz w:val="20"/>
      <w:szCs w:val="20"/>
    </w:rPr>
  </w:style>
  <w:style w:type="character" w:customStyle="1" w:styleId="CommentTextChar">
    <w:name w:val="Comment Text Char"/>
    <w:basedOn w:val="DefaultParagraphFont"/>
    <w:link w:val="CommentText"/>
    <w:uiPriority w:val="99"/>
    <w:rsid w:val="002D3BB7"/>
    <w:rPr>
      <w:sz w:val="20"/>
      <w:szCs w:val="20"/>
    </w:rPr>
  </w:style>
  <w:style w:type="paragraph" w:styleId="CommentSubject">
    <w:name w:val="annotation subject"/>
    <w:basedOn w:val="CommentText"/>
    <w:next w:val="CommentText"/>
    <w:link w:val="CommentSubjectChar"/>
    <w:uiPriority w:val="99"/>
    <w:semiHidden/>
    <w:unhideWhenUsed/>
    <w:rsid w:val="002D3BB7"/>
    <w:rPr>
      <w:b/>
      <w:bCs/>
    </w:rPr>
  </w:style>
  <w:style w:type="character" w:customStyle="1" w:styleId="CommentSubjectChar">
    <w:name w:val="Comment Subject Char"/>
    <w:basedOn w:val="CommentTextChar"/>
    <w:link w:val="CommentSubject"/>
    <w:uiPriority w:val="99"/>
    <w:semiHidden/>
    <w:rsid w:val="002D3BB7"/>
    <w:rPr>
      <w:b/>
      <w:bCs/>
      <w:sz w:val="20"/>
      <w:szCs w:val="20"/>
    </w:rPr>
  </w:style>
  <w:style w:type="paragraph" w:styleId="BalloonText">
    <w:name w:val="Balloon Text"/>
    <w:basedOn w:val="Normal"/>
    <w:link w:val="BalloonTextChar"/>
    <w:uiPriority w:val="99"/>
    <w:semiHidden/>
    <w:unhideWhenUsed/>
    <w:rsid w:val="002D3BB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D3BB7"/>
    <w:rPr>
      <w:rFonts w:ascii="Segoe UI" w:hAnsi="Segoe UI" w:cs="Segoe UI"/>
      <w:sz w:val="18"/>
      <w:szCs w:val="18"/>
    </w:rPr>
  </w:style>
  <w:style w:type="paragraph" w:styleId="NormalWeb">
    <w:name w:val="Normal (Web)"/>
    <w:basedOn w:val="Normal"/>
    <w:uiPriority w:val="99"/>
    <w:unhideWhenUsed/>
    <w:rsid w:val="002D3BB7"/>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2D3BB7"/>
    <w:rPr>
      <w:b/>
      <w:bCs/>
    </w:rPr>
  </w:style>
  <w:style w:type="character" w:styleId="Emphasis">
    <w:name w:val="Emphasis"/>
    <w:basedOn w:val="DefaultParagraphFont"/>
    <w:uiPriority w:val="20"/>
    <w:qFormat/>
    <w:rsid w:val="002D3BB7"/>
    <w:rPr>
      <w:i/>
      <w:iCs/>
    </w:rPr>
  </w:style>
  <w:style w:type="character" w:customStyle="1" w:styleId="UnresolvedMention2">
    <w:name w:val="Unresolved Mention2"/>
    <w:basedOn w:val="DefaultParagraphFont"/>
    <w:uiPriority w:val="99"/>
    <w:semiHidden/>
    <w:unhideWhenUsed/>
    <w:rsid w:val="002D3BB7"/>
    <w:rPr>
      <w:color w:val="605E5C"/>
      <w:shd w:val="clear" w:color="auto" w:fill="E1DFDD"/>
    </w:rPr>
  </w:style>
  <w:style w:type="paragraph" w:styleId="ListParagraph">
    <w:name w:val="List Paragraph"/>
    <w:basedOn w:val="Normal"/>
    <w:uiPriority w:val="34"/>
    <w:qFormat/>
    <w:rsid w:val="002D3BB7"/>
    <w:pPr>
      <w:ind w:left="720"/>
      <w:contextualSpacing/>
    </w:pPr>
  </w:style>
  <w:style w:type="paragraph" w:customStyle="1" w:styleId="C-BodyText">
    <w:name w:val="C-Body Text"/>
    <w:basedOn w:val="Normal"/>
    <w:rsid w:val="002D3BB7"/>
    <w:pPr>
      <w:spacing w:after="240" w:line="240" w:lineRule="auto"/>
    </w:pPr>
    <w:rPr>
      <w:rFonts w:ascii="Times New Roman" w:eastAsia="Times New Roman" w:hAnsi="Times New Roman" w:cs="Times New Roman"/>
      <w:sz w:val="24"/>
      <w:szCs w:val="24"/>
    </w:rPr>
  </w:style>
  <w:style w:type="table" w:styleId="TableGrid">
    <w:name w:val="Table Grid"/>
    <w:basedOn w:val="TableNormal"/>
    <w:uiPriority w:val="39"/>
    <w:rsid w:val="002D3BB7"/>
    <w:pPr>
      <w:spacing w:after="240" w:line="240" w:lineRule="auto"/>
    </w:pPr>
    <w:rPr>
      <w:rFonts w:ascii="Times New Roman" w:eastAsia="Times New Roman" w:hAnsi="Times New Roman" w:cs="Times New Roman"/>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lastRow">
      <w:tblPr/>
      <w:tcPr>
        <w:tcBorders>
          <w:top w:val="nil"/>
          <w:left w:val="nil"/>
          <w:bottom w:val="nil"/>
          <w:right w:val="nil"/>
          <w:insideH w:val="nil"/>
          <w:insideV w:val="nil"/>
          <w:tl2br w:val="nil"/>
          <w:tr2bl w:val="nil"/>
        </w:tcBorders>
      </w:tcPr>
    </w:tblStylePr>
  </w:style>
  <w:style w:type="paragraph" w:customStyle="1" w:styleId="C-TableText">
    <w:name w:val="C-Table Text"/>
    <w:rsid w:val="002D3BB7"/>
    <w:pPr>
      <w:spacing w:before="60" w:after="60" w:line="240" w:lineRule="auto"/>
    </w:pPr>
    <w:rPr>
      <w:rFonts w:ascii="Times New Roman" w:eastAsia="Times New Roman" w:hAnsi="Times New Roman" w:cs="Times New Roman"/>
      <w:szCs w:val="20"/>
    </w:rPr>
  </w:style>
  <w:style w:type="paragraph" w:styleId="NoSpacing">
    <w:name w:val="No Spacing"/>
    <w:uiPriority w:val="1"/>
    <w:qFormat/>
    <w:rsid w:val="002D3BB7"/>
    <w:pPr>
      <w:spacing w:after="0" w:line="240" w:lineRule="auto"/>
    </w:pPr>
  </w:style>
  <w:style w:type="table" w:customStyle="1" w:styleId="TableGridLight1">
    <w:name w:val="Table Grid Light1"/>
    <w:basedOn w:val="TableNormal"/>
    <w:uiPriority w:val="40"/>
    <w:rsid w:val="002D3BB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GridTable1Light1">
    <w:name w:val="Grid Table 1 Light1"/>
    <w:basedOn w:val="TableNormal"/>
    <w:uiPriority w:val="46"/>
    <w:rsid w:val="002D3BB7"/>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Caption">
    <w:name w:val="caption"/>
    <w:aliases w:val="Caption Char Char Char Char Char Char Char Char Char Char Char"/>
    <w:basedOn w:val="Normal"/>
    <w:next w:val="Normal"/>
    <w:link w:val="CaptionChar"/>
    <w:qFormat/>
    <w:rsid w:val="002D3BB7"/>
    <w:pPr>
      <w:keepNext/>
      <w:tabs>
        <w:tab w:val="left" w:pos="1134"/>
      </w:tabs>
      <w:spacing w:before="120" w:after="240" w:line="240" w:lineRule="auto"/>
      <w:ind w:left="1134" w:hanging="1134"/>
    </w:pPr>
    <w:rPr>
      <w:rFonts w:ascii="Times New Roman" w:eastAsia="Times New Roman" w:hAnsi="Times New Roman" w:cs="Times New Roman"/>
      <w:b/>
      <w:bCs/>
      <w:sz w:val="24"/>
      <w:szCs w:val="20"/>
    </w:rPr>
  </w:style>
  <w:style w:type="character" w:customStyle="1" w:styleId="CaptionChar">
    <w:name w:val="Caption Char"/>
    <w:aliases w:val="Caption Char Char Char Char Char Char Char Char Char Char Char Char"/>
    <w:link w:val="Caption"/>
    <w:rsid w:val="002D3BB7"/>
    <w:rPr>
      <w:rFonts w:ascii="Times New Roman" w:eastAsia="Times New Roman" w:hAnsi="Times New Roman" w:cs="Times New Roman"/>
      <w:b/>
      <w:bCs/>
      <w:sz w:val="24"/>
      <w:szCs w:val="20"/>
    </w:rPr>
  </w:style>
  <w:style w:type="paragraph" w:customStyle="1" w:styleId="C-PLR-TableFootnote">
    <w:name w:val="C-PLR-Table Footnote"/>
    <w:next w:val="Normal"/>
    <w:rsid w:val="002D3BB7"/>
    <w:pPr>
      <w:tabs>
        <w:tab w:val="left" w:pos="432"/>
      </w:tabs>
      <w:spacing w:after="0" w:line="240" w:lineRule="auto"/>
      <w:ind w:left="432" w:hanging="432"/>
    </w:pPr>
    <w:rPr>
      <w:rFonts w:ascii="Times New Roman" w:eastAsia="Times New Roman" w:hAnsi="Times New Roman" w:cs="Times New Roman"/>
      <w:sz w:val="16"/>
      <w:szCs w:val="20"/>
    </w:rPr>
  </w:style>
  <w:style w:type="character" w:customStyle="1" w:styleId="C-Hyperlink">
    <w:name w:val="C-Hyperlink"/>
    <w:rsid w:val="002D3BB7"/>
    <w:rPr>
      <w:color w:val="0000FF"/>
    </w:rPr>
  </w:style>
  <w:style w:type="paragraph" w:customStyle="1" w:styleId="C-PLR-BodyText">
    <w:name w:val="C-PLR-Body Text"/>
    <w:rsid w:val="002D3BB7"/>
    <w:pPr>
      <w:spacing w:before="60" w:after="60" w:line="240" w:lineRule="auto"/>
    </w:pPr>
    <w:rPr>
      <w:rFonts w:ascii="Times New Roman" w:eastAsia="Times New Roman" w:hAnsi="Times New Roman" w:cs="Times New Roman"/>
      <w:sz w:val="20"/>
      <w:szCs w:val="20"/>
    </w:rPr>
  </w:style>
  <w:style w:type="paragraph" w:customStyle="1" w:styleId="EndNoteBibliographyTitle">
    <w:name w:val="EndNote Bibliography Title"/>
    <w:basedOn w:val="Normal"/>
    <w:link w:val="EndNoteBibliographyTitleChar"/>
    <w:rsid w:val="002D3BB7"/>
    <w:pPr>
      <w:spacing w:after="0"/>
      <w:jc w:val="center"/>
    </w:pPr>
    <w:rPr>
      <w:rFonts w:ascii="Calibri" w:eastAsiaTheme="majorEastAsia" w:hAnsi="Calibri" w:cs="Calibri"/>
      <w:noProof/>
      <w:sz w:val="26"/>
      <w:szCs w:val="26"/>
    </w:rPr>
  </w:style>
  <w:style w:type="character" w:customStyle="1" w:styleId="EndNoteBibliographyTitleChar">
    <w:name w:val="EndNote Bibliography Title Char"/>
    <w:basedOn w:val="Heading2Char"/>
    <w:link w:val="EndNoteBibliographyTitle"/>
    <w:rsid w:val="002D3BB7"/>
    <w:rPr>
      <w:rFonts w:ascii="Calibri" w:eastAsiaTheme="majorEastAsia" w:hAnsi="Calibri" w:cs="Calibri"/>
      <w:noProof/>
      <w:sz w:val="26"/>
      <w:szCs w:val="26"/>
    </w:rPr>
  </w:style>
  <w:style w:type="paragraph" w:customStyle="1" w:styleId="EndNoteBibliography">
    <w:name w:val="EndNote Bibliography"/>
    <w:basedOn w:val="Normal"/>
    <w:link w:val="EndNoteBibliographyChar"/>
    <w:rsid w:val="002D3BB7"/>
    <w:pPr>
      <w:spacing w:line="480" w:lineRule="auto"/>
    </w:pPr>
    <w:rPr>
      <w:rFonts w:ascii="Calibri" w:eastAsiaTheme="majorEastAsia" w:hAnsi="Calibri" w:cs="Calibri"/>
      <w:noProof/>
      <w:sz w:val="26"/>
      <w:szCs w:val="26"/>
    </w:rPr>
  </w:style>
  <w:style w:type="character" w:customStyle="1" w:styleId="EndNoteBibliographyChar">
    <w:name w:val="EndNote Bibliography Char"/>
    <w:basedOn w:val="Heading2Char"/>
    <w:link w:val="EndNoteBibliography"/>
    <w:rsid w:val="002D3BB7"/>
    <w:rPr>
      <w:rFonts w:ascii="Calibri" w:eastAsiaTheme="majorEastAsia" w:hAnsi="Calibri" w:cs="Calibri"/>
      <w:noProof/>
      <w:sz w:val="26"/>
      <w:szCs w:val="26"/>
    </w:rPr>
  </w:style>
  <w:style w:type="paragraph" w:customStyle="1" w:styleId="Default">
    <w:name w:val="Default"/>
    <w:rsid w:val="002D3BB7"/>
    <w:pPr>
      <w:autoSpaceDE w:val="0"/>
      <w:autoSpaceDN w:val="0"/>
      <w:adjustRightInd w:val="0"/>
      <w:spacing w:after="0" w:line="240" w:lineRule="auto"/>
    </w:pPr>
    <w:rPr>
      <w:rFonts w:ascii="Calibri" w:hAnsi="Calibri" w:cs="Calibri"/>
      <w:color w:val="000000"/>
      <w:sz w:val="24"/>
      <w:szCs w:val="24"/>
    </w:rPr>
  </w:style>
  <w:style w:type="paragraph" w:styleId="Revision">
    <w:name w:val="Revision"/>
    <w:hidden/>
    <w:uiPriority w:val="99"/>
    <w:semiHidden/>
    <w:rsid w:val="002D3BB7"/>
    <w:pPr>
      <w:spacing w:after="0" w:line="240" w:lineRule="auto"/>
    </w:pPr>
  </w:style>
  <w:style w:type="character" w:customStyle="1" w:styleId="UnresolvedMention3">
    <w:name w:val="Unresolved Mention3"/>
    <w:basedOn w:val="DefaultParagraphFont"/>
    <w:uiPriority w:val="99"/>
    <w:semiHidden/>
    <w:unhideWhenUsed/>
    <w:rsid w:val="002D3BB7"/>
    <w:rPr>
      <w:color w:val="605E5C"/>
      <w:shd w:val="clear" w:color="auto" w:fill="E1DFDD"/>
    </w:rPr>
  </w:style>
  <w:style w:type="character" w:customStyle="1" w:styleId="UnresolvedMention4">
    <w:name w:val="Unresolved Mention4"/>
    <w:basedOn w:val="DefaultParagraphFont"/>
    <w:uiPriority w:val="99"/>
    <w:semiHidden/>
    <w:unhideWhenUsed/>
    <w:rsid w:val="002D3BB7"/>
    <w:rPr>
      <w:color w:val="605E5C"/>
      <w:shd w:val="clear" w:color="auto" w:fill="E1DFDD"/>
    </w:rPr>
  </w:style>
  <w:style w:type="character" w:customStyle="1" w:styleId="UnresolvedMention5">
    <w:name w:val="Unresolved Mention5"/>
    <w:basedOn w:val="DefaultParagraphFont"/>
    <w:uiPriority w:val="99"/>
    <w:semiHidden/>
    <w:unhideWhenUsed/>
    <w:rsid w:val="002D3BB7"/>
    <w:rPr>
      <w:color w:val="605E5C"/>
      <w:shd w:val="clear" w:color="auto" w:fill="E1DFDD"/>
    </w:rPr>
  </w:style>
  <w:style w:type="character" w:customStyle="1" w:styleId="normaltextrun1">
    <w:name w:val="normaltextrun1"/>
    <w:basedOn w:val="DefaultParagraphFont"/>
    <w:rsid w:val="002D3BB7"/>
  </w:style>
  <w:style w:type="character" w:styleId="FollowedHyperlink">
    <w:name w:val="FollowedHyperlink"/>
    <w:basedOn w:val="DefaultParagraphFont"/>
    <w:uiPriority w:val="99"/>
    <w:semiHidden/>
    <w:unhideWhenUsed/>
    <w:rsid w:val="002D3BB7"/>
    <w:rPr>
      <w:color w:val="954F72" w:themeColor="followedHyperlink"/>
      <w:u w:val="single"/>
    </w:rPr>
  </w:style>
  <w:style w:type="character" w:customStyle="1" w:styleId="UnresolvedMention">
    <w:name w:val="Unresolved Mention"/>
    <w:basedOn w:val="DefaultParagraphFont"/>
    <w:uiPriority w:val="99"/>
    <w:unhideWhenUsed/>
    <w:rsid w:val="002D3BB7"/>
    <w:rPr>
      <w:color w:val="605E5C"/>
      <w:shd w:val="clear" w:color="auto" w:fill="E1DFDD"/>
    </w:rPr>
  </w:style>
  <w:style w:type="paragraph" w:customStyle="1" w:styleId="has-text-align-center">
    <w:name w:val="has-text-align-center"/>
    <w:basedOn w:val="Normal"/>
    <w:rsid w:val="002D3BB7"/>
    <w:pPr>
      <w:spacing w:before="100" w:beforeAutospacing="1" w:after="100" w:afterAutospacing="1" w:line="240" w:lineRule="auto"/>
      <w:jc w:val="center"/>
    </w:pPr>
    <w:rPr>
      <w:rFonts w:ascii="Times New Roman" w:eastAsia="Times New Roman" w:hAnsi="Times New Roman" w:cs="Times New Roman"/>
      <w:sz w:val="24"/>
      <w:szCs w:val="24"/>
    </w:rPr>
  </w:style>
  <w:style w:type="character" w:customStyle="1" w:styleId="Mention">
    <w:name w:val="Mention"/>
    <w:basedOn w:val="DefaultParagraphFont"/>
    <w:uiPriority w:val="99"/>
    <w:unhideWhenUsed/>
    <w:rsid w:val="002D3BB7"/>
    <w:rPr>
      <w:color w:val="2B579A"/>
      <w:shd w:val="clear" w:color="auto" w:fill="E1DFDD"/>
    </w:rPr>
  </w:style>
  <w:style w:type="paragraph" w:customStyle="1" w:styleId="msonormal0">
    <w:name w:val="msonormal"/>
    <w:basedOn w:val="Normal"/>
    <w:rsid w:val="002D3BB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nt5">
    <w:name w:val="font5"/>
    <w:basedOn w:val="Normal"/>
    <w:rsid w:val="002D3BB7"/>
    <w:pPr>
      <w:spacing w:before="100" w:beforeAutospacing="1" w:after="100" w:afterAutospacing="1" w:line="240" w:lineRule="auto"/>
    </w:pPr>
    <w:rPr>
      <w:rFonts w:ascii="Trebuchet MS" w:eastAsia="Times New Roman" w:hAnsi="Trebuchet MS" w:cs="Times New Roman"/>
      <w:b/>
      <w:bCs/>
      <w:color w:val="000000"/>
      <w:sz w:val="20"/>
      <w:szCs w:val="20"/>
    </w:rPr>
  </w:style>
  <w:style w:type="paragraph" w:customStyle="1" w:styleId="font6">
    <w:name w:val="font6"/>
    <w:basedOn w:val="Normal"/>
    <w:rsid w:val="002D3BB7"/>
    <w:pPr>
      <w:spacing w:before="100" w:beforeAutospacing="1" w:after="100" w:afterAutospacing="1" w:line="240" w:lineRule="auto"/>
    </w:pPr>
    <w:rPr>
      <w:rFonts w:ascii="Trebuchet MS" w:eastAsia="Times New Roman" w:hAnsi="Trebuchet MS" w:cs="Times New Roman"/>
      <w:color w:val="000000"/>
      <w:sz w:val="20"/>
      <w:szCs w:val="20"/>
    </w:rPr>
  </w:style>
  <w:style w:type="paragraph" w:customStyle="1" w:styleId="xl94">
    <w:name w:val="xl94"/>
    <w:basedOn w:val="Normal"/>
    <w:rsid w:val="002D3BB7"/>
    <w:pPr>
      <w:spacing w:before="100" w:beforeAutospacing="1" w:after="100" w:afterAutospacing="1" w:line="240" w:lineRule="auto"/>
    </w:pPr>
    <w:rPr>
      <w:rFonts w:ascii="Trebuchet MS" w:eastAsia="Times New Roman" w:hAnsi="Trebuchet MS" w:cs="Times New Roman"/>
      <w:sz w:val="20"/>
      <w:szCs w:val="20"/>
    </w:rPr>
  </w:style>
  <w:style w:type="paragraph" w:customStyle="1" w:styleId="xl95">
    <w:name w:val="xl95"/>
    <w:basedOn w:val="Normal"/>
    <w:rsid w:val="002D3BB7"/>
    <w:pPr>
      <w:pBdr>
        <w:top w:val="single" w:sz="8" w:space="0" w:color="000000"/>
        <w:bottom w:val="single" w:sz="4" w:space="0" w:color="000000"/>
      </w:pBdr>
      <w:shd w:val="clear" w:color="000000" w:fill="FFFFFF"/>
      <w:spacing w:before="100" w:beforeAutospacing="1" w:after="100" w:afterAutospacing="1" w:line="240" w:lineRule="auto"/>
      <w:jc w:val="center"/>
      <w:textAlignment w:val="top"/>
    </w:pPr>
    <w:rPr>
      <w:rFonts w:ascii="Trebuchet MS" w:eastAsia="Times New Roman" w:hAnsi="Trebuchet MS" w:cs="Times New Roman"/>
      <w:b/>
      <w:bCs/>
      <w:sz w:val="20"/>
      <w:szCs w:val="20"/>
    </w:rPr>
  </w:style>
  <w:style w:type="paragraph" w:customStyle="1" w:styleId="xl96">
    <w:name w:val="xl96"/>
    <w:basedOn w:val="Normal"/>
    <w:rsid w:val="002D3BB7"/>
    <w:pPr>
      <w:pBdr>
        <w:top w:val="single" w:sz="8"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top"/>
    </w:pPr>
    <w:rPr>
      <w:rFonts w:ascii="Trebuchet MS" w:eastAsia="Times New Roman" w:hAnsi="Trebuchet MS" w:cs="Times New Roman"/>
      <w:b/>
      <w:bCs/>
      <w:sz w:val="20"/>
      <w:szCs w:val="20"/>
    </w:rPr>
  </w:style>
  <w:style w:type="paragraph" w:customStyle="1" w:styleId="xl97">
    <w:name w:val="xl97"/>
    <w:basedOn w:val="Normal"/>
    <w:rsid w:val="002D3BB7"/>
    <w:pPr>
      <w:pBdr>
        <w:top w:val="single" w:sz="8" w:space="0" w:color="000000"/>
        <w:left w:val="single" w:sz="4" w:space="0" w:color="000000"/>
        <w:bottom w:val="single" w:sz="4" w:space="0" w:color="000000"/>
      </w:pBdr>
      <w:shd w:val="clear" w:color="000000" w:fill="FFFFFF"/>
      <w:spacing w:before="100" w:beforeAutospacing="1" w:after="100" w:afterAutospacing="1" w:line="240" w:lineRule="auto"/>
      <w:jc w:val="center"/>
      <w:textAlignment w:val="top"/>
    </w:pPr>
    <w:rPr>
      <w:rFonts w:ascii="Trebuchet MS" w:eastAsia="Times New Roman" w:hAnsi="Trebuchet MS" w:cs="Times New Roman"/>
      <w:b/>
      <w:bCs/>
      <w:sz w:val="20"/>
      <w:szCs w:val="20"/>
    </w:rPr>
  </w:style>
  <w:style w:type="paragraph" w:customStyle="1" w:styleId="xl98">
    <w:name w:val="xl98"/>
    <w:basedOn w:val="Normal"/>
    <w:rsid w:val="002D3BB7"/>
    <w:pPr>
      <w:pBdr>
        <w:top w:val="single" w:sz="4" w:space="0" w:color="000000"/>
        <w:bottom w:val="single" w:sz="4" w:space="0" w:color="000000"/>
      </w:pBdr>
      <w:shd w:val="clear" w:color="000000" w:fill="FFFFFF"/>
      <w:spacing w:before="100" w:beforeAutospacing="1" w:after="100" w:afterAutospacing="1" w:line="240" w:lineRule="auto"/>
      <w:jc w:val="center"/>
      <w:textAlignment w:val="top"/>
    </w:pPr>
    <w:rPr>
      <w:rFonts w:ascii="Trebuchet MS" w:eastAsia="Times New Roman" w:hAnsi="Trebuchet MS" w:cs="Times New Roman"/>
      <w:b/>
      <w:bCs/>
      <w:sz w:val="20"/>
      <w:szCs w:val="20"/>
    </w:rPr>
  </w:style>
  <w:style w:type="paragraph" w:customStyle="1" w:styleId="xl99">
    <w:name w:val="xl99"/>
    <w:basedOn w:val="Normal"/>
    <w:rsid w:val="002D3BB7"/>
    <w:pPr>
      <w:pBdr>
        <w:top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top"/>
    </w:pPr>
    <w:rPr>
      <w:rFonts w:ascii="Trebuchet MS" w:eastAsia="Times New Roman" w:hAnsi="Trebuchet MS" w:cs="Times New Roman"/>
      <w:b/>
      <w:bCs/>
      <w:sz w:val="20"/>
      <w:szCs w:val="20"/>
    </w:rPr>
  </w:style>
  <w:style w:type="paragraph" w:customStyle="1" w:styleId="xl100">
    <w:name w:val="xl100"/>
    <w:basedOn w:val="Normal"/>
    <w:rsid w:val="002D3BB7"/>
    <w:pPr>
      <w:pBdr>
        <w:top w:val="single" w:sz="4" w:space="0" w:color="000000"/>
        <w:left w:val="single" w:sz="4" w:space="0" w:color="000000"/>
        <w:bottom w:val="single" w:sz="4" w:space="0" w:color="000000"/>
      </w:pBdr>
      <w:shd w:val="clear" w:color="000000" w:fill="FFFFFF"/>
      <w:spacing w:before="100" w:beforeAutospacing="1" w:after="100" w:afterAutospacing="1" w:line="240" w:lineRule="auto"/>
      <w:jc w:val="center"/>
      <w:textAlignment w:val="top"/>
    </w:pPr>
    <w:rPr>
      <w:rFonts w:ascii="Trebuchet MS" w:eastAsia="Times New Roman" w:hAnsi="Trebuchet MS" w:cs="Times New Roman"/>
      <w:b/>
      <w:bCs/>
      <w:sz w:val="20"/>
      <w:szCs w:val="20"/>
    </w:rPr>
  </w:style>
  <w:style w:type="paragraph" w:customStyle="1" w:styleId="xl101">
    <w:name w:val="xl101"/>
    <w:basedOn w:val="Normal"/>
    <w:rsid w:val="002D3BB7"/>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top"/>
    </w:pPr>
    <w:rPr>
      <w:rFonts w:ascii="Trebuchet MS" w:eastAsia="Times New Roman" w:hAnsi="Trebuchet MS" w:cs="Times New Roman"/>
      <w:b/>
      <w:bCs/>
      <w:sz w:val="20"/>
      <w:szCs w:val="20"/>
    </w:rPr>
  </w:style>
  <w:style w:type="paragraph" w:customStyle="1" w:styleId="xl102">
    <w:name w:val="xl102"/>
    <w:basedOn w:val="Normal"/>
    <w:rsid w:val="002D3BB7"/>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top"/>
    </w:pPr>
    <w:rPr>
      <w:rFonts w:ascii="Trebuchet MS" w:eastAsia="Times New Roman" w:hAnsi="Trebuchet MS" w:cs="Times New Roman"/>
      <w:b/>
      <w:bCs/>
      <w:i/>
      <w:iCs/>
      <w:sz w:val="20"/>
      <w:szCs w:val="20"/>
    </w:rPr>
  </w:style>
  <w:style w:type="paragraph" w:customStyle="1" w:styleId="xl103">
    <w:name w:val="xl103"/>
    <w:basedOn w:val="Normal"/>
    <w:rsid w:val="002D3BB7"/>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top"/>
    </w:pPr>
    <w:rPr>
      <w:rFonts w:ascii="Trebuchet MS" w:eastAsia="Times New Roman" w:hAnsi="Trebuchet MS" w:cs="Times New Roman"/>
      <w:b/>
      <w:bCs/>
      <w:sz w:val="20"/>
      <w:szCs w:val="20"/>
    </w:rPr>
  </w:style>
  <w:style w:type="paragraph" w:customStyle="1" w:styleId="xl104">
    <w:name w:val="xl104"/>
    <w:basedOn w:val="Normal"/>
    <w:rsid w:val="002D3BB7"/>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top"/>
    </w:pPr>
    <w:rPr>
      <w:rFonts w:ascii="Trebuchet MS" w:eastAsia="Times New Roman" w:hAnsi="Trebuchet MS" w:cs="Times New Roman"/>
      <w:b/>
      <w:bCs/>
      <w:i/>
      <w:iCs/>
      <w:sz w:val="20"/>
      <w:szCs w:val="20"/>
    </w:rPr>
  </w:style>
  <w:style w:type="paragraph" w:customStyle="1" w:styleId="xl105">
    <w:name w:val="xl105"/>
    <w:basedOn w:val="Normal"/>
    <w:rsid w:val="002D3BB7"/>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top"/>
    </w:pPr>
    <w:rPr>
      <w:rFonts w:ascii="Trebuchet MS" w:eastAsia="Times New Roman" w:hAnsi="Trebuchet MS" w:cs="Times New Roman"/>
      <w:sz w:val="20"/>
      <w:szCs w:val="20"/>
    </w:rPr>
  </w:style>
  <w:style w:type="paragraph" w:customStyle="1" w:styleId="xl106">
    <w:name w:val="xl106"/>
    <w:basedOn w:val="Normal"/>
    <w:rsid w:val="002D3BB7"/>
    <w:pPr>
      <w:pBdr>
        <w:top w:val="single" w:sz="4" w:space="0" w:color="000000"/>
        <w:left w:val="single" w:sz="4" w:space="0" w:color="000000"/>
        <w:bottom w:val="single" w:sz="8" w:space="0" w:color="000000"/>
        <w:right w:val="single" w:sz="4" w:space="0" w:color="000000"/>
      </w:pBdr>
      <w:shd w:val="clear" w:color="000000" w:fill="FFFFFF"/>
      <w:spacing w:before="100" w:beforeAutospacing="1" w:after="100" w:afterAutospacing="1" w:line="240" w:lineRule="auto"/>
      <w:textAlignment w:val="top"/>
    </w:pPr>
    <w:rPr>
      <w:rFonts w:ascii="Trebuchet MS" w:eastAsia="Times New Roman" w:hAnsi="Trebuchet MS" w:cs="Times New Roman"/>
      <w:sz w:val="20"/>
      <w:szCs w:val="20"/>
    </w:rPr>
  </w:style>
  <w:style w:type="paragraph" w:customStyle="1" w:styleId="xl107">
    <w:name w:val="xl107"/>
    <w:basedOn w:val="Normal"/>
    <w:rsid w:val="002D3BB7"/>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top"/>
    </w:pPr>
    <w:rPr>
      <w:rFonts w:ascii="Trebuchet MS" w:eastAsia="Times New Roman" w:hAnsi="Trebuchet MS" w:cs="Times New Roman"/>
      <w:sz w:val="20"/>
      <w:szCs w:val="20"/>
    </w:rPr>
  </w:style>
  <w:style w:type="paragraph" w:customStyle="1" w:styleId="xl108">
    <w:name w:val="xl108"/>
    <w:basedOn w:val="Normal"/>
    <w:rsid w:val="002D3BB7"/>
    <w:pPr>
      <w:spacing w:before="100" w:beforeAutospacing="1" w:after="100" w:afterAutospacing="1" w:line="240" w:lineRule="auto"/>
    </w:pPr>
    <w:rPr>
      <w:rFonts w:ascii="Trebuchet MS" w:eastAsia="Times New Roman" w:hAnsi="Trebuchet MS" w:cs="Times New Roman"/>
      <w:sz w:val="20"/>
      <w:szCs w:val="20"/>
    </w:rPr>
  </w:style>
  <w:style w:type="paragraph" w:customStyle="1" w:styleId="xl109">
    <w:name w:val="xl109"/>
    <w:basedOn w:val="Normal"/>
    <w:rsid w:val="002D3BB7"/>
    <w:pPr>
      <w:pBdr>
        <w:top w:val="single" w:sz="4" w:space="0" w:color="000000"/>
        <w:right w:val="single" w:sz="4" w:space="0" w:color="000000"/>
      </w:pBdr>
      <w:shd w:val="clear" w:color="000000" w:fill="FFFFFF"/>
      <w:spacing w:before="100" w:beforeAutospacing="1" w:after="100" w:afterAutospacing="1" w:line="240" w:lineRule="auto"/>
      <w:textAlignment w:val="top"/>
    </w:pPr>
    <w:rPr>
      <w:rFonts w:ascii="Trebuchet MS" w:eastAsia="Times New Roman" w:hAnsi="Trebuchet MS" w:cs="Times New Roman"/>
      <w:b/>
      <w:bCs/>
      <w:sz w:val="20"/>
      <w:szCs w:val="20"/>
    </w:rPr>
  </w:style>
  <w:style w:type="paragraph" w:customStyle="1" w:styleId="xl110">
    <w:name w:val="xl110"/>
    <w:basedOn w:val="Normal"/>
    <w:rsid w:val="002D3BB7"/>
    <w:pPr>
      <w:pBdr>
        <w:bottom w:val="single" w:sz="4" w:space="0" w:color="000000"/>
        <w:right w:val="single" w:sz="4" w:space="0" w:color="000000"/>
      </w:pBdr>
      <w:shd w:val="clear" w:color="000000" w:fill="FFFFFF"/>
      <w:spacing w:before="100" w:beforeAutospacing="1" w:after="100" w:afterAutospacing="1" w:line="240" w:lineRule="auto"/>
      <w:textAlignment w:val="top"/>
    </w:pPr>
    <w:rPr>
      <w:rFonts w:ascii="Trebuchet MS" w:eastAsia="Times New Roman" w:hAnsi="Trebuchet MS" w:cs="Times New Roman"/>
      <w:b/>
      <w:bCs/>
      <w:sz w:val="20"/>
      <w:szCs w:val="20"/>
    </w:rPr>
  </w:style>
  <w:style w:type="paragraph" w:customStyle="1" w:styleId="xl111">
    <w:name w:val="xl111"/>
    <w:basedOn w:val="Normal"/>
    <w:rsid w:val="002D3BB7"/>
    <w:pPr>
      <w:pBdr>
        <w:top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top"/>
    </w:pPr>
    <w:rPr>
      <w:rFonts w:ascii="Trebuchet MS" w:eastAsia="Times New Roman" w:hAnsi="Trebuchet MS" w:cs="Times New Roman"/>
      <w:b/>
      <w:bCs/>
      <w:sz w:val="20"/>
      <w:szCs w:val="20"/>
    </w:rPr>
  </w:style>
  <w:style w:type="paragraph" w:customStyle="1" w:styleId="xl112">
    <w:name w:val="xl112"/>
    <w:basedOn w:val="Normal"/>
    <w:rsid w:val="002D3BB7"/>
    <w:pPr>
      <w:pBdr>
        <w:right w:val="single" w:sz="4" w:space="0" w:color="000000"/>
      </w:pBdr>
      <w:shd w:val="clear" w:color="000000" w:fill="FFFFFF"/>
      <w:spacing w:before="100" w:beforeAutospacing="1" w:after="100" w:afterAutospacing="1" w:line="240" w:lineRule="auto"/>
      <w:textAlignment w:val="top"/>
    </w:pPr>
    <w:rPr>
      <w:rFonts w:ascii="Trebuchet MS" w:eastAsia="Times New Roman" w:hAnsi="Trebuchet MS" w:cs="Times New Roman"/>
      <w:b/>
      <w:bCs/>
      <w:sz w:val="20"/>
      <w:szCs w:val="20"/>
    </w:rPr>
  </w:style>
  <w:style w:type="paragraph" w:customStyle="1" w:styleId="xl113">
    <w:name w:val="xl113"/>
    <w:basedOn w:val="Normal"/>
    <w:rsid w:val="002D3BB7"/>
    <w:pPr>
      <w:pBdr>
        <w:bottom w:val="single" w:sz="8" w:space="0" w:color="000000"/>
        <w:right w:val="single" w:sz="4" w:space="0" w:color="000000"/>
      </w:pBdr>
      <w:shd w:val="clear" w:color="000000" w:fill="FFFFFF"/>
      <w:spacing w:before="100" w:beforeAutospacing="1" w:after="100" w:afterAutospacing="1" w:line="240" w:lineRule="auto"/>
      <w:textAlignment w:val="top"/>
    </w:pPr>
    <w:rPr>
      <w:rFonts w:ascii="Trebuchet MS" w:eastAsia="Times New Roman" w:hAnsi="Trebuchet MS" w:cs="Times New Roman"/>
      <w:b/>
      <w:bCs/>
      <w:sz w:val="20"/>
      <w:szCs w:val="20"/>
    </w:rPr>
  </w:style>
  <w:style w:type="paragraph" w:styleId="Header">
    <w:name w:val="header"/>
    <w:basedOn w:val="Normal"/>
    <w:link w:val="HeaderChar"/>
    <w:uiPriority w:val="99"/>
    <w:unhideWhenUsed/>
    <w:rsid w:val="002D3BB7"/>
    <w:pPr>
      <w:tabs>
        <w:tab w:val="center" w:pos="4680"/>
        <w:tab w:val="right" w:pos="9360"/>
      </w:tabs>
      <w:spacing w:after="0" w:line="240" w:lineRule="auto"/>
    </w:pPr>
  </w:style>
  <w:style w:type="character" w:customStyle="1" w:styleId="HeaderChar">
    <w:name w:val="Header Char"/>
    <w:basedOn w:val="DefaultParagraphFont"/>
    <w:link w:val="Header"/>
    <w:uiPriority w:val="99"/>
    <w:rsid w:val="002D3BB7"/>
  </w:style>
  <w:style w:type="paragraph" w:styleId="Footer">
    <w:name w:val="footer"/>
    <w:basedOn w:val="Normal"/>
    <w:link w:val="FooterChar"/>
    <w:uiPriority w:val="99"/>
    <w:unhideWhenUsed/>
    <w:rsid w:val="002D3BB7"/>
    <w:pPr>
      <w:tabs>
        <w:tab w:val="center" w:pos="4680"/>
        <w:tab w:val="right" w:pos="9360"/>
      </w:tabs>
      <w:spacing w:after="0" w:line="240" w:lineRule="auto"/>
    </w:pPr>
  </w:style>
  <w:style w:type="character" w:customStyle="1" w:styleId="FooterChar">
    <w:name w:val="Footer Char"/>
    <w:basedOn w:val="DefaultParagraphFont"/>
    <w:link w:val="Footer"/>
    <w:uiPriority w:val="99"/>
    <w:rsid w:val="002D3BB7"/>
  </w:style>
  <w:style w:type="paragraph" w:customStyle="1" w:styleId="xl114">
    <w:name w:val="xl114"/>
    <w:basedOn w:val="Normal"/>
    <w:rsid w:val="002D3BB7"/>
    <w:pPr>
      <w:pBdr>
        <w:top w:val="single" w:sz="4" w:space="0" w:color="000000"/>
        <w:left w:val="single" w:sz="4" w:space="0" w:color="000000"/>
        <w:bottom w:val="single" w:sz="4" w:space="0" w:color="000000"/>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styleId="Title">
    <w:name w:val="Title"/>
    <w:basedOn w:val="Normal"/>
    <w:next w:val="Normal"/>
    <w:link w:val="TitleChar"/>
    <w:uiPriority w:val="10"/>
    <w:qFormat/>
    <w:rsid w:val="002D3BB7"/>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D3BB7"/>
    <w:rPr>
      <w:rFonts w:asciiTheme="majorHAnsi" w:eastAsiaTheme="majorEastAsia" w:hAnsiTheme="majorHAnsi" w:cstheme="majorBidi"/>
      <w:spacing w:val="-10"/>
      <w:kern w:val="28"/>
      <w:sz w:val="56"/>
      <w:szCs w:val="56"/>
    </w:rPr>
  </w:style>
  <w:style w:type="character" w:customStyle="1" w:styleId="apple-converted-space">
    <w:name w:val="apple-converted-space"/>
    <w:basedOn w:val="DefaultParagraphFont"/>
    <w:rsid w:val="002D3BB7"/>
  </w:style>
  <w:style w:type="character" w:styleId="LineNumber">
    <w:name w:val="line number"/>
    <w:basedOn w:val="DefaultParagraphFont"/>
    <w:uiPriority w:val="99"/>
    <w:semiHidden/>
    <w:unhideWhenUsed/>
    <w:rsid w:val="002D3B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vijay.nadipelli@gmail.com" TargetMode="External"/><Relationship Id="rId13" Type="http://schemas.openxmlformats.org/officeDocument/2006/relationships/hyperlink" Target="http://links.lww.com/JAM/A374" TargetMode="External"/><Relationship Id="rId18" Type="http://schemas.openxmlformats.org/officeDocument/2006/relationships/hyperlink" Target="http://links.lww.com/JAM/A374" TargetMode="External"/><Relationship Id="rId26"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hyperlink" Target="http://links.lww.com/JAM/A374" TargetMode="External"/><Relationship Id="rId7" Type="http://schemas.openxmlformats.org/officeDocument/2006/relationships/hyperlink" Target="mailto:bboyett@boyetthealth.com" TargetMode="External"/><Relationship Id="rId12" Type="http://schemas.openxmlformats.org/officeDocument/2006/relationships/hyperlink" Target="mailto:lwalter@ucla.edu" TargetMode="External"/><Relationship Id="rId17" Type="http://schemas.openxmlformats.org/officeDocument/2006/relationships/hyperlink" Target="http://links.lww.com/JAM/A374" TargetMode="External"/><Relationship Id="rId25" Type="http://schemas.openxmlformats.org/officeDocument/2006/relationships/hyperlink" Target="http://links.lww.com/JAM/A374" TargetMode="External"/><Relationship Id="rId2" Type="http://schemas.openxmlformats.org/officeDocument/2006/relationships/styles" Target="styles.xml"/><Relationship Id="rId16" Type="http://schemas.openxmlformats.org/officeDocument/2006/relationships/hyperlink" Target="http://links.lww.com/JAM/A374" TargetMode="External"/><Relationship Id="rId20" Type="http://schemas.openxmlformats.org/officeDocument/2006/relationships/hyperlink" Target="http://links.lww.com/JAM/A374"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wkbickel@vtc.vt.edu" TargetMode="External"/><Relationship Id="rId24" Type="http://schemas.openxmlformats.org/officeDocument/2006/relationships/hyperlink" Target="http://links.lww.com/JAM/A374" TargetMode="External"/><Relationship Id="rId5" Type="http://schemas.openxmlformats.org/officeDocument/2006/relationships/footnotes" Target="footnotes.xml"/><Relationship Id="rId15" Type="http://schemas.openxmlformats.org/officeDocument/2006/relationships/hyperlink" Target="http://links.lww.com/JAM/A374" TargetMode="External"/><Relationship Id="rId23" Type="http://schemas.openxmlformats.org/officeDocument/2006/relationships/hyperlink" Target="http://links.lww.com/JAM/A374" TargetMode="External"/><Relationship Id="rId28" Type="http://schemas.openxmlformats.org/officeDocument/2006/relationships/theme" Target="theme/theme1.xml"/><Relationship Id="rId10" Type="http://schemas.openxmlformats.org/officeDocument/2006/relationships/hyperlink" Target="mailto:howard.chilcoat@Indivior.com" TargetMode="External"/><Relationship Id="rId19" Type="http://schemas.openxmlformats.org/officeDocument/2006/relationships/hyperlink" Target="http://links.lww.com/JAM/A374" TargetMode="External"/><Relationship Id="rId4" Type="http://schemas.openxmlformats.org/officeDocument/2006/relationships/webSettings" Target="webSettings.xml"/><Relationship Id="rId9" Type="http://schemas.openxmlformats.org/officeDocument/2006/relationships/hyperlink" Target="mailto:csolem@pharmerit.com" TargetMode="External"/><Relationship Id="rId14" Type="http://schemas.openxmlformats.org/officeDocument/2006/relationships/hyperlink" Target="http://links.lww.com/JAM/A374" TargetMode="External"/><Relationship Id="rId22" Type="http://schemas.openxmlformats.org/officeDocument/2006/relationships/hyperlink" Target="http://links.lww.com/JAM/A374"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22</Pages>
  <Words>5268</Words>
  <Characters>30032</Characters>
  <Application>Microsoft Office Word</Application>
  <DocSecurity>0</DocSecurity>
  <Lines>250</Lines>
  <Paragraphs>70</Paragraphs>
  <ScaleCrop>false</ScaleCrop>
  <Company/>
  <LinksUpToDate>false</LinksUpToDate>
  <CharactersWithSpaces>35230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PA-EDIT MS</dc:creator>
  <cp:keywords/>
  <dc:description/>
  <cp:lastModifiedBy>Gadingan Carolyn</cp:lastModifiedBy>
  <cp:revision>6</cp:revision>
  <dcterms:created xsi:type="dcterms:W3CDTF">2022-05-02T21:12:00Z</dcterms:created>
  <dcterms:modified xsi:type="dcterms:W3CDTF">2022-08-03T14:16:00Z</dcterms:modified>
</cp:coreProperties>
</file>