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4D2D" w:rsidRPr="00417DA7" w:rsidRDefault="00C14D2D" w:rsidP="00C14D2D">
      <w:pPr>
        <w:pStyle w:val="Ttulo"/>
      </w:pPr>
      <w:bookmarkStart w:id="0" w:name="_Hlk508990649"/>
      <w:bookmarkEnd w:id="0"/>
      <w:r w:rsidRPr="00417DA7">
        <w:t xml:space="preserve">Octadecylpropyl Sulfamide Reduces Neurodegeneration and </w:t>
      </w:r>
      <w:bookmarkStart w:id="1" w:name="_Hlk505028729"/>
      <w:r w:rsidRPr="00417DA7">
        <w:t>Restores the Memory Deficits Induced by Hypoxia-Ischemia</w:t>
      </w:r>
      <w:bookmarkEnd w:id="1"/>
      <w:r w:rsidRPr="00417DA7">
        <w:t xml:space="preserve"> in Mice</w:t>
      </w:r>
    </w:p>
    <w:p w:rsidR="00C14D2D" w:rsidRPr="00414D39" w:rsidRDefault="00C14D2D" w:rsidP="00C14D2D">
      <w:pPr>
        <w:pStyle w:val="AuthorList"/>
        <w:rPr>
          <w:lang w:val="es-ES"/>
        </w:rPr>
      </w:pPr>
      <w:r w:rsidRPr="00414D39">
        <w:rPr>
          <w:lang w:val="es-ES"/>
        </w:rPr>
        <w:t xml:space="preserve">Elk Kossatz, Daniel Silva-Peña, Juan Suárez, Fernando Rodríguez de Fonseca, </w:t>
      </w:r>
    </w:p>
    <w:p w:rsidR="00C14D2D" w:rsidRPr="00414D39" w:rsidRDefault="00C14D2D" w:rsidP="00C14D2D">
      <w:pPr>
        <w:pStyle w:val="AuthorList"/>
        <w:rPr>
          <w:vertAlign w:val="superscript"/>
          <w:lang w:val="es-ES"/>
        </w:rPr>
      </w:pPr>
      <w:r w:rsidRPr="00414D39">
        <w:rPr>
          <w:lang w:val="es-ES"/>
        </w:rPr>
        <w:t>Rafael Maldonado</w:t>
      </w:r>
      <w:r w:rsidRPr="00414D39">
        <w:rPr>
          <w:vertAlign w:val="superscript"/>
          <w:lang w:val="es-ES"/>
        </w:rPr>
        <w:t>*</w:t>
      </w:r>
      <w:r w:rsidRPr="00414D39">
        <w:rPr>
          <w:lang w:val="es-ES"/>
        </w:rPr>
        <w:t xml:space="preserve"> and Patricia Robledo</w:t>
      </w:r>
      <w:r w:rsidRPr="00414D39">
        <w:rPr>
          <w:vertAlign w:val="superscript"/>
          <w:lang w:val="es-ES"/>
        </w:rPr>
        <w:t>*</w:t>
      </w:r>
    </w:p>
    <w:p w:rsidR="001D1904" w:rsidRPr="00417DA7" w:rsidRDefault="002868E2" w:rsidP="00C14D2D">
      <w:pPr>
        <w:spacing w:before="240" w:after="0"/>
        <w:rPr>
          <w:rFonts w:cs="Times New Roman"/>
          <w:szCs w:val="24"/>
        </w:rPr>
      </w:pPr>
      <w:r w:rsidRPr="00417DA7">
        <w:rPr>
          <w:rFonts w:cs="Times New Roman"/>
          <w:b/>
        </w:rPr>
        <w:t xml:space="preserve">* Correspondence: </w:t>
      </w:r>
      <w:r w:rsidRPr="00417DA7">
        <w:rPr>
          <w:rFonts w:cs="Times New Roman"/>
        </w:rPr>
        <w:t>Corresponding Author</w:t>
      </w:r>
      <w:r w:rsidR="00994A3D" w:rsidRPr="00417DA7">
        <w:rPr>
          <w:rFonts w:cs="Times New Roman"/>
        </w:rPr>
        <w:t xml:space="preserve">: </w:t>
      </w:r>
      <w:hyperlink r:id="rId8" w:history="1">
        <w:r w:rsidR="00C14D2D" w:rsidRPr="00417DA7">
          <w:rPr>
            <w:rStyle w:val="Hipervnculo"/>
            <w:rFonts w:cs="Times New Roman"/>
            <w:szCs w:val="24"/>
          </w:rPr>
          <w:t>probledo@imim.es</w:t>
        </w:r>
      </w:hyperlink>
    </w:p>
    <w:p w:rsidR="00994A3D" w:rsidRPr="00417DA7" w:rsidRDefault="001D1904" w:rsidP="00417DA7">
      <w:pPr>
        <w:spacing w:before="240" w:after="0"/>
      </w:pPr>
      <w:r w:rsidRPr="00417DA7">
        <w:rPr>
          <w:b/>
        </w:rPr>
        <w:t xml:space="preserve">1. </w:t>
      </w:r>
      <w:r w:rsidR="00654E8F" w:rsidRPr="00417DA7">
        <w:rPr>
          <w:b/>
        </w:rPr>
        <w:t xml:space="preserve">Supplementary Figures </w:t>
      </w:r>
    </w:p>
    <w:p w:rsidR="00994A3D" w:rsidRPr="00417DA7" w:rsidRDefault="001D1904" w:rsidP="00417DA7">
      <w:pPr>
        <w:pStyle w:val="Ttulo2"/>
        <w:numPr>
          <w:ilvl w:val="0"/>
          <w:numId w:val="0"/>
        </w:numPr>
      </w:pPr>
      <w:r w:rsidRPr="00417DA7">
        <w:t xml:space="preserve">2. </w:t>
      </w:r>
      <w:r w:rsidR="00994A3D" w:rsidRPr="00417DA7">
        <w:t xml:space="preserve">Supplementary </w:t>
      </w:r>
      <w:r w:rsidRPr="00417DA7">
        <w:t xml:space="preserve">Tables </w:t>
      </w:r>
    </w:p>
    <w:p w:rsidR="00417DA7" w:rsidRDefault="00417DA7" w:rsidP="00417DA7"/>
    <w:p w:rsidR="00417DA7" w:rsidRDefault="00417DA7" w:rsidP="00417DA7"/>
    <w:p w:rsidR="00417DA7" w:rsidRDefault="00417DA7" w:rsidP="00417DA7"/>
    <w:p w:rsidR="00417DA7" w:rsidRDefault="00417DA7" w:rsidP="00417DA7"/>
    <w:p w:rsidR="00417DA7" w:rsidRDefault="00417DA7" w:rsidP="00417DA7"/>
    <w:p w:rsidR="00417DA7" w:rsidRDefault="00417DA7" w:rsidP="00417DA7"/>
    <w:p w:rsidR="00417DA7" w:rsidRDefault="00417DA7" w:rsidP="00417DA7"/>
    <w:p w:rsidR="00417DA7" w:rsidRDefault="00417DA7" w:rsidP="00417DA7"/>
    <w:p w:rsidR="00417DA7" w:rsidRDefault="00417DA7" w:rsidP="00417DA7"/>
    <w:p w:rsidR="00417DA7" w:rsidRDefault="00417DA7" w:rsidP="00417DA7"/>
    <w:p w:rsidR="00417DA7" w:rsidRDefault="00417DA7" w:rsidP="00417DA7"/>
    <w:p w:rsidR="00417DA7" w:rsidRDefault="00417DA7" w:rsidP="00417DA7"/>
    <w:p w:rsidR="00417DA7" w:rsidRDefault="00417DA7" w:rsidP="00417DA7"/>
    <w:p w:rsidR="00417DA7" w:rsidRDefault="00417DA7" w:rsidP="00417DA7"/>
    <w:p w:rsidR="00417DA7" w:rsidRDefault="00417DA7" w:rsidP="00417DA7"/>
    <w:p w:rsidR="00417DA7" w:rsidRDefault="00417DA7" w:rsidP="00417DA7"/>
    <w:p w:rsidR="00417DA7" w:rsidRPr="00417DA7" w:rsidRDefault="00417DA7" w:rsidP="00417DA7"/>
    <w:p w:rsidR="00417DA7" w:rsidRDefault="00417DA7" w:rsidP="00417DA7"/>
    <w:p w:rsidR="00417DA7" w:rsidRPr="00417DA7" w:rsidRDefault="00417DA7" w:rsidP="00417DA7">
      <w:r w:rsidRPr="00417DA7">
        <w:rPr>
          <w:noProof/>
        </w:rPr>
        <w:drawing>
          <wp:inline distT="0" distB="0" distL="0" distR="0" wp14:anchorId="0E4F07AD" wp14:editId="08E637B1">
            <wp:extent cx="6208395" cy="1113155"/>
            <wp:effectExtent l="0" t="0" r="190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DA7" w:rsidRDefault="00417DA7" w:rsidP="00417DA7">
      <w:r w:rsidRPr="00417DA7">
        <w:rPr>
          <w:rFonts w:cs="Times New Roman"/>
          <w:b/>
          <w:szCs w:val="24"/>
        </w:rPr>
        <w:t xml:space="preserve">Supplementary Figure </w:t>
      </w:r>
      <w:r w:rsidRPr="00417DA7">
        <w:rPr>
          <w:rFonts w:cs="Times New Roman"/>
          <w:b/>
          <w:szCs w:val="24"/>
        </w:rPr>
        <w:fldChar w:fldCharType="begin"/>
      </w:r>
      <w:r w:rsidRPr="00417DA7">
        <w:rPr>
          <w:rFonts w:cs="Times New Roman"/>
          <w:b/>
          <w:szCs w:val="24"/>
        </w:rPr>
        <w:instrText xml:space="preserve"> SEQ Figure \* ARABIC </w:instrText>
      </w:r>
      <w:r w:rsidRPr="00417DA7">
        <w:rPr>
          <w:rFonts w:cs="Times New Roman"/>
          <w:b/>
          <w:szCs w:val="24"/>
        </w:rPr>
        <w:fldChar w:fldCharType="separate"/>
      </w:r>
      <w:r w:rsidRPr="00417DA7">
        <w:rPr>
          <w:rFonts w:cs="Times New Roman"/>
          <w:b/>
          <w:noProof/>
          <w:szCs w:val="24"/>
        </w:rPr>
        <w:t>1</w:t>
      </w:r>
      <w:r w:rsidRPr="00417DA7">
        <w:rPr>
          <w:rFonts w:cs="Times New Roman"/>
          <w:b/>
          <w:szCs w:val="24"/>
        </w:rPr>
        <w:fldChar w:fldCharType="end"/>
      </w:r>
      <w:r w:rsidRPr="00417DA7">
        <w:rPr>
          <w:rFonts w:cs="Times New Roman"/>
          <w:b/>
          <w:szCs w:val="24"/>
        </w:rPr>
        <w:t>.</w:t>
      </w:r>
      <w:r w:rsidRPr="00417DA7">
        <w:rPr>
          <w:rFonts w:cs="Times New Roman"/>
          <w:szCs w:val="24"/>
        </w:rPr>
        <w:t xml:space="preserve"> Time line of behavioral tests 24 h and 7 days after HI procedure. GW: GW6471; SUL: octadecylpropyl sulfamide; NOR: novel object recognition test</w:t>
      </w:r>
      <w:r>
        <w:rPr>
          <w:rFonts w:cs="Times New Roman"/>
          <w:szCs w:val="24"/>
        </w:rPr>
        <w:t>.</w:t>
      </w:r>
    </w:p>
    <w:p w:rsidR="00994A3D" w:rsidRPr="00417DA7" w:rsidRDefault="004A54CB" w:rsidP="00417DA7">
      <w:pPr>
        <w:keepNext/>
        <w:rPr>
          <w:rFonts w:cs="Times New Roman"/>
          <w:szCs w:val="24"/>
        </w:rPr>
      </w:pPr>
      <w:r w:rsidRPr="00417DA7">
        <w:rPr>
          <w:noProof/>
          <w:lang w:eastAsia="es-ES"/>
        </w:rPr>
        <w:lastRenderedPageBreak/>
        <w:drawing>
          <wp:inline distT="0" distB="0" distL="0" distR="0">
            <wp:extent cx="5410200" cy="665797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72" t="15621" r="5176" b="8548"/>
                    <a:stretch/>
                  </pic:blipFill>
                  <pic:spPr bwMode="auto">
                    <a:xfrm>
                      <a:off x="0" y="0"/>
                      <a:ext cx="5410754" cy="6658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7DA7" w:rsidRDefault="00994A3D" w:rsidP="00417DA7">
      <w:pPr>
        <w:jc w:val="both"/>
        <w:rPr>
          <w:rFonts w:cs="Times New Roman"/>
          <w:szCs w:val="24"/>
        </w:rPr>
      </w:pPr>
      <w:bookmarkStart w:id="2" w:name="_Hlk505062948"/>
      <w:r w:rsidRPr="00417DA7">
        <w:rPr>
          <w:rFonts w:cs="Times New Roman"/>
          <w:b/>
          <w:szCs w:val="24"/>
        </w:rPr>
        <w:t xml:space="preserve">Supplementary Figure </w:t>
      </w:r>
      <w:bookmarkEnd w:id="2"/>
      <w:r w:rsidR="00417DA7" w:rsidRPr="00417DA7">
        <w:rPr>
          <w:rFonts w:cs="Times New Roman"/>
          <w:b/>
          <w:szCs w:val="24"/>
        </w:rPr>
        <w:t>2</w:t>
      </w:r>
      <w:r w:rsidRPr="00417DA7">
        <w:rPr>
          <w:rFonts w:cs="Times New Roman"/>
          <w:b/>
          <w:szCs w:val="24"/>
        </w:rPr>
        <w:t>.</w:t>
      </w:r>
      <w:r w:rsidRPr="00417DA7">
        <w:rPr>
          <w:rFonts w:cs="Times New Roman"/>
          <w:szCs w:val="24"/>
        </w:rPr>
        <w:t xml:space="preserve"> </w:t>
      </w:r>
      <w:r w:rsidR="001206D7" w:rsidRPr="00417DA7">
        <w:rPr>
          <w:rFonts w:cs="Times New Roman"/>
          <w:szCs w:val="24"/>
        </w:rPr>
        <w:t>Effects of an acute administration of octadecylpropyl sulfamide (SUL10, 10 mg/kg) and GW6471 (GW, 1 mg/kg) on the number of Iba-1 positive cells induced by HI in the ipsilateral dentate gyrus (A) and somatosensory cortex (</w:t>
      </w:r>
      <w:r w:rsidR="00906B09" w:rsidRPr="00417DA7">
        <w:rPr>
          <w:rFonts w:cs="Times New Roman"/>
          <w:szCs w:val="24"/>
        </w:rPr>
        <w:t>B</w:t>
      </w:r>
      <w:r w:rsidR="001206D7" w:rsidRPr="00417DA7">
        <w:rPr>
          <w:rFonts w:cs="Times New Roman"/>
          <w:szCs w:val="24"/>
        </w:rPr>
        <w:t>). Data represent mean +S.E.M. cells per mm</w:t>
      </w:r>
      <w:r w:rsidR="001206D7" w:rsidRPr="00417DA7">
        <w:rPr>
          <w:rFonts w:cs="Times New Roman"/>
          <w:szCs w:val="24"/>
          <w:vertAlign w:val="superscript"/>
        </w:rPr>
        <w:t>2</w:t>
      </w:r>
      <w:r w:rsidR="001206D7" w:rsidRPr="00417DA7">
        <w:rPr>
          <w:rFonts w:cs="Times New Roman"/>
          <w:szCs w:val="24"/>
          <w:vertAlign w:val="subscript"/>
        </w:rPr>
        <w:t xml:space="preserve"> </w:t>
      </w:r>
      <w:r w:rsidR="001206D7" w:rsidRPr="00417DA7">
        <w:rPr>
          <w:rFonts w:cs="Times New Roman"/>
          <w:szCs w:val="24"/>
        </w:rPr>
        <w:t>in VEH/VEH (n=11 HI mice; n=7 sham-operated), VEH/SUL10 (n=9 HI mice; n=8 sham-operated), GW/VEH (n=6 HI mice; n=6 sham-operated), GW/SUL10 (n=5 HI mice; n=7 sham-operated) treatment groups. The panels show representative images of Iba-1 expression in dentate gyrus (</w:t>
      </w:r>
      <w:r w:rsidR="00906B09" w:rsidRPr="00417DA7">
        <w:rPr>
          <w:rFonts w:cs="Times New Roman"/>
          <w:szCs w:val="24"/>
        </w:rPr>
        <w:t>C</w:t>
      </w:r>
      <w:r w:rsidR="001206D7" w:rsidRPr="00417DA7">
        <w:rPr>
          <w:rFonts w:cs="Times New Roman"/>
          <w:szCs w:val="24"/>
        </w:rPr>
        <w:t xml:space="preserve">) and somatosensory cortex (D). Scale bar = 100 μm. </w:t>
      </w:r>
      <w:r w:rsidR="001206D7" w:rsidRPr="00417DA7">
        <w:rPr>
          <w:rFonts w:cs="Times New Roman"/>
          <w:szCs w:val="24"/>
          <w:vertAlign w:val="superscript"/>
        </w:rPr>
        <w:sym w:font="Wingdings" w:char="F0AB"/>
      </w:r>
      <w:r w:rsidR="001206D7" w:rsidRPr="00417DA7">
        <w:rPr>
          <w:rFonts w:cs="Times New Roman"/>
          <w:szCs w:val="24"/>
          <w:vertAlign w:val="superscript"/>
        </w:rPr>
        <w:sym w:font="Wingdings" w:char="F0AB"/>
      </w:r>
      <w:r w:rsidR="001206D7" w:rsidRPr="00417DA7">
        <w:rPr>
          <w:rFonts w:cs="Times New Roman"/>
          <w:szCs w:val="24"/>
          <w:vertAlign w:val="superscript"/>
        </w:rPr>
        <w:sym w:font="Wingdings" w:char="F0AB"/>
      </w:r>
      <w:r w:rsidR="001206D7" w:rsidRPr="00417DA7">
        <w:rPr>
          <w:rFonts w:cs="Times New Roman"/>
          <w:szCs w:val="24"/>
        </w:rPr>
        <w:t xml:space="preserve">p&lt;0.001 (lesion effect); </w:t>
      </w:r>
      <w:r w:rsidR="001206D7" w:rsidRPr="00417DA7">
        <w:rPr>
          <w:rFonts w:cs="Times New Roman"/>
          <w:szCs w:val="24"/>
          <w:vertAlign w:val="superscript"/>
        </w:rPr>
        <w:sym w:font="Wingdings" w:char="F0B6"/>
      </w:r>
      <w:r w:rsidR="001206D7" w:rsidRPr="00417DA7">
        <w:rPr>
          <w:rFonts w:cs="Times New Roman"/>
          <w:szCs w:val="24"/>
          <w:vertAlign w:val="superscript"/>
        </w:rPr>
        <w:sym w:font="Wingdings" w:char="F0B6"/>
      </w:r>
      <w:r w:rsidR="001206D7" w:rsidRPr="00417DA7">
        <w:rPr>
          <w:rFonts w:cs="Times New Roman"/>
          <w:szCs w:val="24"/>
          <w:vertAlign w:val="superscript"/>
        </w:rPr>
        <w:sym w:font="Wingdings" w:char="F0B6"/>
      </w:r>
      <w:r w:rsidR="001206D7" w:rsidRPr="00417DA7">
        <w:rPr>
          <w:rFonts w:cs="Times New Roman"/>
          <w:szCs w:val="24"/>
        </w:rPr>
        <w:t>p&lt;0.001 (antagonist effect).</w:t>
      </w:r>
    </w:p>
    <w:p w:rsidR="00636AFA" w:rsidRPr="00417DA7" w:rsidRDefault="006A4B38" w:rsidP="00414D39">
      <w:pPr>
        <w:rPr>
          <w:rFonts w:cs="Times New Roman"/>
          <w:b/>
          <w:szCs w:val="24"/>
        </w:rPr>
      </w:pPr>
      <w:r w:rsidRPr="00417DA7">
        <w:rPr>
          <w:rFonts w:cs="Times New Roman"/>
          <w:b/>
          <w:noProof/>
          <w:szCs w:val="24"/>
          <w:lang w:eastAsia="es-ES"/>
        </w:rPr>
        <w:lastRenderedPageBreak/>
        <w:drawing>
          <wp:inline distT="0" distB="0" distL="0" distR="0">
            <wp:extent cx="5334000" cy="6802871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9" t="13909" r="4948" b="5172"/>
                    <a:stretch/>
                  </pic:blipFill>
                  <pic:spPr bwMode="auto">
                    <a:xfrm>
                      <a:off x="0" y="0"/>
                      <a:ext cx="5334885" cy="68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3" w:name="_GoBack"/>
      <w:bookmarkEnd w:id="3"/>
      <w:r w:rsidR="00636AFA" w:rsidRPr="00417DA7">
        <w:rPr>
          <w:rFonts w:cs="Times New Roman"/>
          <w:b/>
          <w:szCs w:val="24"/>
        </w:rPr>
        <w:t xml:space="preserve">Supplementary Figure </w:t>
      </w:r>
      <w:r w:rsidR="00417DA7" w:rsidRPr="00417DA7">
        <w:rPr>
          <w:rFonts w:cs="Times New Roman"/>
          <w:b/>
          <w:szCs w:val="24"/>
        </w:rPr>
        <w:t>3</w:t>
      </w:r>
      <w:r w:rsidR="00636AFA" w:rsidRPr="00417DA7">
        <w:rPr>
          <w:rFonts w:cs="Times New Roman"/>
          <w:b/>
          <w:szCs w:val="24"/>
        </w:rPr>
        <w:t xml:space="preserve">. </w:t>
      </w:r>
      <w:r w:rsidR="00636AFA" w:rsidRPr="00417DA7">
        <w:rPr>
          <w:rFonts w:cs="Times New Roman"/>
          <w:szCs w:val="24"/>
        </w:rPr>
        <w:t>Effects of an acute administration of octadecylpropyl sulfamide (SUL10, 10 mg/kg) and GW6471 (GW, 1 mg/kg) on the number of GFAP positive cells induced by HI in the ipsilateral entorhinal cortex (A) and piriform cortex (B).</w:t>
      </w:r>
      <w:r w:rsidR="00F9001C" w:rsidRPr="00417DA7">
        <w:rPr>
          <w:rFonts w:cs="Times New Roman"/>
          <w:szCs w:val="24"/>
        </w:rPr>
        <w:t xml:space="preserve"> </w:t>
      </w:r>
      <w:r w:rsidR="00636AFA" w:rsidRPr="00417DA7">
        <w:rPr>
          <w:rFonts w:cs="Times New Roman"/>
          <w:szCs w:val="24"/>
        </w:rPr>
        <w:t>The data represent mean +S.E.M. cells per mm</w:t>
      </w:r>
      <w:r w:rsidR="00636AFA" w:rsidRPr="00417DA7">
        <w:rPr>
          <w:rFonts w:cs="Times New Roman"/>
          <w:szCs w:val="24"/>
          <w:vertAlign w:val="superscript"/>
        </w:rPr>
        <w:t>2</w:t>
      </w:r>
      <w:r w:rsidR="00636AFA" w:rsidRPr="00417DA7">
        <w:rPr>
          <w:rFonts w:cs="Times New Roman"/>
          <w:szCs w:val="24"/>
          <w:vertAlign w:val="subscript"/>
        </w:rPr>
        <w:t xml:space="preserve"> </w:t>
      </w:r>
      <w:r w:rsidR="00636AFA" w:rsidRPr="00417DA7">
        <w:rPr>
          <w:rFonts w:cs="Times New Roman"/>
          <w:szCs w:val="24"/>
        </w:rPr>
        <w:t>in VEH/VEH (n=</w:t>
      </w:r>
      <w:r w:rsidR="00F31721" w:rsidRPr="00417DA7">
        <w:rPr>
          <w:rFonts w:cs="Times New Roman"/>
          <w:szCs w:val="24"/>
        </w:rPr>
        <w:t xml:space="preserve">10 </w:t>
      </w:r>
      <w:r w:rsidR="00636AFA" w:rsidRPr="00417DA7">
        <w:rPr>
          <w:rFonts w:cs="Times New Roman"/>
          <w:szCs w:val="24"/>
        </w:rPr>
        <w:t>HI mice; n=7 sham-operated), VEH/SUL10 (n=9 HI mice; n=8 sham-operated), GW/VEH (n=</w:t>
      </w:r>
      <w:r w:rsidR="00F31721" w:rsidRPr="00417DA7">
        <w:rPr>
          <w:rFonts w:cs="Times New Roman"/>
          <w:szCs w:val="24"/>
        </w:rPr>
        <w:t xml:space="preserve">6 </w:t>
      </w:r>
      <w:r w:rsidR="00636AFA" w:rsidRPr="00417DA7">
        <w:rPr>
          <w:rFonts w:cs="Times New Roman"/>
          <w:szCs w:val="24"/>
        </w:rPr>
        <w:t>HI mice; n=7 sham-operated), GW/SUL10 (n=5 HI mice; n=</w:t>
      </w:r>
      <w:r w:rsidR="00F31721" w:rsidRPr="00417DA7">
        <w:rPr>
          <w:rFonts w:cs="Times New Roman"/>
          <w:szCs w:val="24"/>
        </w:rPr>
        <w:t xml:space="preserve">7 </w:t>
      </w:r>
      <w:r w:rsidR="00636AFA" w:rsidRPr="00417DA7">
        <w:rPr>
          <w:rFonts w:cs="Times New Roman"/>
          <w:szCs w:val="24"/>
        </w:rPr>
        <w:t>sham-operated) treatment groups.</w:t>
      </w:r>
      <w:r w:rsidR="00F9001C" w:rsidRPr="00417DA7">
        <w:rPr>
          <w:rFonts w:cs="Times New Roman"/>
          <w:szCs w:val="24"/>
        </w:rPr>
        <w:t xml:space="preserve"> </w:t>
      </w:r>
      <w:r w:rsidR="00636AFA" w:rsidRPr="00417DA7">
        <w:rPr>
          <w:rFonts w:cs="Times New Roman"/>
          <w:szCs w:val="24"/>
        </w:rPr>
        <w:t xml:space="preserve">The panels show representative images of GFAP expression in the ipsilateral entorhinal cortex (C) and piriform cortex (D). Scale bar = 100 μm. </w:t>
      </w:r>
      <w:r w:rsidR="00636AFA" w:rsidRPr="00417DA7">
        <w:rPr>
          <w:rFonts w:cs="Times New Roman"/>
          <w:szCs w:val="24"/>
          <w:vertAlign w:val="superscript"/>
        </w:rPr>
        <w:sym w:font="Wingdings" w:char="F0AB"/>
      </w:r>
      <w:r w:rsidR="00636AFA" w:rsidRPr="00417DA7">
        <w:rPr>
          <w:rFonts w:cs="Times New Roman"/>
          <w:szCs w:val="24"/>
          <w:vertAlign w:val="superscript"/>
        </w:rPr>
        <w:sym w:font="Wingdings" w:char="F0AB"/>
      </w:r>
      <w:r w:rsidR="00636AFA" w:rsidRPr="00417DA7">
        <w:rPr>
          <w:rFonts w:cs="Times New Roman"/>
          <w:szCs w:val="24"/>
          <w:vertAlign w:val="superscript"/>
        </w:rPr>
        <w:sym w:font="Wingdings" w:char="F0AB"/>
      </w:r>
      <w:r w:rsidR="00636AFA" w:rsidRPr="00417DA7">
        <w:rPr>
          <w:rFonts w:cs="Times New Roman"/>
          <w:szCs w:val="24"/>
        </w:rPr>
        <w:t xml:space="preserve">p&lt;0.001 (lesion effect); </w:t>
      </w:r>
      <w:r w:rsidR="00636AFA" w:rsidRPr="00417DA7">
        <w:rPr>
          <w:rFonts w:cs="Times New Roman"/>
          <w:szCs w:val="24"/>
          <w:vertAlign w:val="superscript"/>
        </w:rPr>
        <w:t>###</w:t>
      </w:r>
      <w:r w:rsidR="00636AFA" w:rsidRPr="00417DA7">
        <w:rPr>
          <w:rFonts w:cs="Times New Roman"/>
          <w:szCs w:val="24"/>
        </w:rPr>
        <w:t>p&lt;0.001 (treatment effect).</w:t>
      </w:r>
    </w:p>
    <w:p w:rsidR="00417DA7" w:rsidRPr="00417DA7" w:rsidRDefault="004A54CB" w:rsidP="00417DA7">
      <w:pPr>
        <w:jc w:val="both"/>
        <w:rPr>
          <w:rFonts w:cs="Times New Roman"/>
          <w:szCs w:val="24"/>
        </w:rPr>
      </w:pPr>
      <w:r w:rsidRPr="00417DA7">
        <w:rPr>
          <w:noProof/>
          <w:lang w:eastAsia="es-ES"/>
        </w:rPr>
        <w:lastRenderedPageBreak/>
        <w:drawing>
          <wp:inline distT="0" distB="0" distL="0" distR="0">
            <wp:extent cx="5381625" cy="6705600"/>
            <wp:effectExtent l="0" t="0" r="952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85" t="15295" r="5022" b="8331"/>
                    <a:stretch/>
                  </pic:blipFill>
                  <pic:spPr bwMode="auto">
                    <a:xfrm>
                      <a:off x="0" y="0"/>
                      <a:ext cx="5382176" cy="6706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31721" w:rsidRPr="00417DA7">
        <w:rPr>
          <w:rFonts w:cs="Times New Roman"/>
          <w:b/>
          <w:szCs w:val="24"/>
        </w:rPr>
        <w:t xml:space="preserve">Supplementary Figure </w:t>
      </w:r>
      <w:r w:rsidR="00417DA7" w:rsidRPr="00417DA7">
        <w:rPr>
          <w:rFonts w:cs="Times New Roman"/>
          <w:b/>
          <w:szCs w:val="24"/>
        </w:rPr>
        <w:t>4</w:t>
      </w:r>
      <w:r w:rsidR="00F31721" w:rsidRPr="00417DA7">
        <w:rPr>
          <w:rFonts w:cs="Times New Roman"/>
          <w:b/>
          <w:szCs w:val="24"/>
        </w:rPr>
        <w:t xml:space="preserve">. </w:t>
      </w:r>
      <w:r w:rsidR="00F31721" w:rsidRPr="00417DA7">
        <w:rPr>
          <w:rFonts w:cs="Times New Roman"/>
          <w:szCs w:val="24"/>
        </w:rPr>
        <w:t>Effects of an acute administration of octadecylpropyl sulfamide (SUL10, 10 mg/kg) and GW6471 (GW, 1 mg/kg) on the number of NeuN positive cells induced by HI in the ipsilateral hippocampal areas dentate gyrus (A) and CA1 (B). Data represent mean +S.E.M. cells per mm</w:t>
      </w:r>
      <w:r w:rsidR="00F31721" w:rsidRPr="00417DA7">
        <w:rPr>
          <w:rFonts w:cs="Times New Roman"/>
          <w:szCs w:val="24"/>
          <w:vertAlign w:val="superscript"/>
        </w:rPr>
        <w:t>2</w:t>
      </w:r>
      <w:r w:rsidR="00F31721" w:rsidRPr="00417DA7">
        <w:rPr>
          <w:rFonts w:cs="Times New Roman"/>
          <w:szCs w:val="24"/>
          <w:vertAlign w:val="subscript"/>
        </w:rPr>
        <w:t xml:space="preserve"> </w:t>
      </w:r>
      <w:r w:rsidR="00F31721" w:rsidRPr="00417DA7">
        <w:rPr>
          <w:rFonts w:cs="Times New Roman"/>
          <w:szCs w:val="24"/>
        </w:rPr>
        <w:t xml:space="preserve">in VEH/VEH (n=11 HI mice; n=7 sham-operated), VEH/SUL10 (n=9 HI mice; n=8 sham-operated), GW/VEH (n=7 HI mice; n=7 sham-operated), GW/SUL10 (n=5 HI mice; n=8 sham-operated) treatment groups. The panels show representative images of NeuN expression in the ipsilateral dentate gyrus (C) and CA1 (D). Scale bar = 100 μm. </w:t>
      </w:r>
      <w:r w:rsidR="00F31721" w:rsidRPr="00417DA7">
        <w:rPr>
          <w:rFonts w:cs="Times New Roman"/>
          <w:szCs w:val="24"/>
          <w:vertAlign w:val="superscript"/>
        </w:rPr>
        <w:sym w:font="Wingdings" w:char="F0AB"/>
      </w:r>
      <w:r w:rsidR="00F31721" w:rsidRPr="00417DA7">
        <w:rPr>
          <w:rFonts w:cs="Times New Roman"/>
          <w:szCs w:val="24"/>
          <w:vertAlign w:val="superscript"/>
        </w:rPr>
        <w:sym w:font="Wingdings" w:char="F0AB"/>
      </w:r>
      <w:r w:rsidR="00F31721" w:rsidRPr="00417DA7">
        <w:rPr>
          <w:rFonts w:cs="Times New Roman"/>
          <w:szCs w:val="24"/>
          <w:vertAlign w:val="superscript"/>
        </w:rPr>
        <w:t>/</w:t>
      </w:r>
      <w:r w:rsidR="00F31721" w:rsidRPr="00417DA7">
        <w:rPr>
          <w:rFonts w:cs="Times New Roman"/>
          <w:szCs w:val="24"/>
          <w:vertAlign w:val="superscript"/>
        </w:rPr>
        <w:sym w:font="Wingdings" w:char="F0AB"/>
      </w:r>
      <w:r w:rsidR="00F31721" w:rsidRPr="00417DA7">
        <w:rPr>
          <w:rFonts w:cs="Times New Roman"/>
          <w:szCs w:val="24"/>
          <w:vertAlign w:val="superscript"/>
        </w:rPr>
        <w:sym w:font="Wingdings" w:char="F0AB"/>
      </w:r>
      <w:r w:rsidR="00F31721" w:rsidRPr="00417DA7">
        <w:rPr>
          <w:rFonts w:cs="Times New Roman"/>
          <w:szCs w:val="24"/>
          <w:vertAlign w:val="superscript"/>
        </w:rPr>
        <w:sym w:font="Wingdings" w:char="F0AB"/>
      </w:r>
      <w:r w:rsidR="00F31721" w:rsidRPr="00417DA7">
        <w:rPr>
          <w:rFonts w:cs="Times New Roman"/>
          <w:szCs w:val="24"/>
        </w:rPr>
        <w:t xml:space="preserve">p&lt;0.01/0.001 (lesion effect); </w:t>
      </w:r>
      <w:r w:rsidR="00F31721" w:rsidRPr="00417DA7">
        <w:rPr>
          <w:rFonts w:cs="Times New Roman"/>
          <w:szCs w:val="24"/>
          <w:vertAlign w:val="superscript"/>
        </w:rPr>
        <w:sym w:font="Wingdings" w:char="F0B6"/>
      </w:r>
      <w:r w:rsidR="00F31721" w:rsidRPr="00417DA7">
        <w:rPr>
          <w:rFonts w:cs="Times New Roman"/>
          <w:szCs w:val="24"/>
        </w:rPr>
        <w:t>p&lt;0.05 (antagonist effect).</w:t>
      </w:r>
    </w:p>
    <w:p w:rsidR="0093745D" w:rsidRPr="00417DA7" w:rsidRDefault="004A54CB" w:rsidP="00B74BC0">
      <w:pPr>
        <w:spacing w:before="240"/>
        <w:jc w:val="center"/>
      </w:pPr>
      <w:r w:rsidRPr="00417DA7">
        <w:rPr>
          <w:noProof/>
          <w:lang w:eastAsia="es-ES"/>
        </w:rPr>
        <w:lastRenderedPageBreak/>
        <w:drawing>
          <wp:inline distT="0" distB="0" distL="0" distR="0" wp14:anchorId="204FAF4E" wp14:editId="2C050ABF">
            <wp:extent cx="5467350" cy="666750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8" t="16814" r="4869" b="7247"/>
                    <a:stretch/>
                  </pic:blipFill>
                  <pic:spPr bwMode="auto">
                    <a:xfrm>
                      <a:off x="0" y="0"/>
                      <a:ext cx="5467909" cy="6668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1904" w:rsidRPr="00417DA7" w:rsidRDefault="0093745D" w:rsidP="00417DA7">
      <w:pPr>
        <w:jc w:val="both"/>
      </w:pPr>
      <w:r w:rsidRPr="00417DA7">
        <w:rPr>
          <w:rFonts w:cs="Times New Roman"/>
          <w:b/>
          <w:szCs w:val="24"/>
        </w:rPr>
        <w:t xml:space="preserve">Supplementary Figure </w:t>
      </w:r>
      <w:r w:rsidR="00417DA7" w:rsidRPr="00417DA7">
        <w:rPr>
          <w:rFonts w:cs="Times New Roman"/>
          <w:b/>
          <w:szCs w:val="24"/>
        </w:rPr>
        <w:t>5</w:t>
      </w:r>
      <w:r w:rsidRPr="00417DA7">
        <w:rPr>
          <w:rFonts w:cs="Times New Roman"/>
          <w:b/>
          <w:szCs w:val="24"/>
        </w:rPr>
        <w:t xml:space="preserve">. </w:t>
      </w:r>
      <w:r w:rsidRPr="00417DA7">
        <w:rPr>
          <w:rFonts w:cs="Times New Roman"/>
          <w:szCs w:val="24"/>
        </w:rPr>
        <w:t>Effects of an acute administration of octadecylpropyl sulfamide (SUL10, 10 mg/kg) and GW6471 (GW, 1 mg/kg) on the number of NeuN positive cells induced by HI in the ipsilateral entorhinal cortex (A) and piriform cortex (</w:t>
      </w:r>
      <w:r w:rsidR="00636AFA" w:rsidRPr="00417DA7">
        <w:rPr>
          <w:rFonts w:cs="Times New Roman"/>
          <w:szCs w:val="24"/>
        </w:rPr>
        <w:t>B</w:t>
      </w:r>
      <w:r w:rsidRPr="00417DA7">
        <w:rPr>
          <w:rFonts w:cs="Times New Roman"/>
          <w:szCs w:val="24"/>
        </w:rPr>
        <w:t>). Data represent mean +S.E.M. cells per mm</w:t>
      </w:r>
      <w:r w:rsidRPr="00417DA7">
        <w:rPr>
          <w:rFonts w:cs="Times New Roman"/>
          <w:szCs w:val="24"/>
          <w:vertAlign w:val="superscript"/>
        </w:rPr>
        <w:t>2</w:t>
      </w:r>
      <w:r w:rsidRPr="00417DA7">
        <w:rPr>
          <w:rFonts w:cs="Times New Roman"/>
          <w:szCs w:val="24"/>
          <w:vertAlign w:val="subscript"/>
        </w:rPr>
        <w:t xml:space="preserve"> </w:t>
      </w:r>
      <w:r w:rsidRPr="00417DA7">
        <w:rPr>
          <w:rFonts w:cs="Times New Roman"/>
          <w:szCs w:val="24"/>
        </w:rPr>
        <w:t>in VEH/VEH (n=11 HI mice; n=7 sham-operated), VEH/SUL10 (n=9 HI mice; n=8 sham-operated), GW/VEH (n=7 HI mice; n=7 sham-operated), GW/SUL10 (n=5 HI mice; n=8 sham-operated) treatment groups. The panels show representative images of NeuN expression in the ipsilateral entorhinal cortex (</w:t>
      </w:r>
      <w:r w:rsidR="00636AFA" w:rsidRPr="00417DA7">
        <w:rPr>
          <w:rFonts w:cs="Times New Roman"/>
          <w:szCs w:val="24"/>
        </w:rPr>
        <w:t>C</w:t>
      </w:r>
      <w:r w:rsidRPr="00417DA7">
        <w:rPr>
          <w:rFonts w:cs="Times New Roman"/>
          <w:szCs w:val="24"/>
        </w:rPr>
        <w:t xml:space="preserve">) and piriform cortex (D). Scale bar = 100 μm. </w:t>
      </w:r>
      <w:r w:rsidRPr="00417DA7">
        <w:rPr>
          <w:rFonts w:cs="Times New Roman"/>
          <w:szCs w:val="24"/>
          <w:vertAlign w:val="superscript"/>
        </w:rPr>
        <w:sym w:font="Wingdings" w:char="F0AB"/>
      </w:r>
      <w:r w:rsidRPr="00417DA7">
        <w:rPr>
          <w:rFonts w:cs="Times New Roman"/>
          <w:szCs w:val="24"/>
          <w:vertAlign w:val="superscript"/>
        </w:rPr>
        <w:sym w:font="Wingdings" w:char="F0AB"/>
      </w:r>
      <w:r w:rsidRPr="00417DA7">
        <w:rPr>
          <w:rFonts w:cs="Times New Roman"/>
          <w:szCs w:val="24"/>
          <w:vertAlign w:val="superscript"/>
        </w:rPr>
        <w:t>/</w:t>
      </w:r>
      <w:r w:rsidRPr="00417DA7">
        <w:rPr>
          <w:rFonts w:cs="Times New Roman"/>
          <w:szCs w:val="24"/>
          <w:vertAlign w:val="superscript"/>
        </w:rPr>
        <w:sym w:font="Wingdings" w:char="F0AB"/>
      </w:r>
      <w:r w:rsidRPr="00417DA7">
        <w:rPr>
          <w:rFonts w:cs="Times New Roman"/>
          <w:szCs w:val="24"/>
          <w:vertAlign w:val="superscript"/>
        </w:rPr>
        <w:sym w:font="Wingdings" w:char="F0AB"/>
      </w:r>
      <w:r w:rsidRPr="00417DA7">
        <w:rPr>
          <w:rFonts w:cs="Times New Roman"/>
          <w:szCs w:val="24"/>
          <w:vertAlign w:val="superscript"/>
        </w:rPr>
        <w:sym w:font="Wingdings" w:char="F0AB"/>
      </w:r>
      <w:r w:rsidRPr="00417DA7">
        <w:rPr>
          <w:rFonts w:cs="Times New Roman"/>
          <w:szCs w:val="24"/>
        </w:rPr>
        <w:t xml:space="preserve">p&lt;0.01/0.001 (lesion effect); </w:t>
      </w:r>
      <w:r w:rsidRPr="00417DA7">
        <w:rPr>
          <w:rFonts w:cs="Times New Roman"/>
          <w:szCs w:val="24"/>
          <w:vertAlign w:val="superscript"/>
        </w:rPr>
        <w:t>#</w:t>
      </w:r>
      <w:r w:rsidRPr="00417DA7">
        <w:rPr>
          <w:rFonts w:cs="Times New Roman"/>
          <w:szCs w:val="24"/>
        </w:rPr>
        <w:t>p&lt;0.05 (treatment effect).</w:t>
      </w:r>
    </w:p>
    <w:p w:rsidR="0093745D" w:rsidRPr="00417DA7" w:rsidRDefault="0093745D" w:rsidP="001E1B5E">
      <w:pPr>
        <w:rPr>
          <w:rFonts w:cs="Times New Roman"/>
          <w:szCs w:val="24"/>
        </w:rPr>
      </w:pPr>
      <w:r w:rsidRPr="00417DA7">
        <w:rPr>
          <w:rFonts w:cs="Times New Roman"/>
          <w:b/>
          <w:szCs w:val="24"/>
        </w:rPr>
        <w:lastRenderedPageBreak/>
        <w:t xml:space="preserve">Supplementary Table </w:t>
      </w:r>
      <w:r w:rsidRPr="00417DA7">
        <w:rPr>
          <w:rFonts w:cs="Times New Roman"/>
          <w:b/>
          <w:noProof/>
          <w:szCs w:val="24"/>
        </w:rPr>
        <w:t>1.</w:t>
      </w:r>
      <w:r w:rsidRPr="00417DA7">
        <w:rPr>
          <w:rFonts w:cs="Times New Roman"/>
          <w:b/>
          <w:szCs w:val="24"/>
        </w:rPr>
        <w:t xml:space="preserve"> </w:t>
      </w:r>
      <w:r w:rsidRPr="00417DA7">
        <w:rPr>
          <w:rFonts w:cs="Times New Roman"/>
          <w:szCs w:val="24"/>
        </w:rPr>
        <w:t xml:space="preserve">NAEs </w:t>
      </w:r>
      <w:r w:rsidR="00412801" w:rsidRPr="00417DA7">
        <w:rPr>
          <w:rFonts w:cs="Times New Roman"/>
          <w:szCs w:val="24"/>
        </w:rPr>
        <w:t>signaling</w:t>
      </w:r>
      <w:r w:rsidRPr="00417DA7">
        <w:rPr>
          <w:rFonts w:cs="Times New Roman"/>
          <w:szCs w:val="24"/>
        </w:rPr>
        <w:t xml:space="preserve"> changes in the ipsilateral cortex and hippocampus. Statistical values for 3-way ANOVAs.</w:t>
      </w:r>
    </w:p>
    <w:tbl>
      <w:tblPr>
        <w:tblStyle w:val="Tablaconcuadrcula1"/>
        <w:tblpPr w:leftFromText="141" w:rightFromText="141" w:vertAnchor="text" w:tblpY="1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1030"/>
        <w:gridCol w:w="1550"/>
        <w:gridCol w:w="2944"/>
        <w:gridCol w:w="2835"/>
      </w:tblGrid>
      <w:tr w:rsidR="0093745D" w:rsidRPr="00417DA7" w:rsidTr="0093745D">
        <w:trPr>
          <w:trHeight w:val="336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Gene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Brain structure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Factor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Statistical value</w:t>
            </w:r>
          </w:p>
        </w:tc>
      </w:tr>
      <w:tr w:rsidR="0093745D" w:rsidRPr="00417DA7" w:rsidTr="0093745D"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i/>
                <w:color w:val="000000"/>
                <w:szCs w:val="24"/>
                <w:shd w:val="clear" w:color="auto" w:fill="FFFFFF"/>
                <w:lang w:val="en-US"/>
              </w:rPr>
              <w:t>Cnr1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Motor cortex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Treatment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7.352, p&lt;0.05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5.869, p&lt;0.05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Hippocampus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Lesion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9.807, p&lt;0.01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Treatment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23.808,  p&lt;0.001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Lesion-treatment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37.398, p&lt;0.001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7.854, p&lt;0.01</w:t>
            </w:r>
          </w:p>
        </w:tc>
      </w:tr>
      <w:tr w:rsidR="0093745D" w:rsidRPr="00417DA7" w:rsidTr="0093745D"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i/>
                <w:color w:val="000000"/>
                <w:szCs w:val="24"/>
                <w:shd w:val="clear" w:color="auto" w:fill="FFFFFF"/>
                <w:lang w:val="en-US"/>
              </w:rPr>
              <w:t>Cnr2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Motor cortex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Lesion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15.172, p&lt;0.001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Treatment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28.584, p&lt;0.001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25.821, p&lt;0.001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61.205, p&lt;0.001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Lesion-treatment-antagonist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4.527, p&lt;0.001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Hippocampus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Lesion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20.155, p&lt;0.001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Treatment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39.897, p&lt;0.001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Lesion- treatment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9.406, p&lt;0.01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Lesion-antagonist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4.824, p&lt;0.05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46.102, p&lt;0.001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Lesion-treatment-antagonist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6.123, p&lt;0.05</w:t>
            </w:r>
          </w:p>
        </w:tc>
      </w:tr>
      <w:tr w:rsidR="0093745D" w:rsidRPr="00417DA7" w:rsidTr="0093745D"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  <w:proofErr w:type="spellStart"/>
            <w:r w:rsidRPr="00417DA7">
              <w:rPr>
                <w:i/>
                <w:color w:val="000000"/>
                <w:szCs w:val="24"/>
                <w:shd w:val="clear" w:color="auto" w:fill="FFFFFF"/>
                <w:lang w:val="en-US"/>
              </w:rPr>
              <w:t>Napepld</w:t>
            </w:r>
            <w:proofErr w:type="spellEnd"/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Motor cortex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Treatment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1,38)= 21.058, p&lt;0.001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1,38)= 13.660, p&lt;0.01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Hippocampus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Lesion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1,39)= 7.304, p&lt;0.05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Treatment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1,39)= 29.198, p&lt;0.001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Lesion-treatment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1,39)= 19.816, p&lt;0.001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1,39)= 10.484, p&lt;0.01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Lesion-treatment-antagonist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1,39)= 5.348, p&lt;0.05</w:t>
            </w:r>
          </w:p>
        </w:tc>
      </w:tr>
      <w:tr w:rsidR="0093745D" w:rsidRPr="00417DA7" w:rsidTr="0093745D"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  <w:proofErr w:type="spellStart"/>
            <w:r w:rsidRPr="00417DA7">
              <w:rPr>
                <w:i/>
                <w:color w:val="000000"/>
                <w:szCs w:val="24"/>
                <w:shd w:val="clear" w:color="auto" w:fill="FFFFFF"/>
                <w:lang w:val="en-US"/>
              </w:rPr>
              <w:t>Faah</w:t>
            </w:r>
            <w:proofErr w:type="spellEnd"/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Motor cortex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Lesion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4.906, p&lt;0.05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Treatment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5.663, p&lt;0.05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8.957, p&lt;0.01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Lesion-antagonist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5.542, p&lt;0.05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48.871, p&lt;0.05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Hippocampus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Lesion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8.875, p&lt;0.01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Treatment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9.933, p&lt;0.01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1,41)= 18.98, p&lt;0.001</w:t>
            </w:r>
          </w:p>
        </w:tc>
      </w:tr>
      <w:tr w:rsidR="0093745D" w:rsidRPr="00417DA7" w:rsidTr="0093745D"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  <w:proofErr w:type="spellStart"/>
            <w:r w:rsidRPr="00417DA7">
              <w:rPr>
                <w:i/>
                <w:color w:val="000000"/>
                <w:szCs w:val="24"/>
                <w:shd w:val="clear" w:color="auto" w:fill="FFFFFF"/>
                <w:lang w:val="en-US"/>
              </w:rPr>
              <w:t>Ppar</w:t>
            </w:r>
            <w:proofErr w:type="spellEnd"/>
            <w:r w:rsidRPr="00417DA7">
              <w:rPr>
                <w:i/>
                <w:color w:val="000000"/>
                <w:szCs w:val="24"/>
                <w:shd w:val="clear" w:color="auto" w:fill="FFFFFF"/>
                <w:lang w:val="en-US"/>
              </w:rPr>
              <w:t>α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Motor cortex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Lesion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1,34)= 46.306, p&lt;0.001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Treatment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1,34)= 51.559, p&lt;0.001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1,34),= 28.271, p&lt;0.001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Lesion- treatment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1,34)= 20.551, p&lt;0.001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Lesion-antagonist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1,34)= 14.490, p&lt;0.01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1,34)= 62.16, p&lt;0.001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Lesion-treatment-antagonist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1,34)= 32.82, p&lt;0.001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Hippocampus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 xml:space="preserve">Treatment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1,32)= 7.335, p&lt;0.05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Lesion- treatment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szCs w:val="24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1,32)= 5.505, p&lt;0.05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Lesion-antagonist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szCs w:val="24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1,32)= 12.628, p&lt;0.01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szCs w:val="24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1,32)= 15.184, p&lt;0.001</w:t>
            </w:r>
          </w:p>
        </w:tc>
      </w:tr>
      <w:tr w:rsidR="0093745D" w:rsidRPr="00417DA7" w:rsidTr="009374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i/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color w:val="000000"/>
                <w:szCs w:val="24"/>
                <w:shd w:val="clear" w:color="auto" w:fill="FFFFFF"/>
                <w:lang w:val="en-US"/>
              </w:rPr>
            </w:pPr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Lesion-treatment-antagonist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D" w:rsidRPr="00417DA7" w:rsidRDefault="0093745D" w:rsidP="0093745D">
            <w:pPr>
              <w:spacing w:before="0" w:after="0"/>
              <w:rPr>
                <w:szCs w:val="24"/>
                <w:lang w:val="en-US"/>
              </w:rPr>
            </w:pPr>
            <w:proofErr w:type="gramStart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F(</w:t>
            </w:r>
            <w:proofErr w:type="gramEnd"/>
            <w:r w:rsidRPr="00417DA7">
              <w:rPr>
                <w:color w:val="000000"/>
                <w:szCs w:val="24"/>
                <w:shd w:val="clear" w:color="auto" w:fill="FFFFFF"/>
                <w:lang w:val="en-US"/>
              </w:rPr>
              <w:t>1,32)= 8.521, p&lt;0.01</w:t>
            </w:r>
          </w:p>
        </w:tc>
      </w:tr>
    </w:tbl>
    <w:p w:rsidR="0093745D" w:rsidRPr="00417DA7" w:rsidRDefault="0093745D" w:rsidP="0093745D">
      <w:pPr>
        <w:rPr>
          <w:rFonts w:cs="Times New Roman"/>
          <w:szCs w:val="24"/>
        </w:rPr>
      </w:pPr>
      <w:r w:rsidRPr="00417DA7">
        <w:rPr>
          <w:rFonts w:eastAsia="Times New Roman" w:cs="Times New Roman"/>
          <w:b/>
          <w:color w:val="000000"/>
          <w:sz w:val="36"/>
          <w:shd w:val="clear" w:color="auto" w:fill="FFFFFF"/>
          <w:lang w:eastAsia="es-ES"/>
        </w:rPr>
        <w:br w:type="textWrapping" w:clear="all"/>
      </w:r>
    </w:p>
    <w:p w:rsidR="00B74BC0" w:rsidRPr="00417DA7" w:rsidRDefault="00B74BC0" w:rsidP="001E1B5E">
      <w:pPr>
        <w:rPr>
          <w:rFonts w:cs="Times New Roman"/>
          <w:b/>
          <w:szCs w:val="24"/>
        </w:rPr>
      </w:pPr>
    </w:p>
    <w:p w:rsidR="00B74BC0" w:rsidRPr="00417DA7" w:rsidRDefault="00B74BC0" w:rsidP="001E1B5E">
      <w:pPr>
        <w:rPr>
          <w:rFonts w:cs="Times New Roman"/>
          <w:b/>
          <w:szCs w:val="24"/>
        </w:rPr>
      </w:pPr>
    </w:p>
    <w:p w:rsidR="00B74BC0" w:rsidRPr="00417DA7" w:rsidRDefault="00B74BC0" w:rsidP="001E1B5E">
      <w:pPr>
        <w:rPr>
          <w:rFonts w:cs="Times New Roman"/>
          <w:b/>
          <w:szCs w:val="24"/>
        </w:rPr>
      </w:pPr>
    </w:p>
    <w:p w:rsidR="00B74BC0" w:rsidRPr="00417DA7" w:rsidRDefault="00B74BC0" w:rsidP="001E1B5E">
      <w:pPr>
        <w:rPr>
          <w:rFonts w:cs="Times New Roman"/>
          <w:b/>
          <w:szCs w:val="24"/>
        </w:rPr>
      </w:pPr>
    </w:p>
    <w:p w:rsidR="00B74BC0" w:rsidRPr="00417DA7" w:rsidRDefault="00B74BC0" w:rsidP="001E1B5E">
      <w:pPr>
        <w:rPr>
          <w:rFonts w:cs="Times New Roman"/>
          <w:b/>
          <w:szCs w:val="24"/>
        </w:rPr>
      </w:pPr>
    </w:p>
    <w:p w:rsidR="00B74BC0" w:rsidRPr="00417DA7" w:rsidRDefault="00B74BC0" w:rsidP="001E1B5E">
      <w:pPr>
        <w:rPr>
          <w:rFonts w:cs="Times New Roman"/>
          <w:b/>
          <w:szCs w:val="24"/>
        </w:rPr>
      </w:pPr>
    </w:p>
    <w:p w:rsidR="00B74BC0" w:rsidRPr="00417DA7" w:rsidRDefault="00B74BC0" w:rsidP="001E1B5E">
      <w:pPr>
        <w:rPr>
          <w:rFonts w:cs="Times New Roman"/>
          <w:b/>
          <w:szCs w:val="24"/>
        </w:rPr>
      </w:pPr>
    </w:p>
    <w:p w:rsidR="00B74BC0" w:rsidRPr="00417DA7" w:rsidRDefault="00B74BC0" w:rsidP="001E1B5E">
      <w:pPr>
        <w:rPr>
          <w:rFonts w:cs="Times New Roman"/>
          <w:b/>
          <w:szCs w:val="24"/>
        </w:rPr>
      </w:pPr>
    </w:p>
    <w:p w:rsidR="00B74BC0" w:rsidRPr="00417DA7" w:rsidRDefault="00B74BC0" w:rsidP="001E1B5E">
      <w:pPr>
        <w:rPr>
          <w:rFonts w:cs="Times New Roman"/>
          <w:b/>
          <w:szCs w:val="24"/>
        </w:rPr>
      </w:pPr>
    </w:p>
    <w:p w:rsidR="00B74BC0" w:rsidRPr="00417DA7" w:rsidRDefault="00B74BC0" w:rsidP="001E1B5E">
      <w:pPr>
        <w:rPr>
          <w:rFonts w:cs="Times New Roman"/>
          <w:b/>
          <w:szCs w:val="24"/>
        </w:rPr>
      </w:pPr>
    </w:p>
    <w:p w:rsidR="00B74BC0" w:rsidRPr="00417DA7" w:rsidRDefault="00B74BC0" w:rsidP="001E1B5E">
      <w:pPr>
        <w:rPr>
          <w:rFonts w:cs="Times New Roman"/>
          <w:b/>
          <w:szCs w:val="24"/>
        </w:rPr>
      </w:pPr>
    </w:p>
    <w:p w:rsidR="00B74BC0" w:rsidRPr="00417DA7" w:rsidRDefault="00B74BC0" w:rsidP="001E1B5E">
      <w:pPr>
        <w:rPr>
          <w:rFonts w:cs="Times New Roman"/>
          <w:b/>
          <w:szCs w:val="24"/>
        </w:rPr>
      </w:pPr>
    </w:p>
    <w:p w:rsidR="00B74BC0" w:rsidRPr="00417DA7" w:rsidRDefault="00B74BC0" w:rsidP="001E1B5E">
      <w:pPr>
        <w:rPr>
          <w:rFonts w:cs="Times New Roman"/>
          <w:b/>
          <w:szCs w:val="24"/>
        </w:rPr>
      </w:pPr>
    </w:p>
    <w:p w:rsidR="00B74BC0" w:rsidRPr="00417DA7" w:rsidRDefault="00B74BC0" w:rsidP="001E1B5E">
      <w:pPr>
        <w:rPr>
          <w:rFonts w:cs="Times New Roman"/>
          <w:b/>
          <w:szCs w:val="24"/>
        </w:rPr>
      </w:pPr>
    </w:p>
    <w:p w:rsidR="00B74BC0" w:rsidRPr="00417DA7" w:rsidRDefault="00B74BC0" w:rsidP="001E1B5E">
      <w:pPr>
        <w:rPr>
          <w:rFonts w:cs="Times New Roman"/>
          <w:b/>
          <w:szCs w:val="24"/>
        </w:rPr>
      </w:pPr>
    </w:p>
    <w:p w:rsidR="00B74BC0" w:rsidRPr="00417DA7" w:rsidRDefault="00B74BC0" w:rsidP="001E1B5E">
      <w:pPr>
        <w:rPr>
          <w:rFonts w:cs="Times New Roman"/>
          <w:b/>
          <w:szCs w:val="24"/>
        </w:rPr>
      </w:pPr>
    </w:p>
    <w:p w:rsidR="00B74BC0" w:rsidRPr="00417DA7" w:rsidRDefault="00B74BC0" w:rsidP="001E1B5E">
      <w:pPr>
        <w:rPr>
          <w:rFonts w:cs="Times New Roman"/>
          <w:b/>
          <w:szCs w:val="24"/>
        </w:rPr>
      </w:pPr>
    </w:p>
    <w:p w:rsidR="00B74BC0" w:rsidRPr="00417DA7" w:rsidRDefault="00B74BC0" w:rsidP="001E1B5E">
      <w:pPr>
        <w:rPr>
          <w:rFonts w:cs="Times New Roman"/>
          <w:b/>
          <w:szCs w:val="24"/>
        </w:rPr>
      </w:pPr>
    </w:p>
    <w:p w:rsidR="00B74BC0" w:rsidRPr="00417DA7" w:rsidRDefault="00B74BC0" w:rsidP="001E1B5E">
      <w:pPr>
        <w:rPr>
          <w:rFonts w:cs="Times New Roman"/>
          <w:b/>
          <w:szCs w:val="24"/>
        </w:rPr>
      </w:pPr>
    </w:p>
    <w:p w:rsidR="00B74BC0" w:rsidRPr="00417DA7" w:rsidRDefault="00B74BC0" w:rsidP="001E1B5E">
      <w:pPr>
        <w:rPr>
          <w:rFonts w:cs="Times New Roman"/>
          <w:b/>
          <w:szCs w:val="24"/>
        </w:rPr>
      </w:pPr>
    </w:p>
    <w:p w:rsidR="00B74BC0" w:rsidRPr="00417DA7" w:rsidRDefault="00B74BC0" w:rsidP="001E1B5E">
      <w:pPr>
        <w:rPr>
          <w:rFonts w:cs="Times New Roman"/>
          <w:b/>
          <w:szCs w:val="24"/>
        </w:rPr>
      </w:pPr>
    </w:p>
    <w:p w:rsidR="00B74BC0" w:rsidRPr="00417DA7" w:rsidRDefault="00B74BC0" w:rsidP="001E1B5E">
      <w:pPr>
        <w:rPr>
          <w:rFonts w:cs="Times New Roman"/>
          <w:b/>
          <w:szCs w:val="24"/>
        </w:rPr>
      </w:pPr>
    </w:p>
    <w:p w:rsidR="001E1B5E" w:rsidRPr="00417DA7" w:rsidRDefault="0093745D" w:rsidP="001E1B5E">
      <w:pPr>
        <w:rPr>
          <w:rFonts w:cs="Times New Roman"/>
          <w:szCs w:val="24"/>
        </w:rPr>
      </w:pPr>
      <w:r w:rsidRPr="00417DA7">
        <w:rPr>
          <w:rFonts w:cs="Times New Roman"/>
          <w:b/>
          <w:szCs w:val="24"/>
        </w:rPr>
        <w:lastRenderedPageBreak/>
        <w:t xml:space="preserve">Supplementary Table 2. </w:t>
      </w:r>
      <w:r w:rsidRPr="00417DA7">
        <w:rPr>
          <w:rFonts w:cs="Times New Roman"/>
          <w:szCs w:val="24"/>
        </w:rPr>
        <w:t xml:space="preserve">Neuroimmune </w:t>
      </w:r>
      <w:r w:rsidR="00412801" w:rsidRPr="00417DA7">
        <w:rPr>
          <w:rFonts w:cs="Times New Roman"/>
          <w:szCs w:val="24"/>
        </w:rPr>
        <w:t>signaling</w:t>
      </w:r>
      <w:r w:rsidRPr="00417DA7">
        <w:rPr>
          <w:rFonts w:cs="Times New Roman"/>
          <w:szCs w:val="24"/>
        </w:rPr>
        <w:t xml:space="preserve"> changes in the ipsilateral cortex and hippocampus. Statistical values for 3-way ANOVAs.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23"/>
        <w:gridCol w:w="1550"/>
        <w:gridCol w:w="2968"/>
        <w:gridCol w:w="2835"/>
      </w:tblGrid>
      <w:tr w:rsidR="001E1B5E" w:rsidRPr="00417DA7" w:rsidTr="001E1B5E">
        <w:trPr>
          <w:trHeight w:val="336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Gene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Brain structure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Factor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Statistical value</w:t>
            </w:r>
          </w:p>
        </w:tc>
      </w:tr>
      <w:tr w:rsidR="001E1B5E" w:rsidRPr="00417DA7" w:rsidTr="001E1B5E"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  <w:proofErr w:type="spellStart"/>
            <w:r w:rsidRPr="00412801"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  <w:t>Gfap</w:t>
            </w:r>
            <w:proofErr w:type="spellEnd"/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Motor cortex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Lesion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67.372, p&lt;0.001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Treatment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6.225, p&lt;0.05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18.599, p&lt;0.001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Lesion-antagonist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12</w:t>
            </w:r>
            <w:r w:rsidR="00B74BC0"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.</w:t>
            </w: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925, p&lt;0.01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6.731, p&lt;0.05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Lesion-treatment-antagonist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5.707, p&lt;0.05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Hippocampus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Lesion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61.076, p&lt;0.001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Treatment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4.409, p&lt;0.05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20.181, p&lt;0.001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Lesion-treatment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9.758, p&lt;0.001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Lesion-antagonist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16.961, p&lt;0.001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43.972, p&lt;0.001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Lesion-treatment-antagonist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44.854, p&lt;0.001</w:t>
            </w:r>
          </w:p>
        </w:tc>
      </w:tr>
      <w:tr w:rsidR="001E1B5E" w:rsidRPr="00417DA7" w:rsidTr="001E1B5E"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  <w:r w:rsidRPr="00412801"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  <w:t>Iba-1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Motor cortex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Lesion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1,41)= 19.754, p&lt;0.001 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Treatment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8.968, p&lt;0.01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6.411, p&lt;0.05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5.573, p&lt;0.05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Lesion-treatment-antagonist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5.397, p&lt;0.05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Hippocampus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Lesion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51.644, p&lt;0.001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10.751, p&lt;0.01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Lesion-antagonist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8.702, p&lt;0.01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22.242, p&lt;0.001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Lesion-treatment-antagonist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23.005, p&lt;0.001</w:t>
            </w:r>
          </w:p>
        </w:tc>
      </w:tr>
      <w:tr w:rsidR="001E1B5E" w:rsidRPr="00417DA7" w:rsidTr="001E1B5E"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  <w:r w:rsidRPr="00412801"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  <w:t>Cox2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Motor cortex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Treatment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1,39)= 11.442, p&lt;0.01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1,39)=11.725, p&lt;0.01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Hippocampus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Lesion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1,39)=8.194, p&lt;0.01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Treatment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1,39)=8.586, p&lt;0.01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Lesion-treatment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1,39)=8.390, p&lt;0.01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1,39)=10.512, p&lt;0.01</w:t>
            </w:r>
          </w:p>
        </w:tc>
      </w:tr>
      <w:tr w:rsidR="001E1B5E" w:rsidRPr="00417DA7" w:rsidTr="001E1B5E"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  <w:r w:rsidRPr="00412801"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  <w:t>Fcgr2b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Motor cortex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Lesion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1,37)= 23.557, p&lt;0.001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Treatment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1,37)= 14.386, p&lt;0.01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1,37)= 14.281, p&lt;0.01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Lesion-treatment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1,37)= 10.44, p&lt;0.01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Hippocampus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Lesion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29.362, p&lt;0.001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6.911, p&lt;0.05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Lesion-antagonist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5.096, p&lt;0.05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19.572, p&lt;0.001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Lesion-treatment-antagonist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1,41)= 16.263, p&lt;0.001</w:t>
            </w:r>
          </w:p>
        </w:tc>
      </w:tr>
      <w:tr w:rsidR="001E1B5E" w:rsidRPr="00417DA7" w:rsidTr="001E1B5E"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2801" w:rsidRDefault="001E1B5E" w:rsidP="001E1B5E">
            <w:pPr>
              <w:spacing w:before="0" w:after="0"/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</w:pPr>
            <w:r w:rsidRPr="00412801">
              <w:rPr>
                <w:rFonts w:cs="Times New Roman"/>
                <w:i/>
                <w:color w:val="000000"/>
                <w:szCs w:val="24"/>
                <w:shd w:val="clear" w:color="auto" w:fill="FFFFFF"/>
              </w:rPr>
              <w:t>Mrc1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Motor cortex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Lesion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1,38)= 8.378, p&lt;0.01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Treatment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1,38)= 14.983, p&lt;0.001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1,38)= 4.136, p&lt;0.05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Hippocampus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Lesion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1,39)= 13.167, p&lt;0.01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1,39)= 7.493, p&lt;0.01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Lesion-antagonist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1,39)= 7.023, p&lt;0.05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1,39)= 9.022, p&lt;0.01</w:t>
            </w:r>
          </w:p>
        </w:tc>
      </w:tr>
      <w:tr w:rsidR="001E1B5E" w:rsidRPr="00417DA7" w:rsidTr="001E1B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Lesion-treatment-antagonist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B5E" w:rsidRPr="00417DA7" w:rsidRDefault="001E1B5E" w:rsidP="001E1B5E">
            <w:pPr>
              <w:spacing w:before="0" w:after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gramStart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F(</w:t>
            </w:r>
            <w:proofErr w:type="gramEnd"/>
            <w:r w:rsidRPr="00417DA7">
              <w:rPr>
                <w:rFonts w:cs="Times New Roman"/>
                <w:color w:val="000000"/>
                <w:szCs w:val="24"/>
                <w:shd w:val="clear" w:color="auto" w:fill="FFFFFF"/>
              </w:rPr>
              <w:t>1,39)= 11.545, p&lt;0.01</w:t>
            </w:r>
          </w:p>
        </w:tc>
      </w:tr>
    </w:tbl>
    <w:p w:rsidR="001E1B5E" w:rsidRPr="00417DA7" w:rsidRDefault="001E1B5E" w:rsidP="001E1B5E">
      <w:pPr>
        <w:rPr>
          <w:rFonts w:cs="Times New Roman"/>
          <w:b/>
          <w:color w:val="000000"/>
          <w:shd w:val="clear" w:color="auto" w:fill="FFFFFF"/>
        </w:rPr>
      </w:pPr>
    </w:p>
    <w:p w:rsidR="001E1B5E" w:rsidRPr="00417DA7" w:rsidRDefault="001E1B5E" w:rsidP="001E1B5E">
      <w:pPr>
        <w:spacing w:after="0"/>
        <w:rPr>
          <w:rFonts w:ascii="Arial Narrow" w:hAnsi="Arial Narrow" w:cs="Arial"/>
          <w:color w:val="263238"/>
          <w:sz w:val="22"/>
        </w:rPr>
      </w:pPr>
    </w:p>
    <w:p w:rsidR="0093745D" w:rsidRPr="00417DA7" w:rsidRDefault="0093745D" w:rsidP="00654E8F">
      <w:pPr>
        <w:spacing w:before="240"/>
      </w:pPr>
    </w:p>
    <w:sectPr w:rsidR="0093745D" w:rsidRPr="00417DA7" w:rsidSect="0093429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6E6F" w:rsidRDefault="00866E6F" w:rsidP="00117666">
      <w:pPr>
        <w:spacing w:after="0"/>
      </w:pPr>
      <w:r>
        <w:separator/>
      </w:r>
    </w:p>
  </w:endnote>
  <w:endnote w:type="continuationSeparator" w:id="0">
    <w:p w:rsidR="00866E6F" w:rsidRDefault="00866E6F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4D2D" w:rsidRPr="00577C4C" w:rsidRDefault="00C14D2D">
    <w:pPr>
      <w:rPr>
        <w:color w:val="C00000"/>
        <w:szCs w:val="24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1E7D00" wp14:editId="52AE46F6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C14D2D" w:rsidRPr="00577C4C" w:rsidRDefault="00C14D2D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F7DD3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1E7D0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:rsidR="00C14D2D" w:rsidRPr="00577C4C" w:rsidRDefault="00C14D2D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F7DD3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4D2D" w:rsidRPr="00577C4C" w:rsidRDefault="00C14D2D">
    <w:pPr>
      <w:rPr>
        <w:b/>
        <w:sz w:val="20"/>
        <w:szCs w:val="24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866BCF3" wp14:editId="186BBD87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C14D2D" w:rsidRPr="00577C4C" w:rsidRDefault="00C14D2D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F7DD3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9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66BCF3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:rsidR="00C14D2D" w:rsidRPr="00577C4C" w:rsidRDefault="00C14D2D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F7DD3">
                      <w:rPr>
                        <w:noProof/>
                        <w:color w:val="000000" w:themeColor="text1"/>
                        <w:szCs w:val="40"/>
                      </w:rPr>
                      <w:t>9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6E6F" w:rsidRDefault="00866E6F" w:rsidP="00117666">
      <w:pPr>
        <w:spacing w:after="0"/>
      </w:pPr>
      <w:r>
        <w:separator/>
      </w:r>
    </w:p>
  </w:footnote>
  <w:footnote w:type="continuationSeparator" w:id="0">
    <w:p w:rsidR="00866E6F" w:rsidRDefault="00866E6F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4D2D" w:rsidRPr="009151AA" w:rsidRDefault="00C14D2D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54CB" w:rsidRPr="004A54CB" w:rsidRDefault="004A54CB" w:rsidP="004A54CB">
    <w:pPr>
      <w:jc w:val="right"/>
      <w:rPr>
        <w:rFonts w:cs="Times New Roman"/>
      </w:rPr>
    </w:pPr>
    <w:r w:rsidRPr="009151AA">
      <w:rPr>
        <w:rFonts w:cs="Times New Roman"/>
      </w:rPr>
      <w:t>Supplementary Material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4D2D" w:rsidRDefault="00C14D2D" w:rsidP="0093429D">
    <w:r w:rsidRPr="005A1D84">
      <w:rPr>
        <w:b/>
        <w:noProof/>
        <w:color w:val="A6A6A6" w:themeColor="background1" w:themeShade="A6"/>
        <w:lang w:val="es-ES" w:eastAsia="es-ES"/>
      </w:rPr>
      <w:drawing>
        <wp:inline distT="0" distB="0" distL="0" distR="0" wp14:anchorId="5B039D35" wp14:editId="34B2ECE5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Ttulo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Prrafodelist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B38"/>
    <w:rsid w:val="0001436A"/>
    <w:rsid w:val="00034304"/>
    <w:rsid w:val="00035434"/>
    <w:rsid w:val="00052A14"/>
    <w:rsid w:val="00077D53"/>
    <w:rsid w:val="000F623A"/>
    <w:rsid w:val="00105FD9"/>
    <w:rsid w:val="00117666"/>
    <w:rsid w:val="001206D7"/>
    <w:rsid w:val="001549D3"/>
    <w:rsid w:val="00160065"/>
    <w:rsid w:val="00161DB6"/>
    <w:rsid w:val="00177D84"/>
    <w:rsid w:val="001D1904"/>
    <w:rsid w:val="001E1B5E"/>
    <w:rsid w:val="00267D18"/>
    <w:rsid w:val="002868E2"/>
    <w:rsid w:val="002869C3"/>
    <w:rsid w:val="002936E4"/>
    <w:rsid w:val="002B4A57"/>
    <w:rsid w:val="002C74CA"/>
    <w:rsid w:val="002F7DD3"/>
    <w:rsid w:val="003544FB"/>
    <w:rsid w:val="00371C73"/>
    <w:rsid w:val="0039380F"/>
    <w:rsid w:val="003D2F2D"/>
    <w:rsid w:val="003F7703"/>
    <w:rsid w:val="00401590"/>
    <w:rsid w:val="00412801"/>
    <w:rsid w:val="00414D39"/>
    <w:rsid w:val="00417DA7"/>
    <w:rsid w:val="00447801"/>
    <w:rsid w:val="00452E9C"/>
    <w:rsid w:val="004735C8"/>
    <w:rsid w:val="004961FF"/>
    <w:rsid w:val="004A54CB"/>
    <w:rsid w:val="00517A89"/>
    <w:rsid w:val="005250F2"/>
    <w:rsid w:val="00541BCE"/>
    <w:rsid w:val="00593EEA"/>
    <w:rsid w:val="005A2A8C"/>
    <w:rsid w:val="005A5EEE"/>
    <w:rsid w:val="00636AFA"/>
    <w:rsid w:val="006375C7"/>
    <w:rsid w:val="00654E8F"/>
    <w:rsid w:val="00660D05"/>
    <w:rsid w:val="006820B1"/>
    <w:rsid w:val="006A4B38"/>
    <w:rsid w:val="006B7D14"/>
    <w:rsid w:val="00701727"/>
    <w:rsid w:val="0070566C"/>
    <w:rsid w:val="00714C50"/>
    <w:rsid w:val="00725A7D"/>
    <w:rsid w:val="007501BE"/>
    <w:rsid w:val="00785773"/>
    <w:rsid w:val="00790BB3"/>
    <w:rsid w:val="007C206C"/>
    <w:rsid w:val="00817DD6"/>
    <w:rsid w:val="00866E6F"/>
    <w:rsid w:val="00885156"/>
    <w:rsid w:val="00906B09"/>
    <w:rsid w:val="009151AA"/>
    <w:rsid w:val="0093429D"/>
    <w:rsid w:val="0093745D"/>
    <w:rsid w:val="00943573"/>
    <w:rsid w:val="00952B38"/>
    <w:rsid w:val="00970F7D"/>
    <w:rsid w:val="00994A3D"/>
    <w:rsid w:val="009C2B12"/>
    <w:rsid w:val="00A174D9"/>
    <w:rsid w:val="00AB6715"/>
    <w:rsid w:val="00AF4B7C"/>
    <w:rsid w:val="00B1671E"/>
    <w:rsid w:val="00B25EB8"/>
    <w:rsid w:val="00B37F4D"/>
    <w:rsid w:val="00B74BC0"/>
    <w:rsid w:val="00C14D2D"/>
    <w:rsid w:val="00C52A7B"/>
    <w:rsid w:val="00C56BAF"/>
    <w:rsid w:val="00C679AA"/>
    <w:rsid w:val="00C75972"/>
    <w:rsid w:val="00CD066B"/>
    <w:rsid w:val="00CE4FEE"/>
    <w:rsid w:val="00DB59C3"/>
    <w:rsid w:val="00DC259A"/>
    <w:rsid w:val="00DE23E8"/>
    <w:rsid w:val="00E3568B"/>
    <w:rsid w:val="00E52377"/>
    <w:rsid w:val="00E64E17"/>
    <w:rsid w:val="00E866C9"/>
    <w:rsid w:val="00EA3D3C"/>
    <w:rsid w:val="00F31721"/>
    <w:rsid w:val="00F324C2"/>
    <w:rsid w:val="00F46900"/>
    <w:rsid w:val="00F51E40"/>
    <w:rsid w:val="00F61D89"/>
    <w:rsid w:val="00F9001C"/>
    <w:rsid w:val="00FE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19ADB64"/>
  <w15:docId w15:val="{E54375B7-1CD5-4005-9823-B60796569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tulo1">
    <w:name w:val="heading 1"/>
    <w:basedOn w:val="Prrafodelista"/>
    <w:next w:val="Normal"/>
    <w:link w:val="Ttulo1C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tulo2">
    <w:name w:val="heading 2"/>
    <w:basedOn w:val="Ttulo1"/>
    <w:next w:val="Normal"/>
    <w:link w:val="Ttulo2C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Ttulo3">
    <w:name w:val="heading 3"/>
    <w:basedOn w:val="Normal"/>
    <w:next w:val="Normal"/>
    <w:link w:val="Ttulo3C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tulo4">
    <w:name w:val="heading 4"/>
    <w:basedOn w:val="Ttulo3"/>
    <w:next w:val="Normal"/>
    <w:link w:val="Ttulo4C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Ttulo5">
    <w:name w:val="heading 5"/>
    <w:basedOn w:val="Ttulo4"/>
    <w:next w:val="Normal"/>
    <w:link w:val="Ttulo5Car"/>
    <w:uiPriority w:val="2"/>
    <w:qFormat/>
    <w:rsid w:val="00AB6715"/>
    <w:pPr>
      <w:numPr>
        <w:ilvl w:val="4"/>
      </w:numPr>
      <w:outlineLvl w:val="4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tulo">
    <w:name w:val="Subtitle"/>
    <w:basedOn w:val="Normal"/>
    <w:next w:val="Normal"/>
    <w:link w:val="SubttuloC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tuloCar">
    <w:name w:val="Subtítulo Car"/>
    <w:basedOn w:val="Fuentedeprrafopredeter"/>
    <w:link w:val="Subttulo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tulo"/>
    <w:next w:val="Normal"/>
    <w:uiPriority w:val="1"/>
    <w:qFormat/>
    <w:rsid w:val="00AB6715"/>
  </w:style>
  <w:style w:type="paragraph" w:styleId="Textodeglobo">
    <w:name w:val="Balloon Text"/>
    <w:basedOn w:val="Normal"/>
    <w:link w:val="TextodegloboC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tulodellibro">
    <w:name w:val="Book Title"/>
    <w:basedOn w:val="Fuentedeprrafopredeter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Descripcin">
    <w:name w:val="caption"/>
    <w:basedOn w:val="Normal"/>
    <w:next w:val="Sinespaciado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Sinespaciado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AB671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B671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B671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nfasis">
    <w:name w:val="Emphasis"/>
    <w:basedOn w:val="Fuentedeprrafopredeter"/>
    <w:uiPriority w:val="20"/>
    <w:qFormat/>
    <w:rsid w:val="00AB6715"/>
    <w:rPr>
      <w:rFonts w:ascii="Times New Roman" w:hAnsi="Times New Roman"/>
      <w:i/>
      <w:iCs/>
    </w:rPr>
  </w:style>
  <w:style w:type="character" w:styleId="Refdenotaalfinal">
    <w:name w:val="endnote reference"/>
    <w:basedOn w:val="Fuentedeprrafopredeter"/>
    <w:uiPriority w:val="99"/>
    <w:semiHidden/>
    <w:unhideWhenUsed/>
    <w:rsid w:val="00AB6715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B6715"/>
    <w:rPr>
      <w:rFonts w:ascii="Times New Roman" w:hAnsi="Times New Roman"/>
      <w:sz w:val="24"/>
    </w:rPr>
  </w:style>
  <w:style w:type="character" w:styleId="Refdenotaalpie">
    <w:name w:val="footnote reference"/>
    <w:basedOn w:val="Fuentedeprrafopredeter"/>
    <w:uiPriority w:val="99"/>
    <w:semiHidden/>
    <w:unhideWhenUsed/>
    <w:rsid w:val="00AB6715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EncabezadoCar">
    <w:name w:val="Encabezado Car"/>
    <w:basedOn w:val="Fuentedeprrafopredeter"/>
    <w:link w:val="Encabezado"/>
    <w:uiPriority w:val="99"/>
    <w:rsid w:val="00AB6715"/>
    <w:rPr>
      <w:rFonts w:ascii="Times New Roman" w:hAnsi="Times New Roman"/>
      <w:b/>
      <w:sz w:val="24"/>
    </w:rPr>
  </w:style>
  <w:style w:type="paragraph" w:styleId="Prrafodelista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ipervnculo">
    <w:name w:val="Hyperlink"/>
    <w:basedOn w:val="Fuentedeprrafopredeter"/>
    <w:uiPriority w:val="99"/>
    <w:unhideWhenUsed/>
    <w:rsid w:val="00AB6715"/>
    <w:rPr>
      <w:color w:val="0000FF"/>
      <w:u w:val="single"/>
    </w:rPr>
  </w:style>
  <w:style w:type="character" w:styleId="nfasisintenso">
    <w:name w:val="Intense Emphasis"/>
    <w:basedOn w:val="Fuentedeprrafopredeter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eferenciaintensa">
    <w:name w:val="Intense Reference"/>
    <w:basedOn w:val="Fuentedeprrafopredeter"/>
    <w:uiPriority w:val="32"/>
    <w:qFormat/>
    <w:rsid w:val="00AB6715"/>
    <w:rPr>
      <w:b/>
      <w:bCs/>
      <w:smallCaps/>
      <w:color w:val="auto"/>
      <w:spacing w:val="5"/>
    </w:rPr>
  </w:style>
  <w:style w:type="character" w:styleId="Nmerodelnea">
    <w:name w:val="line number"/>
    <w:basedOn w:val="Fuentedeprrafopredeter"/>
    <w:uiPriority w:val="99"/>
    <w:semiHidden/>
    <w:unhideWhenUsed/>
    <w:rsid w:val="00AB6715"/>
  </w:style>
  <w:style w:type="character" w:customStyle="1" w:styleId="Ttulo3Car">
    <w:name w:val="Título 3 Car"/>
    <w:basedOn w:val="Fuentedeprrafopredeter"/>
    <w:link w:val="Ttulo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">
    <w:name w:val="Quote"/>
    <w:basedOn w:val="Normal"/>
    <w:next w:val="Normal"/>
    <w:link w:val="CitaC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Textoennegrita">
    <w:name w:val="Strong"/>
    <w:basedOn w:val="Fuentedeprrafopredeter"/>
    <w:uiPriority w:val="22"/>
    <w:qFormat/>
    <w:rsid w:val="00AB6715"/>
    <w:rPr>
      <w:rFonts w:ascii="Times New Roman" w:hAnsi="Times New Roman"/>
      <w:b/>
      <w:bCs/>
    </w:rPr>
  </w:style>
  <w:style w:type="character" w:styleId="nfasissutil">
    <w:name w:val="Subtle Emphasis"/>
    <w:basedOn w:val="Fuentedeprrafopredeter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aconcuadrcula">
    <w:name w:val="Table Grid"/>
    <w:basedOn w:val="Tabla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tuloCar">
    <w:name w:val="Título Car"/>
    <w:basedOn w:val="Fuentedeprrafopredeter"/>
    <w:link w:val="Ttulo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tulo"/>
    <w:next w:val="Ttulo"/>
    <w:qFormat/>
    <w:rsid w:val="0001436A"/>
    <w:pPr>
      <w:spacing w:after="120"/>
    </w:pPr>
    <w:rPr>
      <w:i/>
    </w:rPr>
  </w:style>
  <w:style w:type="table" w:customStyle="1" w:styleId="Tablaconcuadrcula1">
    <w:name w:val="Tabla con cuadrícula1"/>
    <w:basedOn w:val="Tablanormal"/>
    <w:next w:val="Tablaconcuadrcula"/>
    <w:uiPriority w:val="59"/>
    <w:rsid w:val="0093745D"/>
    <w:pPr>
      <w:spacing w:after="0" w:line="240" w:lineRule="auto"/>
    </w:pPr>
    <w:rPr>
      <w:rFonts w:ascii="Calibri" w:eastAsia="Times New Roman" w:hAnsi="Calibri" w:cs="Times New Roman"/>
      <w:lang w:val="es-ES" w:eastAsia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5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bledo@imim.es" TargetMode="External"/><Relationship Id="rId13" Type="http://schemas.openxmlformats.org/officeDocument/2006/relationships/image" Target="media/image5.tif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tif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tif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kak\AppData\Local\Temp\Temp1_Frontiers_Word_Templates.zip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66E27A-42E6-4B88-AEE0-29CAC2E72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15</TotalTime>
  <Pages>10</Pages>
  <Words>1201</Words>
  <Characters>6609</Characters>
  <Application>Microsoft Office Word</Application>
  <DocSecurity>0</DocSecurity>
  <Lines>55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 Kossatz</dc:creator>
  <cp:lastModifiedBy>Elk Kossatz</cp:lastModifiedBy>
  <cp:revision>4</cp:revision>
  <cp:lastPrinted>2013-10-03T12:51:00Z</cp:lastPrinted>
  <dcterms:created xsi:type="dcterms:W3CDTF">2018-03-16T17:58:00Z</dcterms:created>
  <dcterms:modified xsi:type="dcterms:W3CDTF">2018-03-16T18:22:00Z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http://www.zotero.org/styles/-international-journal-of-neuropsychopharmacology-elk</vt:lpwstr>
  </property>
  <property fmtid="{D5CDD505-2E9C-101B-9397-08002B2CF9AE}" pid="3" name="Mendeley Recent Style Name 0_1">
    <vt:lpwstr> International Journal of Neuropsychopharmacology Elk</vt:lpwstr>
  </property>
  <property fmtid="{D5CDD505-2E9C-101B-9397-08002B2CF9AE}" pid="4" name="Mendeley Recent Style Id 1_1">
    <vt:lpwstr>http://www.zotero.org/styles/american-medical-association</vt:lpwstr>
  </property>
  <property fmtid="{D5CDD505-2E9C-101B-9397-08002B2CF9AE}" pid="5" name="Mendeley Recent Style Name 1_1">
    <vt:lpwstr>American Medical Association</vt:lpwstr>
  </property>
  <property fmtid="{D5CDD505-2E9C-101B-9397-08002B2CF9AE}" pid="6" name="Mendeley Recent Style Id 2_1">
    <vt:lpwstr>http://csl.mendeley.com/styles/28364641/apa-ELKE-style</vt:lpwstr>
  </property>
  <property fmtid="{D5CDD505-2E9C-101B-9397-08002B2CF9AE}" pid="7" name="Mendeley Recent Style Name 2_1">
    <vt:lpwstr>American Psychological Association 6th edition - ELK KOSSATZ</vt:lpwstr>
  </property>
  <property fmtid="{D5CDD505-2E9C-101B-9397-08002B2CF9AE}" pid="8" name="Mendeley Recent Style Id 3_1">
    <vt:lpwstr>http://www.zotero.org/styles/european-neuropsychopharmacology</vt:lpwstr>
  </property>
  <property fmtid="{D5CDD505-2E9C-101B-9397-08002B2CF9AE}" pid="9" name="Mendeley Recent Style Name 3_1">
    <vt:lpwstr>European Neuropsychopharmacology</vt:lpwstr>
  </property>
  <property fmtid="{D5CDD505-2E9C-101B-9397-08002B2CF9AE}" pid="10" name="Mendeley Recent Style Id 4_1">
    <vt:lpwstr>http://www.zotero.org/styles/frontiers-in-pharmacology</vt:lpwstr>
  </property>
  <property fmtid="{D5CDD505-2E9C-101B-9397-08002B2CF9AE}" pid="11" name="Mendeley Recent Style Name 4_1">
    <vt:lpwstr>Frontiers in Pharmacology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http://www.zotero.org/styles/neuropharmacology</vt:lpwstr>
  </property>
  <property fmtid="{D5CDD505-2E9C-101B-9397-08002B2CF9AE}" pid="17" name="Mendeley Recent Style Name 7_1">
    <vt:lpwstr>Neuropharmacology</vt:lpwstr>
  </property>
  <property fmtid="{D5CDD505-2E9C-101B-9397-08002B2CF9AE}" pid="18" name="Mendeley Recent Style Id 8_1">
    <vt:lpwstr>http://www.zotero.org/styles/pharmacological-research</vt:lpwstr>
  </property>
  <property fmtid="{D5CDD505-2E9C-101B-9397-08002B2CF9AE}" pid="19" name="Mendeley Recent Style Name 8_1">
    <vt:lpwstr>Pharmacological Research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