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74"/>
        <w:gridCol w:w="1441"/>
        <w:gridCol w:w="1439"/>
        <w:gridCol w:w="1008"/>
        <w:gridCol w:w="4388"/>
      </w:tblGrid>
      <w:tr w:rsidR="00A245AC" w:rsidRPr="00D3751A" w14:paraId="33FD450F" w14:textId="77777777" w:rsidTr="00DB49DE">
        <w:tc>
          <w:tcPr>
            <w:tcW w:w="1074" w:type="dxa"/>
          </w:tcPr>
          <w:p w14:paraId="5665B05C" w14:textId="523867BA" w:rsidR="00BB0DAC" w:rsidRPr="00DB49DE" w:rsidRDefault="00DB49DE">
            <w:pPr>
              <w:rPr>
                <w:b/>
                <w:bCs/>
                <w:sz w:val="16"/>
                <w:szCs w:val="16"/>
              </w:rPr>
            </w:pPr>
            <w:r w:rsidRPr="00DB49DE">
              <w:rPr>
                <w:b/>
                <w:bCs/>
                <w:sz w:val="16"/>
                <w:szCs w:val="16"/>
              </w:rPr>
              <w:t>Author (Year)</w:t>
            </w:r>
          </w:p>
        </w:tc>
        <w:tc>
          <w:tcPr>
            <w:tcW w:w="1441" w:type="dxa"/>
          </w:tcPr>
          <w:p w14:paraId="162B9DC1" w14:textId="3FF2077C" w:rsidR="00BB0DAC" w:rsidRPr="0067077E" w:rsidRDefault="00BB0DAC">
            <w:pPr>
              <w:rPr>
                <w:b/>
                <w:bCs/>
                <w:sz w:val="16"/>
                <w:szCs w:val="16"/>
              </w:rPr>
            </w:pPr>
            <w:r w:rsidRPr="0067077E">
              <w:rPr>
                <w:b/>
                <w:bCs/>
                <w:sz w:val="16"/>
                <w:szCs w:val="16"/>
              </w:rPr>
              <w:t>Population</w:t>
            </w:r>
          </w:p>
        </w:tc>
        <w:tc>
          <w:tcPr>
            <w:tcW w:w="1439" w:type="dxa"/>
          </w:tcPr>
          <w:p w14:paraId="224FB0E8" w14:textId="77B9520B" w:rsidR="00BB0DAC" w:rsidRPr="0067077E" w:rsidRDefault="00BB0DAC">
            <w:pPr>
              <w:rPr>
                <w:b/>
                <w:bCs/>
                <w:sz w:val="16"/>
                <w:szCs w:val="16"/>
              </w:rPr>
            </w:pPr>
            <w:r w:rsidRPr="0067077E">
              <w:rPr>
                <w:b/>
                <w:bCs/>
                <w:sz w:val="16"/>
                <w:szCs w:val="16"/>
              </w:rPr>
              <w:t>Research Design</w:t>
            </w:r>
          </w:p>
        </w:tc>
        <w:tc>
          <w:tcPr>
            <w:tcW w:w="1008" w:type="dxa"/>
          </w:tcPr>
          <w:p w14:paraId="66428C2C" w14:textId="576FD9B2" w:rsidR="00BB0DAC" w:rsidRPr="00ED3A9D" w:rsidRDefault="00BB0DAC">
            <w:pPr>
              <w:rPr>
                <w:b/>
                <w:bCs/>
                <w:sz w:val="15"/>
                <w:szCs w:val="15"/>
              </w:rPr>
            </w:pPr>
            <w:r w:rsidRPr="00ED3A9D">
              <w:rPr>
                <w:b/>
                <w:bCs/>
                <w:sz w:val="15"/>
                <w:szCs w:val="15"/>
              </w:rPr>
              <w:t>Treatment Symptoms</w:t>
            </w:r>
          </w:p>
        </w:tc>
        <w:tc>
          <w:tcPr>
            <w:tcW w:w="4388" w:type="dxa"/>
          </w:tcPr>
          <w:p w14:paraId="2208504C" w14:textId="2856B06C" w:rsidR="00BB0DAC" w:rsidRPr="00ED3A9D" w:rsidRDefault="00BB0DAC">
            <w:pPr>
              <w:rPr>
                <w:b/>
                <w:bCs/>
                <w:sz w:val="15"/>
                <w:szCs w:val="15"/>
              </w:rPr>
            </w:pPr>
            <w:r w:rsidRPr="00ED3A9D">
              <w:rPr>
                <w:b/>
                <w:bCs/>
                <w:sz w:val="15"/>
                <w:szCs w:val="15"/>
              </w:rPr>
              <w:t>Perceptions</w:t>
            </w:r>
          </w:p>
        </w:tc>
      </w:tr>
      <w:tr w:rsidR="00A245AC" w14:paraId="1627F72E" w14:textId="77777777" w:rsidTr="00DB49DE">
        <w:tc>
          <w:tcPr>
            <w:tcW w:w="1074" w:type="dxa"/>
          </w:tcPr>
          <w:p w14:paraId="164F14F0" w14:textId="3F0C76A5" w:rsidR="00BB0DAC" w:rsidRPr="0067077E" w:rsidRDefault="00726ADF">
            <w:pPr>
              <w:rPr>
                <w:sz w:val="15"/>
                <w:szCs w:val="15"/>
              </w:rPr>
            </w:pPr>
            <w:r w:rsidRPr="0067077E">
              <w:rPr>
                <w:sz w:val="15"/>
                <w:szCs w:val="15"/>
              </w:rPr>
              <w:t>Takakuwa, et al</w:t>
            </w:r>
            <w:r w:rsidR="00266DB0">
              <w:rPr>
                <w:sz w:val="15"/>
                <w:szCs w:val="15"/>
              </w:rPr>
              <w:t>.</w:t>
            </w:r>
            <w:r w:rsidRPr="0067077E">
              <w:rPr>
                <w:sz w:val="15"/>
                <w:szCs w:val="15"/>
              </w:rPr>
              <w:t xml:space="preserve"> (2021)</w:t>
            </w:r>
            <w:r w:rsidR="003E5C5A">
              <w:rPr>
                <w:sz w:val="15"/>
                <w:szCs w:val="15"/>
              </w:rPr>
              <w:t xml:space="preserve"> [19]</w:t>
            </w:r>
          </w:p>
        </w:tc>
        <w:tc>
          <w:tcPr>
            <w:tcW w:w="1441" w:type="dxa"/>
          </w:tcPr>
          <w:p w14:paraId="72E2EF69" w14:textId="223BD008" w:rsidR="00BB0DAC" w:rsidRPr="0067077E" w:rsidRDefault="00AB3028">
            <w:pPr>
              <w:rPr>
                <w:sz w:val="15"/>
                <w:szCs w:val="15"/>
              </w:rPr>
            </w:pPr>
            <w:r w:rsidRPr="0067077E">
              <w:rPr>
                <w:sz w:val="15"/>
                <w:szCs w:val="15"/>
              </w:rPr>
              <w:t>N = 45 physicians. FM, IM, ER, Pediatrics, Pain medicine, oncology, psychiatry, ob-gyn, other</w:t>
            </w:r>
          </w:p>
        </w:tc>
        <w:tc>
          <w:tcPr>
            <w:tcW w:w="1439" w:type="dxa"/>
          </w:tcPr>
          <w:p w14:paraId="07078024" w14:textId="7896A795" w:rsidR="00BB0DAC" w:rsidRPr="0067077E" w:rsidRDefault="00AB3028">
            <w:pPr>
              <w:rPr>
                <w:sz w:val="15"/>
                <w:szCs w:val="15"/>
              </w:rPr>
            </w:pPr>
            <w:r w:rsidRPr="0067077E">
              <w:rPr>
                <w:sz w:val="15"/>
                <w:szCs w:val="15"/>
              </w:rPr>
              <w:t>Cross-sectional study</w:t>
            </w:r>
          </w:p>
        </w:tc>
        <w:tc>
          <w:tcPr>
            <w:tcW w:w="1008" w:type="dxa"/>
          </w:tcPr>
          <w:p w14:paraId="45CB9542" w14:textId="5B40091F" w:rsidR="00BB0DAC" w:rsidRPr="00ED3A9D" w:rsidRDefault="00540DEA">
            <w:pPr>
              <w:rPr>
                <w:sz w:val="15"/>
                <w:szCs w:val="15"/>
              </w:rPr>
            </w:pPr>
            <w:r w:rsidRPr="00ED3A9D">
              <w:rPr>
                <w:sz w:val="15"/>
                <w:szCs w:val="15"/>
              </w:rPr>
              <w:t>Various indications</w:t>
            </w:r>
          </w:p>
        </w:tc>
        <w:tc>
          <w:tcPr>
            <w:tcW w:w="4388" w:type="dxa"/>
          </w:tcPr>
          <w:p w14:paraId="2E29D6F3" w14:textId="24DB1736" w:rsidR="00BB0DAC" w:rsidRPr="00ED3A9D" w:rsidRDefault="005D51A1">
            <w:pPr>
              <w:rPr>
                <w:sz w:val="15"/>
                <w:szCs w:val="15"/>
              </w:rPr>
            </w:pPr>
            <w:r w:rsidRPr="00ED3A9D">
              <w:rPr>
                <w:sz w:val="15"/>
                <w:szCs w:val="15"/>
              </w:rPr>
              <w:t>Physicians cited a greater need of formal education in medical school, an expansion of state CME programs, and basic science/clinical research. Physicians that obtained cannabis knowledge in medical school 1/45; through conferences 32/45; through websites 28/45; through medical literature 29/45.  California and non-California physicians.</w:t>
            </w:r>
            <w:r w:rsidR="002465D1">
              <w:rPr>
                <w:sz w:val="15"/>
                <w:szCs w:val="15"/>
              </w:rPr>
              <w:t xml:space="preserve"> </w:t>
            </w:r>
            <w:r w:rsidR="002465D1" w:rsidRPr="00ED3A9D">
              <w:rPr>
                <w:color w:val="000000"/>
                <w:sz w:val="15"/>
                <w:szCs w:val="15"/>
              </w:rPr>
              <w:t xml:space="preserve">70.7% </w:t>
            </w:r>
          </w:p>
        </w:tc>
      </w:tr>
      <w:tr w:rsidR="00A245AC" w14:paraId="273406A0" w14:textId="77777777" w:rsidTr="00DB49DE">
        <w:tc>
          <w:tcPr>
            <w:tcW w:w="1074" w:type="dxa"/>
          </w:tcPr>
          <w:p w14:paraId="16425D74" w14:textId="5C3079CC" w:rsidR="00BB0DAC" w:rsidRPr="0067077E" w:rsidRDefault="00726ADF">
            <w:pPr>
              <w:rPr>
                <w:sz w:val="15"/>
                <w:szCs w:val="15"/>
              </w:rPr>
            </w:pPr>
            <w:proofErr w:type="spellStart"/>
            <w:proofErr w:type="gramStart"/>
            <w:r w:rsidRPr="0067077E">
              <w:rPr>
                <w:sz w:val="15"/>
                <w:szCs w:val="15"/>
              </w:rPr>
              <w:t>Szaflarski,et</w:t>
            </w:r>
            <w:proofErr w:type="spellEnd"/>
            <w:r w:rsidR="00266DB0">
              <w:rPr>
                <w:sz w:val="15"/>
                <w:szCs w:val="15"/>
              </w:rPr>
              <w:t xml:space="preserve"> </w:t>
            </w:r>
            <w:r w:rsidRPr="0067077E">
              <w:rPr>
                <w:sz w:val="15"/>
                <w:szCs w:val="15"/>
              </w:rPr>
              <w:t>al</w:t>
            </w:r>
            <w:r w:rsidR="00266DB0">
              <w:rPr>
                <w:sz w:val="15"/>
                <w:szCs w:val="15"/>
              </w:rPr>
              <w:t>.</w:t>
            </w:r>
            <w:proofErr w:type="gramEnd"/>
            <w:r w:rsidRPr="0067077E">
              <w:rPr>
                <w:sz w:val="15"/>
                <w:szCs w:val="15"/>
              </w:rPr>
              <w:t xml:space="preserve"> (2020)</w:t>
            </w:r>
            <w:r w:rsidR="00701E7D">
              <w:rPr>
                <w:sz w:val="15"/>
                <w:szCs w:val="15"/>
              </w:rPr>
              <w:t xml:space="preserve"> [27]</w:t>
            </w:r>
          </w:p>
        </w:tc>
        <w:tc>
          <w:tcPr>
            <w:tcW w:w="1441" w:type="dxa"/>
          </w:tcPr>
          <w:p w14:paraId="0B07F865" w14:textId="4890F28E" w:rsidR="00BB0DAC" w:rsidRPr="0067077E" w:rsidRDefault="00AB3028">
            <w:pPr>
              <w:rPr>
                <w:sz w:val="15"/>
                <w:szCs w:val="15"/>
              </w:rPr>
            </w:pPr>
            <w:r w:rsidRPr="0067077E">
              <w:rPr>
                <w:sz w:val="15"/>
                <w:szCs w:val="15"/>
              </w:rPr>
              <w:t>N = 451 healthcare professionals (neurologists, pharmacists, NPs/nurses)</w:t>
            </w:r>
          </w:p>
        </w:tc>
        <w:tc>
          <w:tcPr>
            <w:tcW w:w="1439" w:type="dxa"/>
          </w:tcPr>
          <w:p w14:paraId="4BD0F895" w14:textId="512398ED" w:rsidR="00BB0DAC" w:rsidRPr="0067077E" w:rsidRDefault="00AB3028">
            <w:pPr>
              <w:rPr>
                <w:sz w:val="15"/>
                <w:szCs w:val="15"/>
              </w:rPr>
            </w:pPr>
            <w:r w:rsidRPr="0067077E">
              <w:rPr>
                <w:sz w:val="15"/>
                <w:szCs w:val="15"/>
              </w:rPr>
              <w:t>Cross-sectional study</w:t>
            </w:r>
          </w:p>
        </w:tc>
        <w:tc>
          <w:tcPr>
            <w:tcW w:w="1008" w:type="dxa"/>
          </w:tcPr>
          <w:p w14:paraId="2ADD4751" w14:textId="46B7BCDA" w:rsidR="00BB0DAC" w:rsidRPr="00ED3A9D" w:rsidRDefault="00540DEA">
            <w:pPr>
              <w:rPr>
                <w:sz w:val="15"/>
                <w:szCs w:val="15"/>
              </w:rPr>
            </w:pPr>
            <w:r w:rsidRPr="00ED3A9D">
              <w:rPr>
                <w:sz w:val="15"/>
                <w:szCs w:val="15"/>
              </w:rPr>
              <w:t>Epilepsy</w:t>
            </w:r>
          </w:p>
        </w:tc>
        <w:tc>
          <w:tcPr>
            <w:tcW w:w="4388" w:type="dxa"/>
          </w:tcPr>
          <w:p w14:paraId="0605CA71" w14:textId="67F707AF" w:rsidR="00BB0DAC" w:rsidRPr="00ED3A9D" w:rsidRDefault="0008411C">
            <w:pPr>
              <w:rPr>
                <w:sz w:val="15"/>
                <w:szCs w:val="15"/>
              </w:rPr>
            </w:pPr>
            <w:r w:rsidRPr="00ED3A9D">
              <w:rPr>
                <w:sz w:val="15"/>
                <w:szCs w:val="15"/>
              </w:rPr>
              <w:t xml:space="preserve">Most providers were unsure of risk vs benefits of cannabinoid, concern for legal implications, along with a lack of knowledge of CBD components (40-50%). Neurologists felt stigma regarding the prescribing of CBD for epilepsy. Providers agreed that education should be incorporated into the curriculums of medical schools and allied health professions. </w:t>
            </w:r>
            <w:r w:rsidR="00987712" w:rsidRPr="00ED3A9D">
              <w:rPr>
                <w:sz w:val="15"/>
                <w:szCs w:val="15"/>
              </w:rPr>
              <w:t>CMEs</w:t>
            </w:r>
            <w:r w:rsidRPr="00ED3A9D">
              <w:rPr>
                <w:sz w:val="15"/>
                <w:szCs w:val="15"/>
              </w:rPr>
              <w:t xml:space="preserve"> should be introduced, along with webinars, and journal </w:t>
            </w:r>
            <w:r w:rsidR="00875A1B" w:rsidRPr="00ED3A9D">
              <w:rPr>
                <w:sz w:val="15"/>
                <w:szCs w:val="15"/>
              </w:rPr>
              <w:t>publications on</w:t>
            </w:r>
            <w:r w:rsidRPr="00ED3A9D">
              <w:rPr>
                <w:sz w:val="15"/>
                <w:szCs w:val="15"/>
              </w:rPr>
              <w:t xml:space="preserve"> this topic.  Over 80% of participants supported use and legalization of medical cannabis, mainly CBD for epilepsy and when prescribed by a medical provider A total of 43% favored legal recreational cannabis. State of provider was unknown.</w:t>
            </w:r>
          </w:p>
        </w:tc>
      </w:tr>
      <w:tr w:rsidR="0008411C" w14:paraId="27FD2DC1" w14:textId="77777777" w:rsidTr="00DB49DE">
        <w:trPr>
          <w:trHeight w:val="287"/>
        </w:trPr>
        <w:tc>
          <w:tcPr>
            <w:tcW w:w="1074" w:type="dxa"/>
          </w:tcPr>
          <w:p w14:paraId="11EEFD19" w14:textId="4ABD697D" w:rsidR="00540DEA" w:rsidRPr="0067077E" w:rsidRDefault="00540DEA" w:rsidP="00540DEA">
            <w:pPr>
              <w:rPr>
                <w:color w:val="000000"/>
                <w:sz w:val="15"/>
                <w:szCs w:val="15"/>
              </w:rPr>
            </w:pPr>
            <w:r w:rsidRPr="0067077E">
              <w:rPr>
                <w:color w:val="000000"/>
                <w:sz w:val="15"/>
                <w:szCs w:val="15"/>
              </w:rPr>
              <w:t>Evanoff, et al</w:t>
            </w:r>
            <w:r w:rsidR="00266DB0">
              <w:rPr>
                <w:color w:val="000000"/>
                <w:sz w:val="15"/>
                <w:szCs w:val="15"/>
              </w:rPr>
              <w:t>.</w:t>
            </w:r>
            <w:r w:rsidRPr="0067077E">
              <w:rPr>
                <w:color w:val="000000"/>
                <w:sz w:val="15"/>
                <w:szCs w:val="15"/>
              </w:rPr>
              <w:t xml:space="preserve"> (2017)</w:t>
            </w:r>
            <w:r w:rsidR="005E67C9">
              <w:rPr>
                <w:color w:val="000000"/>
                <w:sz w:val="15"/>
                <w:szCs w:val="15"/>
              </w:rPr>
              <w:t xml:space="preserve"> [10]</w:t>
            </w:r>
          </w:p>
        </w:tc>
        <w:tc>
          <w:tcPr>
            <w:tcW w:w="1441" w:type="dxa"/>
          </w:tcPr>
          <w:p w14:paraId="18705AD0" w14:textId="560DE865" w:rsidR="00540DEA" w:rsidRPr="0067077E" w:rsidRDefault="00540DEA" w:rsidP="00540DEA">
            <w:pPr>
              <w:rPr>
                <w:sz w:val="15"/>
                <w:szCs w:val="15"/>
              </w:rPr>
            </w:pPr>
            <w:r w:rsidRPr="0067077E">
              <w:rPr>
                <w:sz w:val="15"/>
                <w:szCs w:val="15"/>
              </w:rPr>
              <w:t>N = 359 (medical school curriculum deans, residents and fellows)</w:t>
            </w:r>
          </w:p>
        </w:tc>
        <w:tc>
          <w:tcPr>
            <w:tcW w:w="1439" w:type="dxa"/>
          </w:tcPr>
          <w:p w14:paraId="29588FEB" w14:textId="32C90E35" w:rsidR="00540DEA" w:rsidRPr="0067077E" w:rsidRDefault="00540DEA" w:rsidP="00540DEA">
            <w:pPr>
              <w:rPr>
                <w:sz w:val="15"/>
                <w:szCs w:val="15"/>
              </w:rPr>
            </w:pPr>
            <w:r w:rsidRPr="0067077E">
              <w:rPr>
                <w:sz w:val="15"/>
                <w:szCs w:val="15"/>
              </w:rPr>
              <w:t>Cross-sectional study</w:t>
            </w:r>
          </w:p>
        </w:tc>
        <w:tc>
          <w:tcPr>
            <w:tcW w:w="1008" w:type="dxa"/>
          </w:tcPr>
          <w:p w14:paraId="4595E03F" w14:textId="23845326" w:rsidR="00540DEA" w:rsidRPr="00ED3A9D" w:rsidRDefault="00540DEA" w:rsidP="00540DEA">
            <w:pPr>
              <w:rPr>
                <w:sz w:val="15"/>
                <w:szCs w:val="15"/>
              </w:rPr>
            </w:pPr>
            <w:r w:rsidRPr="00ED3A9D">
              <w:rPr>
                <w:sz w:val="15"/>
                <w:szCs w:val="15"/>
              </w:rPr>
              <w:t>Various indications</w:t>
            </w:r>
          </w:p>
        </w:tc>
        <w:tc>
          <w:tcPr>
            <w:tcW w:w="4388" w:type="dxa"/>
          </w:tcPr>
          <w:p w14:paraId="21C89B5E" w14:textId="14DA0457" w:rsidR="00540DEA" w:rsidRPr="00ED3A9D" w:rsidRDefault="000B19BC" w:rsidP="00540DEA">
            <w:pPr>
              <w:rPr>
                <w:sz w:val="15"/>
                <w:szCs w:val="15"/>
              </w:rPr>
            </w:pPr>
            <w:r w:rsidRPr="00ED3A9D">
              <w:rPr>
                <w:sz w:val="15"/>
                <w:szCs w:val="15"/>
              </w:rPr>
              <w:t>66.7% of deans reported that their graduates were not at all prepared to prescribe medical marijuana, and 25% reported that their graduates were not at all prepared</w:t>
            </w:r>
          </w:p>
        </w:tc>
      </w:tr>
      <w:tr w:rsidR="0008411C" w14:paraId="17881B6E" w14:textId="77777777" w:rsidTr="00DB49DE">
        <w:tc>
          <w:tcPr>
            <w:tcW w:w="1074" w:type="dxa"/>
          </w:tcPr>
          <w:p w14:paraId="36D11F54" w14:textId="5F84CD34" w:rsidR="00540DEA" w:rsidRPr="0067077E" w:rsidRDefault="00540DEA" w:rsidP="00540DEA">
            <w:pPr>
              <w:rPr>
                <w:color w:val="000000"/>
                <w:sz w:val="15"/>
                <w:szCs w:val="15"/>
              </w:rPr>
            </w:pPr>
            <w:r w:rsidRPr="0067077E">
              <w:rPr>
                <w:color w:val="000000"/>
                <w:sz w:val="15"/>
                <w:szCs w:val="15"/>
              </w:rPr>
              <w:t>Leeds, et al</w:t>
            </w:r>
            <w:r w:rsidR="00266DB0">
              <w:rPr>
                <w:color w:val="000000"/>
                <w:sz w:val="15"/>
                <w:szCs w:val="15"/>
              </w:rPr>
              <w:t>.</w:t>
            </w:r>
            <w:r w:rsidRPr="0067077E">
              <w:rPr>
                <w:color w:val="000000"/>
                <w:sz w:val="15"/>
                <w:szCs w:val="15"/>
              </w:rPr>
              <w:t xml:space="preserve"> (2020)</w:t>
            </w:r>
            <w:r w:rsidR="0080638F">
              <w:rPr>
                <w:color w:val="000000"/>
                <w:sz w:val="15"/>
                <w:szCs w:val="15"/>
              </w:rPr>
              <w:t xml:space="preserve"> [37]</w:t>
            </w:r>
          </w:p>
        </w:tc>
        <w:tc>
          <w:tcPr>
            <w:tcW w:w="1441" w:type="dxa"/>
          </w:tcPr>
          <w:p w14:paraId="0FABA7AB" w14:textId="1B5E679D" w:rsidR="00540DEA" w:rsidRPr="0067077E" w:rsidRDefault="00540DEA" w:rsidP="00540DEA">
            <w:pPr>
              <w:tabs>
                <w:tab w:val="left" w:pos="446"/>
              </w:tabs>
              <w:rPr>
                <w:sz w:val="15"/>
                <w:szCs w:val="15"/>
              </w:rPr>
            </w:pPr>
            <w:r w:rsidRPr="0067077E">
              <w:rPr>
                <w:sz w:val="15"/>
                <w:szCs w:val="15"/>
              </w:rPr>
              <w:t>N = 474 physicians (FM, anesthesia, ER, IM, neurology, ob-gyn, PMR, pediatrics, surgery, psychiatry, other</w:t>
            </w:r>
          </w:p>
        </w:tc>
        <w:tc>
          <w:tcPr>
            <w:tcW w:w="1439" w:type="dxa"/>
          </w:tcPr>
          <w:p w14:paraId="474C0FE8" w14:textId="35E3F363" w:rsidR="00540DEA" w:rsidRPr="0067077E" w:rsidRDefault="00540DEA" w:rsidP="00540DEA">
            <w:pPr>
              <w:rPr>
                <w:color w:val="000000"/>
                <w:sz w:val="15"/>
                <w:szCs w:val="15"/>
              </w:rPr>
            </w:pPr>
            <w:r w:rsidRPr="0067077E">
              <w:rPr>
                <w:color w:val="000000"/>
                <w:sz w:val="15"/>
                <w:szCs w:val="15"/>
              </w:rPr>
              <w:t>Correlational, non-experimental study</w:t>
            </w:r>
          </w:p>
        </w:tc>
        <w:tc>
          <w:tcPr>
            <w:tcW w:w="1008" w:type="dxa"/>
          </w:tcPr>
          <w:p w14:paraId="4C0B0761" w14:textId="2676A10A" w:rsidR="00540DEA" w:rsidRPr="00ED3A9D" w:rsidRDefault="00540DEA" w:rsidP="00540DEA">
            <w:pPr>
              <w:rPr>
                <w:sz w:val="15"/>
                <w:szCs w:val="15"/>
              </w:rPr>
            </w:pPr>
            <w:r w:rsidRPr="00ED3A9D">
              <w:rPr>
                <w:sz w:val="15"/>
                <w:szCs w:val="15"/>
              </w:rPr>
              <w:t>Various indications</w:t>
            </w:r>
          </w:p>
        </w:tc>
        <w:tc>
          <w:tcPr>
            <w:tcW w:w="4388" w:type="dxa"/>
          </w:tcPr>
          <w:p w14:paraId="014C3603" w14:textId="7C7743C4" w:rsidR="000B19BC" w:rsidRPr="00ED3A9D" w:rsidRDefault="000B19BC" w:rsidP="000B19BC">
            <w:pPr>
              <w:spacing w:after="240"/>
              <w:rPr>
                <w:color w:val="000000"/>
                <w:sz w:val="15"/>
                <w:szCs w:val="15"/>
              </w:rPr>
            </w:pPr>
            <w:r w:rsidRPr="00ED3A9D">
              <w:rPr>
                <w:color w:val="000000"/>
                <w:sz w:val="15"/>
                <w:szCs w:val="15"/>
              </w:rPr>
              <w:t xml:space="preserve">Ob-gyn and internal medicine physicians are more supportive of CBD than FM. Doctor of Osteopathic Medicine obtained more marijuana state certificates than allopathic physicians, as did male prescribers when compared to females. </w:t>
            </w:r>
          </w:p>
          <w:p w14:paraId="5E26F4BF" w14:textId="77777777" w:rsidR="00540DEA" w:rsidRPr="00ED3A9D" w:rsidRDefault="00540DEA" w:rsidP="00540DEA">
            <w:pPr>
              <w:rPr>
                <w:sz w:val="15"/>
                <w:szCs w:val="15"/>
              </w:rPr>
            </w:pPr>
          </w:p>
        </w:tc>
      </w:tr>
      <w:tr w:rsidR="0008411C" w:rsidRPr="00A245AC" w14:paraId="6D0CFF33" w14:textId="77777777" w:rsidTr="00DB49DE">
        <w:trPr>
          <w:trHeight w:val="1718"/>
        </w:trPr>
        <w:tc>
          <w:tcPr>
            <w:tcW w:w="1074" w:type="dxa"/>
          </w:tcPr>
          <w:p w14:paraId="5B910ED8" w14:textId="2A722227" w:rsidR="00540DEA" w:rsidRPr="0067077E" w:rsidRDefault="00540DEA" w:rsidP="00540DEA">
            <w:pPr>
              <w:rPr>
                <w:sz w:val="15"/>
                <w:szCs w:val="15"/>
              </w:rPr>
            </w:pPr>
            <w:r w:rsidRPr="0067077E">
              <w:rPr>
                <w:sz w:val="15"/>
                <w:szCs w:val="15"/>
              </w:rPr>
              <w:t>Jacobs</w:t>
            </w:r>
            <w:r w:rsidR="0015634B">
              <w:rPr>
                <w:sz w:val="15"/>
                <w:szCs w:val="15"/>
              </w:rPr>
              <w:t>, et al</w:t>
            </w:r>
            <w:r w:rsidR="00266DB0">
              <w:rPr>
                <w:sz w:val="15"/>
                <w:szCs w:val="15"/>
              </w:rPr>
              <w:t xml:space="preserve">. </w:t>
            </w:r>
            <w:r w:rsidRPr="0067077E">
              <w:rPr>
                <w:sz w:val="15"/>
                <w:szCs w:val="15"/>
              </w:rPr>
              <w:t>(2022)</w:t>
            </w:r>
            <w:r w:rsidR="0015634B">
              <w:rPr>
                <w:sz w:val="15"/>
                <w:szCs w:val="15"/>
              </w:rPr>
              <w:t xml:space="preserve"> [47]</w:t>
            </w:r>
          </w:p>
        </w:tc>
        <w:tc>
          <w:tcPr>
            <w:tcW w:w="1441" w:type="dxa"/>
          </w:tcPr>
          <w:p w14:paraId="26A73FB5" w14:textId="77777777" w:rsidR="00540DEA" w:rsidRPr="0067077E" w:rsidRDefault="00540DEA" w:rsidP="00540DEA">
            <w:pPr>
              <w:rPr>
                <w:color w:val="000000"/>
                <w:sz w:val="15"/>
                <w:szCs w:val="15"/>
              </w:rPr>
            </w:pPr>
            <w:r w:rsidRPr="0067077E">
              <w:rPr>
                <w:color w:val="000000"/>
                <w:sz w:val="15"/>
                <w:szCs w:val="15"/>
              </w:rPr>
              <w:t>N = 526 medical students</w:t>
            </w:r>
          </w:p>
          <w:p w14:paraId="66F36409" w14:textId="77777777" w:rsidR="00540DEA" w:rsidRPr="0067077E" w:rsidRDefault="00540DEA" w:rsidP="00540DEA">
            <w:pPr>
              <w:rPr>
                <w:sz w:val="15"/>
                <w:szCs w:val="15"/>
              </w:rPr>
            </w:pPr>
          </w:p>
        </w:tc>
        <w:tc>
          <w:tcPr>
            <w:tcW w:w="1439" w:type="dxa"/>
          </w:tcPr>
          <w:p w14:paraId="225198DE" w14:textId="427EF0E1" w:rsidR="00540DEA" w:rsidRPr="0067077E" w:rsidRDefault="00540DEA" w:rsidP="00540DEA">
            <w:pPr>
              <w:rPr>
                <w:sz w:val="15"/>
                <w:szCs w:val="15"/>
              </w:rPr>
            </w:pPr>
            <w:r w:rsidRPr="0067077E">
              <w:rPr>
                <w:sz w:val="15"/>
                <w:szCs w:val="15"/>
              </w:rPr>
              <w:t>Cross-sectional study</w:t>
            </w:r>
          </w:p>
        </w:tc>
        <w:tc>
          <w:tcPr>
            <w:tcW w:w="1008" w:type="dxa"/>
          </w:tcPr>
          <w:p w14:paraId="2F625032" w14:textId="6A6C75AB" w:rsidR="00540DEA" w:rsidRPr="00ED3A9D" w:rsidRDefault="00540DEA" w:rsidP="00540DEA">
            <w:pPr>
              <w:rPr>
                <w:sz w:val="15"/>
                <w:szCs w:val="15"/>
              </w:rPr>
            </w:pPr>
            <w:r w:rsidRPr="00ED3A9D">
              <w:rPr>
                <w:sz w:val="15"/>
                <w:szCs w:val="15"/>
              </w:rPr>
              <w:t>Various indications</w:t>
            </w:r>
          </w:p>
        </w:tc>
        <w:tc>
          <w:tcPr>
            <w:tcW w:w="4388" w:type="dxa"/>
          </w:tcPr>
          <w:p w14:paraId="69AB55F1" w14:textId="470413F2" w:rsidR="00540DEA" w:rsidRPr="00ED3A9D" w:rsidRDefault="00A245AC" w:rsidP="00540DEA">
            <w:pPr>
              <w:rPr>
                <w:color w:val="000000"/>
                <w:sz w:val="15"/>
                <w:szCs w:val="15"/>
              </w:rPr>
            </w:pPr>
            <w:r w:rsidRPr="00ED3A9D">
              <w:rPr>
                <w:color w:val="000000"/>
                <w:sz w:val="15"/>
                <w:szCs w:val="15"/>
              </w:rPr>
              <w:t>Students believed that cannabis has an acceptable role in medicine (97.6%), with 86.3% citing significant physical health benefits. Physicians should be able to legally prescribe cannabis as medical therapy (96%), Also, cannabis should be reclassified as not to be a Schedule I drug (88/7%). Few (29.8%) believed that cannabis had serious physical health risks, while 74. 2% were concerned with abuse/misuse. However, cannabinoids are not included as part of the curriculum at their medical school. Only 22.5 % said that it was part of their school's curriculum. Students at Nova Southeastern University.</w:t>
            </w:r>
          </w:p>
        </w:tc>
      </w:tr>
      <w:tr w:rsidR="000B19BC" w14:paraId="69D63A05" w14:textId="77777777" w:rsidTr="00DB49DE">
        <w:tc>
          <w:tcPr>
            <w:tcW w:w="1074" w:type="dxa"/>
          </w:tcPr>
          <w:p w14:paraId="26A74303" w14:textId="7794F54D" w:rsidR="00540DEA" w:rsidRPr="0067077E" w:rsidRDefault="00540DEA" w:rsidP="00540DEA">
            <w:pPr>
              <w:rPr>
                <w:sz w:val="15"/>
                <w:szCs w:val="15"/>
              </w:rPr>
            </w:pPr>
            <w:r w:rsidRPr="0067077E">
              <w:rPr>
                <w:sz w:val="15"/>
                <w:szCs w:val="15"/>
              </w:rPr>
              <w:t>Rice, et al</w:t>
            </w:r>
            <w:r w:rsidR="00266DB0">
              <w:rPr>
                <w:sz w:val="15"/>
                <w:szCs w:val="15"/>
              </w:rPr>
              <w:t>.</w:t>
            </w:r>
            <w:r w:rsidRPr="0067077E">
              <w:rPr>
                <w:sz w:val="15"/>
                <w:szCs w:val="15"/>
              </w:rPr>
              <w:t xml:space="preserve"> (2021)</w:t>
            </w:r>
            <w:r w:rsidR="00E4695B">
              <w:rPr>
                <w:sz w:val="15"/>
                <w:szCs w:val="15"/>
              </w:rPr>
              <w:t xml:space="preserve"> [38]</w:t>
            </w:r>
          </w:p>
        </w:tc>
        <w:tc>
          <w:tcPr>
            <w:tcW w:w="1441" w:type="dxa"/>
          </w:tcPr>
          <w:p w14:paraId="6E869C87" w14:textId="77777777" w:rsidR="00540DEA" w:rsidRPr="0067077E" w:rsidRDefault="00540DEA" w:rsidP="00540DEA">
            <w:pPr>
              <w:rPr>
                <w:color w:val="000000"/>
                <w:sz w:val="15"/>
                <w:szCs w:val="15"/>
              </w:rPr>
            </w:pPr>
            <w:r w:rsidRPr="0067077E">
              <w:rPr>
                <w:color w:val="000000"/>
                <w:sz w:val="15"/>
                <w:szCs w:val="15"/>
              </w:rPr>
              <w:t>N = 226 (physicians, nurses, APRNs). Unknown physician specialty</w:t>
            </w:r>
          </w:p>
          <w:p w14:paraId="79C28AC0" w14:textId="77777777" w:rsidR="00540DEA" w:rsidRPr="0067077E" w:rsidRDefault="00540DEA" w:rsidP="00540DEA">
            <w:pPr>
              <w:rPr>
                <w:sz w:val="15"/>
                <w:szCs w:val="15"/>
              </w:rPr>
            </w:pPr>
          </w:p>
        </w:tc>
        <w:tc>
          <w:tcPr>
            <w:tcW w:w="1439" w:type="dxa"/>
          </w:tcPr>
          <w:p w14:paraId="3751DE96" w14:textId="1AEBBAB0" w:rsidR="00540DEA" w:rsidRPr="0067077E" w:rsidRDefault="00540DEA" w:rsidP="00540DEA">
            <w:pPr>
              <w:rPr>
                <w:sz w:val="15"/>
                <w:szCs w:val="15"/>
              </w:rPr>
            </w:pPr>
            <w:r w:rsidRPr="0067077E">
              <w:rPr>
                <w:sz w:val="15"/>
                <w:szCs w:val="15"/>
              </w:rPr>
              <w:t>Cross-sectional study</w:t>
            </w:r>
          </w:p>
        </w:tc>
        <w:tc>
          <w:tcPr>
            <w:tcW w:w="1008" w:type="dxa"/>
          </w:tcPr>
          <w:p w14:paraId="5AD4FD7A" w14:textId="5DEB1C74" w:rsidR="00540DEA" w:rsidRPr="00ED3A9D" w:rsidRDefault="00540DEA" w:rsidP="00540DEA">
            <w:pPr>
              <w:rPr>
                <w:sz w:val="15"/>
                <w:szCs w:val="15"/>
              </w:rPr>
            </w:pPr>
            <w:r w:rsidRPr="00ED3A9D">
              <w:rPr>
                <w:sz w:val="15"/>
                <w:szCs w:val="15"/>
              </w:rPr>
              <w:t>Various indications</w:t>
            </w:r>
          </w:p>
        </w:tc>
        <w:tc>
          <w:tcPr>
            <w:tcW w:w="4388" w:type="dxa"/>
          </w:tcPr>
          <w:p w14:paraId="380D1B1F" w14:textId="027DFCF8" w:rsidR="00540DEA" w:rsidRPr="00ED3A9D" w:rsidRDefault="00A245AC" w:rsidP="00540DEA">
            <w:pPr>
              <w:rPr>
                <w:color w:val="000000"/>
                <w:sz w:val="15"/>
                <w:szCs w:val="15"/>
              </w:rPr>
            </w:pPr>
            <w:r w:rsidRPr="00ED3A9D">
              <w:rPr>
                <w:color w:val="000000"/>
                <w:sz w:val="15"/>
                <w:szCs w:val="15"/>
              </w:rPr>
              <w:t>Knowledge of CBD was poor among all providers (63.2%). This included the pharmacology of cannabinoids, the benefits and risk of their use, and the indications. However, scores were highest on questions about cannabis laws and regulations (85.7%). Scores were lowest for questions about the effects of cannabinoids on seizures (43.8%). Knowledge of cannabis was poor even in states where clinical marijuana was legal for more than 20 years. Providers were from Oregon, Washington, or California.</w:t>
            </w:r>
          </w:p>
        </w:tc>
      </w:tr>
      <w:tr w:rsidR="000B19BC" w14:paraId="13017F44" w14:textId="77777777" w:rsidTr="00DB49DE">
        <w:tc>
          <w:tcPr>
            <w:tcW w:w="1074" w:type="dxa"/>
          </w:tcPr>
          <w:p w14:paraId="5A7CAFC6" w14:textId="28938196" w:rsidR="00540DEA" w:rsidRPr="0067077E" w:rsidRDefault="00540DEA" w:rsidP="00540DEA">
            <w:pPr>
              <w:rPr>
                <w:sz w:val="15"/>
                <w:szCs w:val="15"/>
              </w:rPr>
            </w:pPr>
            <w:r w:rsidRPr="0067077E">
              <w:rPr>
                <w:sz w:val="15"/>
                <w:szCs w:val="15"/>
              </w:rPr>
              <w:t>Muirhead, et al</w:t>
            </w:r>
            <w:r w:rsidR="00266DB0">
              <w:rPr>
                <w:sz w:val="15"/>
                <w:szCs w:val="15"/>
              </w:rPr>
              <w:t>.</w:t>
            </w:r>
            <w:r w:rsidRPr="0067077E">
              <w:rPr>
                <w:sz w:val="15"/>
                <w:szCs w:val="15"/>
              </w:rPr>
              <w:t xml:space="preserve"> (2021)</w:t>
            </w:r>
            <w:r w:rsidR="00E4695B">
              <w:rPr>
                <w:sz w:val="15"/>
                <w:szCs w:val="15"/>
              </w:rPr>
              <w:t xml:space="preserve"> [39]</w:t>
            </w:r>
          </w:p>
        </w:tc>
        <w:tc>
          <w:tcPr>
            <w:tcW w:w="1441" w:type="dxa"/>
          </w:tcPr>
          <w:p w14:paraId="7C703696" w14:textId="3762FCB9" w:rsidR="00540DEA" w:rsidRPr="0067077E" w:rsidRDefault="00540DEA" w:rsidP="00540DEA">
            <w:pPr>
              <w:rPr>
                <w:color w:val="000000"/>
                <w:sz w:val="15"/>
                <w:szCs w:val="15"/>
              </w:rPr>
            </w:pPr>
            <w:r w:rsidRPr="0067077E">
              <w:rPr>
                <w:color w:val="000000"/>
                <w:sz w:val="15"/>
                <w:szCs w:val="15"/>
              </w:rPr>
              <w:t>N = 282 (physicians, nurses, pharmacists, social workers, dieticians, others) Unknown physician specialty</w:t>
            </w:r>
          </w:p>
        </w:tc>
        <w:tc>
          <w:tcPr>
            <w:tcW w:w="1439" w:type="dxa"/>
          </w:tcPr>
          <w:p w14:paraId="77EB1BC3" w14:textId="6065A855" w:rsidR="00540DEA" w:rsidRPr="0067077E" w:rsidRDefault="00540DEA" w:rsidP="00540DEA">
            <w:pPr>
              <w:rPr>
                <w:sz w:val="15"/>
                <w:szCs w:val="15"/>
              </w:rPr>
            </w:pPr>
            <w:r w:rsidRPr="0067077E">
              <w:rPr>
                <w:sz w:val="15"/>
                <w:szCs w:val="15"/>
              </w:rPr>
              <w:t>Cross-sectional study</w:t>
            </w:r>
          </w:p>
        </w:tc>
        <w:tc>
          <w:tcPr>
            <w:tcW w:w="1008" w:type="dxa"/>
          </w:tcPr>
          <w:p w14:paraId="11951109" w14:textId="3C9F53E6" w:rsidR="00540DEA" w:rsidRPr="00ED3A9D" w:rsidRDefault="00540DEA" w:rsidP="00540DEA">
            <w:pPr>
              <w:rPr>
                <w:sz w:val="15"/>
                <w:szCs w:val="15"/>
              </w:rPr>
            </w:pPr>
            <w:r w:rsidRPr="00ED3A9D">
              <w:rPr>
                <w:sz w:val="15"/>
                <w:szCs w:val="15"/>
              </w:rPr>
              <w:t>Cystic fibrosis</w:t>
            </w:r>
          </w:p>
        </w:tc>
        <w:tc>
          <w:tcPr>
            <w:tcW w:w="4388" w:type="dxa"/>
          </w:tcPr>
          <w:p w14:paraId="1EBB503A" w14:textId="573C1A5C" w:rsidR="00540DEA" w:rsidRPr="00ED3A9D" w:rsidRDefault="005E3B79" w:rsidP="00540DEA">
            <w:pPr>
              <w:rPr>
                <w:color w:val="000000"/>
                <w:sz w:val="15"/>
                <w:szCs w:val="15"/>
              </w:rPr>
            </w:pPr>
            <w:r w:rsidRPr="00ED3A9D">
              <w:rPr>
                <w:color w:val="000000"/>
                <w:sz w:val="15"/>
                <w:szCs w:val="15"/>
              </w:rPr>
              <w:t xml:space="preserve">Providers cited a need for education for using cannabinoids in cystic fibrosis (CF) patients (drug-drug interactions and adverse effects, appropriate monitoring parameters, and consideration of risks vs benefits).  Further research in several of these areas would also be beneficial. Participants reported appetite, pain, and nausea as the top three advocated indications for use. Only 25.5% of participants </w:t>
            </w:r>
            <w:proofErr w:type="spellStart"/>
            <w:proofErr w:type="gramStart"/>
            <w:r w:rsidRPr="00ED3A9D">
              <w:rPr>
                <w:color w:val="000000"/>
                <w:sz w:val="15"/>
                <w:szCs w:val="15"/>
              </w:rPr>
              <w:t>felt“extremely”or</w:t>
            </w:r>
            <w:proofErr w:type="gramEnd"/>
            <w:r w:rsidRPr="00ED3A9D">
              <w:rPr>
                <w:color w:val="000000"/>
                <w:sz w:val="15"/>
                <w:szCs w:val="15"/>
              </w:rPr>
              <w:t>“</w:t>
            </w:r>
            <w:proofErr w:type="gramStart"/>
            <w:r w:rsidRPr="00ED3A9D">
              <w:rPr>
                <w:color w:val="000000"/>
                <w:sz w:val="15"/>
                <w:szCs w:val="15"/>
              </w:rPr>
              <w:t>very”prepared</w:t>
            </w:r>
            <w:proofErr w:type="spellEnd"/>
            <w:proofErr w:type="gramEnd"/>
            <w:r w:rsidRPr="00ED3A9D">
              <w:rPr>
                <w:color w:val="000000"/>
                <w:sz w:val="15"/>
                <w:szCs w:val="15"/>
              </w:rPr>
              <w:t xml:space="preserve"> to answer patient/family questions about cannabis, while about 35% and 72% of providers </w:t>
            </w:r>
            <w:proofErr w:type="spellStart"/>
            <w:proofErr w:type="gramStart"/>
            <w:r w:rsidRPr="00ED3A9D">
              <w:rPr>
                <w:color w:val="000000"/>
                <w:sz w:val="15"/>
                <w:szCs w:val="15"/>
              </w:rPr>
              <w:t>felt“slightly”or</w:t>
            </w:r>
            <w:proofErr w:type="gramEnd"/>
            <w:r w:rsidRPr="00ED3A9D">
              <w:rPr>
                <w:color w:val="000000"/>
                <w:sz w:val="15"/>
                <w:szCs w:val="15"/>
              </w:rPr>
              <w:t>“not</w:t>
            </w:r>
            <w:proofErr w:type="spellEnd"/>
            <w:r w:rsidRPr="00ED3A9D">
              <w:rPr>
                <w:color w:val="000000"/>
                <w:sz w:val="15"/>
                <w:szCs w:val="15"/>
              </w:rPr>
              <w:t xml:space="preserve"> at </w:t>
            </w:r>
            <w:proofErr w:type="spellStart"/>
            <w:proofErr w:type="gramStart"/>
            <w:r w:rsidRPr="00ED3A9D">
              <w:rPr>
                <w:color w:val="000000"/>
                <w:sz w:val="15"/>
                <w:szCs w:val="15"/>
              </w:rPr>
              <w:t>all”prepared</w:t>
            </w:r>
            <w:proofErr w:type="spellEnd"/>
            <w:proofErr w:type="gramEnd"/>
            <w:r w:rsidRPr="00ED3A9D">
              <w:rPr>
                <w:color w:val="000000"/>
                <w:sz w:val="15"/>
                <w:szCs w:val="15"/>
              </w:rPr>
              <w:t xml:space="preserve"> to answer patient/family questions about cannabis and CF. About 59% reported that </w:t>
            </w:r>
            <w:proofErr w:type="spellStart"/>
            <w:proofErr w:type="gramStart"/>
            <w:r w:rsidRPr="00ED3A9D">
              <w:rPr>
                <w:color w:val="000000"/>
                <w:sz w:val="15"/>
                <w:szCs w:val="15"/>
              </w:rPr>
              <w:t>they“never”talk</w:t>
            </w:r>
            <w:proofErr w:type="spellEnd"/>
            <w:proofErr w:type="gramEnd"/>
            <w:r w:rsidRPr="00ED3A9D">
              <w:rPr>
                <w:color w:val="000000"/>
                <w:sz w:val="15"/>
                <w:szCs w:val="15"/>
              </w:rPr>
              <w:t xml:space="preserve"> with patients regarding the effects of CBD versus THC.  Northeast (14.9%), Midwest (29.4%), South (33%), and West (22%).</w:t>
            </w:r>
          </w:p>
        </w:tc>
      </w:tr>
      <w:tr w:rsidR="0008411C" w14:paraId="12FC8002" w14:textId="77777777" w:rsidTr="00DB49DE">
        <w:tc>
          <w:tcPr>
            <w:tcW w:w="1074" w:type="dxa"/>
          </w:tcPr>
          <w:p w14:paraId="3B7BFE0A" w14:textId="58FD11AD" w:rsidR="00540DEA" w:rsidRPr="0067077E" w:rsidRDefault="00540DEA" w:rsidP="00540DEA">
            <w:pPr>
              <w:rPr>
                <w:sz w:val="15"/>
                <w:szCs w:val="15"/>
              </w:rPr>
            </w:pPr>
            <w:proofErr w:type="spellStart"/>
            <w:r w:rsidRPr="0067077E">
              <w:rPr>
                <w:sz w:val="15"/>
                <w:szCs w:val="15"/>
              </w:rPr>
              <w:t>Narouze</w:t>
            </w:r>
            <w:proofErr w:type="spellEnd"/>
            <w:r w:rsidRPr="0067077E">
              <w:rPr>
                <w:sz w:val="15"/>
                <w:szCs w:val="15"/>
              </w:rPr>
              <w:t>, et al (2020)</w:t>
            </w:r>
            <w:r w:rsidR="00963412">
              <w:rPr>
                <w:sz w:val="15"/>
                <w:szCs w:val="15"/>
              </w:rPr>
              <w:t xml:space="preserve"> [33]</w:t>
            </w:r>
          </w:p>
        </w:tc>
        <w:tc>
          <w:tcPr>
            <w:tcW w:w="1441" w:type="dxa"/>
          </w:tcPr>
          <w:p w14:paraId="1ECD912A" w14:textId="75B2243B" w:rsidR="00540DEA" w:rsidRPr="0067077E" w:rsidRDefault="00540DEA" w:rsidP="00540DEA">
            <w:pPr>
              <w:rPr>
                <w:sz w:val="15"/>
                <w:szCs w:val="15"/>
              </w:rPr>
            </w:pPr>
            <w:r w:rsidRPr="0067077E">
              <w:rPr>
                <w:sz w:val="15"/>
                <w:szCs w:val="15"/>
              </w:rPr>
              <w:t>N = 30 physicians (pain specialist)</w:t>
            </w:r>
          </w:p>
        </w:tc>
        <w:tc>
          <w:tcPr>
            <w:tcW w:w="1439" w:type="dxa"/>
          </w:tcPr>
          <w:p w14:paraId="4F46AF54" w14:textId="2B1A6050" w:rsidR="00540DEA" w:rsidRPr="0067077E" w:rsidRDefault="00540DEA" w:rsidP="00540DEA">
            <w:pPr>
              <w:rPr>
                <w:sz w:val="15"/>
                <w:szCs w:val="15"/>
              </w:rPr>
            </w:pPr>
            <w:r w:rsidRPr="0067077E">
              <w:rPr>
                <w:sz w:val="15"/>
                <w:szCs w:val="15"/>
              </w:rPr>
              <w:t>Cross-sectional study</w:t>
            </w:r>
          </w:p>
        </w:tc>
        <w:tc>
          <w:tcPr>
            <w:tcW w:w="1008" w:type="dxa"/>
          </w:tcPr>
          <w:p w14:paraId="65C116C2" w14:textId="02826E32" w:rsidR="00540DEA" w:rsidRPr="00ED3A9D" w:rsidRDefault="00B60307" w:rsidP="00540DEA">
            <w:pPr>
              <w:rPr>
                <w:sz w:val="15"/>
                <w:szCs w:val="15"/>
              </w:rPr>
            </w:pPr>
            <w:r w:rsidRPr="00ED3A9D">
              <w:rPr>
                <w:sz w:val="15"/>
                <w:szCs w:val="15"/>
              </w:rPr>
              <w:t>Pain</w:t>
            </w:r>
          </w:p>
        </w:tc>
        <w:tc>
          <w:tcPr>
            <w:tcW w:w="4388" w:type="dxa"/>
          </w:tcPr>
          <w:p w14:paraId="3B930A3C" w14:textId="37CC3255" w:rsidR="00540DEA" w:rsidRPr="00ED3A9D" w:rsidRDefault="005E3B79" w:rsidP="00540DEA">
            <w:pPr>
              <w:rPr>
                <w:color w:val="000000"/>
                <w:sz w:val="15"/>
                <w:szCs w:val="15"/>
              </w:rPr>
            </w:pPr>
            <w:r w:rsidRPr="00ED3A9D">
              <w:rPr>
                <w:color w:val="000000"/>
                <w:sz w:val="15"/>
                <w:szCs w:val="15"/>
              </w:rPr>
              <w:t>13% of physicians were registered in a medical cannabis program, 31% recommended it to patients and 76% cared for patients on cannabis.  Thus, a mismatch exists between the pain physicians’ favorable attitude regarding the legitimacy of using medical cannabis and their willingness to recommend it.  Education and scientific evidence in support of using cannabis for pain would be valuable.</w:t>
            </w:r>
          </w:p>
        </w:tc>
      </w:tr>
      <w:tr w:rsidR="0008411C" w14:paraId="1CE2264B" w14:textId="77777777" w:rsidTr="00DB49DE">
        <w:tc>
          <w:tcPr>
            <w:tcW w:w="1074" w:type="dxa"/>
          </w:tcPr>
          <w:p w14:paraId="7BC788E4" w14:textId="3DDF1FA6" w:rsidR="00540DEA" w:rsidRPr="0067077E" w:rsidRDefault="00540DEA" w:rsidP="00540DEA">
            <w:pPr>
              <w:rPr>
                <w:sz w:val="15"/>
                <w:szCs w:val="15"/>
              </w:rPr>
            </w:pPr>
            <w:r w:rsidRPr="0067077E">
              <w:rPr>
                <w:sz w:val="15"/>
                <w:szCs w:val="15"/>
              </w:rPr>
              <w:t>Ananth, et al</w:t>
            </w:r>
            <w:r w:rsidR="00266DB0">
              <w:rPr>
                <w:sz w:val="15"/>
                <w:szCs w:val="15"/>
              </w:rPr>
              <w:t>.</w:t>
            </w:r>
            <w:r w:rsidRPr="0067077E">
              <w:rPr>
                <w:sz w:val="15"/>
                <w:szCs w:val="15"/>
              </w:rPr>
              <w:t xml:space="preserve"> (2018)</w:t>
            </w:r>
            <w:r w:rsidR="00AC5D36">
              <w:rPr>
                <w:sz w:val="15"/>
                <w:szCs w:val="15"/>
              </w:rPr>
              <w:t xml:space="preserve"> [21]</w:t>
            </w:r>
          </w:p>
        </w:tc>
        <w:tc>
          <w:tcPr>
            <w:tcW w:w="1441" w:type="dxa"/>
          </w:tcPr>
          <w:p w14:paraId="43F3ADB2" w14:textId="77777777" w:rsidR="00540DEA" w:rsidRPr="0067077E" w:rsidRDefault="00540DEA" w:rsidP="00540DEA">
            <w:pPr>
              <w:rPr>
                <w:color w:val="000000"/>
                <w:sz w:val="15"/>
                <w:szCs w:val="15"/>
              </w:rPr>
            </w:pPr>
            <w:r w:rsidRPr="0067077E">
              <w:rPr>
                <w:color w:val="000000"/>
                <w:sz w:val="15"/>
                <w:szCs w:val="15"/>
              </w:rPr>
              <w:t xml:space="preserve">N = 288 (physicians, nurse practitioners, nurses, physician assistants, psychosocial </w:t>
            </w:r>
            <w:r w:rsidRPr="0067077E">
              <w:rPr>
                <w:color w:val="000000"/>
                <w:sz w:val="15"/>
                <w:szCs w:val="15"/>
              </w:rPr>
              <w:lastRenderedPageBreak/>
              <w:t>providers, other) Pediatric oncology.</w:t>
            </w:r>
          </w:p>
          <w:p w14:paraId="30DB8D90" w14:textId="77777777" w:rsidR="00540DEA" w:rsidRPr="0067077E" w:rsidRDefault="00540DEA" w:rsidP="00540DEA">
            <w:pPr>
              <w:rPr>
                <w:sz w:val="15"/>
                <w:szCs w:val="15"/>
              </w:rPr>
            </w:pPr>
          </w:p>
        </w:tc>
        <w:tc>
          <w:tcPr>
            <w:tcW w:w="1439" w:type="dxa"/>
          </w:tcPr>
          <w:p w14:paraId="71D29504" w14:textId="2DED9662" w:rsidR="00540DEA" w:rsidRPr="0067077E" w:rsidRDefault="00540DEA" w:rsidP="00540DEA">
            <w:pPr>
              <w:rPr>
                <w:sz w:val="15"/>
                <w:szCs w:val="15"/>
              </w:rPr>
            </w:pPr>
            <w:r w:rsidRPr="0067077E">
              <w:rPr>
                <w:sz w:val="15"/>
                <w:szCs w:val="15"/>
              </w:rPr>
              <w:lastRenderedPageBreak/>
              <w:t>Cross-sectional study</w:t>
            </w:r>
          </w:p>
        </w:tc>
        <w:tc>
          <w:tcPr>
            <w:tcW w:w="1008" w:type="dxa"/>
          </w:tcPr>
          <w:p w14:paraId="36ABB423" w14:textId="2D2CD32F" w:rsidR="00540DEA" w:rsidRPr="00ED3A9D" w:rsidRDefault="00B60307" w:rsidP="00540DEA">
            <w:pPr>
              <w:rPr>
                <w:sz w:val="15"/>
                <w:szCs w:val="15"/>
              </w:rPr>
            </w:pPr>
            <w:r w:rsidRPr="00ED3A9D">
              <w:rPr>
                <w:sz w:val="15"/>
                <w:szCs w:val="15"/>
              </w:rPr>
              <w:t>Oncology</w:t>
            </w:r>
          </w:p>
        </w:tc>
        <w:tc>
          <w:tcPr>
            <w:tcW w:w="4388" w:type="dxa"/>
          </w:tcPr>
          <w:p w14:paraId="742A7BF4" w14:textId="6B49C7B7" w:rsidR="00540DEA" w:rsidRPr="00ED3A9D" w:rsidRDefault="00057379" w:rsidP="00540DEA">
            <w:pPr>
              <w:rPr>
                <w:color w:val="000000"/>
                <w:sz w:val="15"/>
                <w:szCs w:val="15"/>
              </w:rPr>
            </w:pPr>
            <w:r w:rsidRPr="00ED3A9D">
              <w:rPr>
                <w:color w:val="000000"/>
                <w:sz w:val="15"/>
                <w:szCs w:val="15"/>
              </w:rPr>
              <w:t xml:space="preserve">Providers were not aware of their state guidelines concerning medical marijuana in the pediatric population (only 5% knew state guidelines). While most will consider medical marijuana for managing cancer in this population (92%), 46% of providers said there remains an absence of standards, especially on dosing and potency, which creates barriers in prescribing. Those eligible to </w:t>
            </w:r>
            <w:r w:rsidRPr="00ED3A9D">
              <w:rPr>
                <w:color w:val="000000"/>
                <w:sz w:val="15"/>
                <w:szCs w:val="15"/>
              </w:rPr>
              <w:lastRenderedPageBreak/>
              <w:t>prescribe cannabinoids are more supportive to use in a palliative setting.  Providers in Illinois, Washington, and Massachusetts.</w:t>
            </w:r>
          </w:p>
        </w:tc>
      </w:tr>
      <w:tr w:rsidR="0008411C" w14:paraId="2DD119FB" w14:textId="77777777" w:rsidTr="00DB49DE">
        <w:tc>
          <w:tcPr>
            <w:tcW w:w="1074" w:type="dxa"/>
          </w:tcPr>
          <w:p w14:paraId="09E79818" w14:textId="6BB75EC6" w:rsidR="00540DEA" w:rsidRPr="0067077E" w:rsidRDefault="00540DEA" w:rsidP="00540DEA">
            <w:pPr>
              <w:rPr>
                <w:color w:val="000000"/>
                <w:sz w:val="15"/>
                <w:szCs w:val="15"/>
              </w:rPr>
            </w:pPr>
            <w:r w:rsidRPr="0067077E">
              <w:rPr>
                <w:color w:val="000000"/>
                <w:sz w:val="15"/>
                <w:szCs w:val="15"/>
              </w:rPr>
              <w:lastRenderedPageBreak/>
              <w:t>Novak, et al</w:t>
            </w:r>
            <w:r w:rsidR="00266DB0">
              <w:rPr>
                <w:color w:val="000000"/>
                <w:sz w:val="15"/>
                <w:szCs w:val="15"/>
              </w:rPr>
              <w:t xml:space="preserve">. </w:t>
            </w:r>
            <w:r w:rsidRPr="0067077E">
              <w:rPr>
                <w:color w:val="000000"/>
                <w:sz w:val="15"/>
                <w:szCs w:val="15"/>
              </w:rPr>
              <w:t>(2021)</w:t>
            </w:r>
            <w:r w:rsidR="00E03D00">
              <w:rPr>
                <w:color w:val="000000"/>
                <w:sz w:val="15"/>
                <w:szCs w:val="15"/>
              </w:rPr>
              <w:t xml:space="preserve"> [23]</w:t>
            </w:r>
          </w:p>
          <w:p w14:paraId="2AE3DF3E" w14:textId="77777777" w:rsidR="00540DEA" w:rsidRPr="0067077E" w:rsidRDefault="00540DEA" w:rsidP="00540DEA">
            <w:pPr>
              <w:rPr>
                <w:sz w:val="15"/>
                <w:szCs w:val="15"/>
              </w:rPr>
            </w:pPr>
          </w:p>
        </w:tc>
        <w:tc>
          <w:tcPr>
            <w:tcW w:w="1441" w:type="dxa"/>
          </w:tcPr>
          <w:p w14:paraId="73381250" w14:textId="77777777" w:rsidR="00540DEA" w:rsidRPr="0067077E" w:rsidRDefault="00540DEA" w:rsidP="00540DEA">
            <w:pPr>
              <w:rPr>
                <w:color w:val="000000"/>
                <w:sz w:val="15"/>
                <w:szCs w:val="15"/>
              </w:rPr>
            </w:pPr>
            <w:r w:rsidRPr="0067077E">
              <w:rPr>
                <w:color w:val="000000"/>
                <w:sz w:val="15"/>
                <w:szCs w:val="15"/>
              </w:rPr>
              <w:t>N = 107 physicians; radiation oncologists</w:t>
            </w:r>
          </w:p>
          <w:p w14:paraId="02F818C1" w14:textId="77777777" w:rsidR="00540DEA" w:rsidRPr="0067077E" w:rsidRDefault="00540DEA" w:rsidP="00540DEA">
            <w:pPr>
              <w:rPr>
                <w:sz w:val="15"/>
                <w:szCs w:val="15"/>
              </w:rPr>
            </w:pPr>
          </w:p>
        </w:tc>
        <w:tc>
          <w:tcPr>
            <w:tcW w:w="1439" w:type="dxa"/>
          </w:tcPr>
          <w:p w14:paraId="02DA65AE" w14:textId="0EAF05B8" w:rsidR="00540DEA" w:rsidRPr="0067077E" w:rsidRDefault="00540DEA" w:rsidP="00540DEA">
            <w:pPr>
              <w:rPr>
                <w:sz w:val="15"/>
                <w:szCs w:val="15"/>
              </w:rPr>
            </w:pPr>
            <w:r w:rsidRPr="0067077E">
              <w:rPr>
                <w:sz w:val="15"/>
                <w:szCs w:val="15"/>
              </w:rPr>
              <w:t>Cross-sectional study</w:t>
            </w:r>
          </w:p>
        </w:tc>
        <w:tc>
          <w:tcPr>
            <w:tcW w:w="1008" w:type="dxa"/>
          </w:tcPr>
          <w:p w14:paraId="0F7B7538" w14:textId="6E641CDD" w:rsidR="00540DEA" w:rsidRPr="00ED3A9D" w:rsidRDefault="00B60307" w:rsidP="00540DEA">
            <w:pPr>
              <w:rPr>
                <w:sz w:val="15"/>
                <w:szCs w:val="15"/>
              </w:rPr>
            </w:pPr>
            <w:r w:rsidRPr="00ED3A9D">
              <w:rPr>
                <w:sz w:val="15"/>
                <w:szCs w:val="15"/>
              </w:rPr>
              <w:t>Oncology</w:t>
            </w:r>
          </w:p>
        </w:tc>
        <w:tc>
          <w:tcPr>
            <w:tcW w:w="4388" w:type="dxa"/>
          </w:tcPr>
          <w:p w14:paraId="0E4CA7E1" w14:textId="693E7D81" w:rsidR="00540DEA" w:rsidRPr="00ED3A9D" w:rsidRDefault="00251670" w:rsidP="00540DEA">
            <w:pPr>
              <w:rPr>
                <w:color w:val="000000"/>
                <w:sz w:val="15"/>
                <w:szCs w:val="15"/>
              </w:rPr>
            </w:pPr>
            <w:r w:rsidRPr="00ED3A9D">
              <w:rPr>
                <w:color w:val="000000"/>
                <w:sz w:val="15"/>
                <w:szCs w:val="15"/>
              </w:rPr>
              <w:t>Perceptions of medical marijuana on responding physicians depended on their work environment (academic institution vs private practice) and the number of years in practice. Most physicians (86%) believed they lacked sufficient knowledge and wanted more education on cannabinoids (CME, webinars, platforms at annual professional meetings). 36% would recommend use especially in states where it is legalized. 66% said it was better if brought up by patient.  60% of radiation oncologists were unsure whether to recommend or advise against therapeutic cannabis. 71% of physicians reported therapeutic cannabis as being effective at least some of the time for managing treatment-related effects. 76.6% practiced in a MC legalized state.</w:t>
            </w:r>
          </w:p>
        </w:tc>
      </w:tr>
      <w:tr w:rsidR="0008411C" w14:paraId="00456337" w14:textId="77777777" w:rsidTr="00DB49DE">
        <w:tc>
          <w:tcPr>
            <w:tcW w:w="1074" w:type="dxa"/>
          </w:tcPr>
          <w:p w14:paraId="49DE7F27" w14:textId="24F48A8B" w:rsidR="00540DEA" w:rsidRPr="0067077E" w:rsidRDefault="00540DEA" w:rsidP="00540DEA">
            <w:pPr>
              <w:rPr>
                <w:sz w:val="15"/>
                <w:szCs w:val="15"/>
              </w:rPr>
            </w:pPr>
            <w:r w:rsidRPr="0067077E">
              <w:rPr>
                <w:sz w:val="15"/>
                <w:szCs w:val="15"/>
              </w:rPr>
              <w:t>Phillips, et al</w:t>
            </w:r>
            <w:r w:rsidR="00266DB0">
              <w:rPr>
                <w:sz w:val="15"/>
                <w:szCs w:val="15"/>
              </w:rPr>
              <w:t xml:space="preserve">. </w:t>
            </w:r>
            <w:r w:rsidRPr="0067077E">
              <w:rPr>
                <w:sz w:val="15"/>
                <w:szCs w:val="15"/>
              </w:rPr>
              <w:t>(2020)</w:t>
            </w:r>
            <w:r w:rsidR="00E03D00">
              <w:rPr>
                <w:sz w:val="15"/>
                <w:szCs w:val="15"/>
              </w:rPr>
              <w:t xml:space="preserve"> [25]</w:t>
            </w:r>
          </w:p>
        </w:tc>
        <w:tc>
          <w:tcPr>
            <w:tcW w:w="1441" w:type="dxa"/>
          </w:tcPr>
          <w:p w14:paraId="77C0E214" w14:textId="0F6C5745" w:rsidR="00540DEA" w:rsidRPr="0067077E" w:rsidRDefault="00540DEA" w:rsidP="00540DEA">
            <w:pPr>
              <w:rPr>
                <w:sz w:val="15"/>
                <w:szCs w:val="15"/>
              </w:rPr>
            </w:pPr>
            <w:r w:rsidRPr="0067077E">
              <w:rPr>
                <w:sz w:val="15"/>
                <w:szCs w:val="15"/>
              </w:rPr>
              <w:t>N = 374 (physicians, pharmacists, transplant coordinators, other). Cardiologists and surgeons</w:t>
            </w:r>
          </w:p>
        </w:tc>
        <w:tc>
          <w:tcPr>
            <w:tcW w:w="1439" w:type="dxa"/>
          </w:tcPr>
          <w:p w14:paraId="3DAE18DE" w14:textId="6B7B2EB2" w:rsidR="00540DEA" w:rsidRPr="0067077E" w:rsidRDefault="00540DEA" w:rsidP="00540DEA">
            <w:pPr>
              <w:rPr>
                <w:sz w:val="15"/>
                <w:szCs w:val="15"/>
              </w:rPr>
            </w:pPr>
            <w:r w:rsidRPr="0067077E">
              <w:rPr>
                <w:sz w:val="15"/>
                <w:szCs w:val="15"/>
              </w:rPr>
              <w:t>Cross-sectional study</w:t>
            </w:r>
          </w:p>
        </w:tc>
        <w:tc>
          <w:tcPr>
            <w:tcW w:w="1008" w:type="dxa"/>
          </w:tcPr>
          <w:p w14:paraId="5AFCE360" w14:textId="36F72980" w:rsidR="00540DEA" w:rsidRPr="00ED3A9D" w:rsidRDefault="00C4061C" w:rsidP="00540DEA">
            <w:pPr>
              <w:rPr>
                <w:sz w:val="15"/>
                <w:szCs w:val="15"/>
              </w:rPr>
            </w:pPr>
            <w:r w:rsidRPr="00ED3A9D">
              <w:rPr>
                <w:sz w:val="15"/>
                <w:szCs w:val="15"/>
              </w:rPr>
              <w:t>Congenital cardiac disease</w:t>
            </w:r>
          </w:p>
        </w:tc>
        <w:tc>
          <w:tcPr>
            <w:tcW w:w="4388" w:type="dxa"/>
          </w:tcPr>
          <w:p w14:paraId="32ABB4D7" w14:textId="08BAC4BB" w:rsidR="00540DEA" w:rsidRPr="00ED3A9D" w:rsidRDefault="00313B83" w:rsidP="00540DEA">
            <w:pPr>
              <w:rPr>
                <w:color w:val="000000"/>
                <w:sz w:val="15"/>
                <w:szCs w:val="15"/>
              </w:rPr>
            </w:pPr>
            <w:r w:rsidRPr="00ED3A9D">
              <w:rPr>
                <w:color w:val="000000"/>
                <w:sz w:val="15"/>
                <w:szCs w:val="15"/>
              </w:rPr>
              <w:t>73% of providers cited a lack of policy in their hospital on using medical marijuana in heart transplant patients.  Only 11% said marijuana was used recreationally in their state. Providers personally believed marijuana to be physically and mentally/emotionally harmful to pediatric patients (67% and 72%, respectively). While 73% of providers would consider illegal marijuana use an absolute/relative contraindication to heart transplant listing, the number decreases to 57% for legal recreational users and 21% for legal medical users. 84% of providers practiced in the United States and Canada.</w:t>
            </w:r>
          </w:p>
        </w:tc>
      </w:tr>
      <w:tr w:rsidR="0008411C" w14:paraId="67DB55A0" w14:textId="77777777" w:rsidTr="00DB49DE">
        <w:tc>
          <w:tcPr>
            <w:tcW w:w="1074" w:type="dxa"/>
          </w:tcPr>
          <w:p w14:paraId="00FBF6EC" w14:textId="5473ACBE" w:rsidR="00540DEA" w:rsidRPr="0067077E" w:rsidRDefault="00540DEA" w:rsidP="00540DEA">
            <w:pPr>
              <w:rPr>
                <w:sz w:val="15"/>
                <w:szCs w:val="15"/>
              </w:rPr>
            </w:pPr>
            <w:r w:rsidRPr="0067077E">
              <w:rPr>
                <w:sz w:val="15"/>
                <w:szCs w:val="15"/>
              </w:rPr>
              <w:t>Robinson</w:t>
            </w:r>
            <w:r w:rsidR="009A282F">
              <w:rPr>
                <w:sz w:val="15"/>
                <w:szCs w:val="15"/>
              </w:rPr>
              <w:t>, et al</w:t>
            </w:r>
            <w:r w:rsidR="00266DB0">
              <w:rPr>
                <w:sz w:val="15"/>
                <w:szCs w:val="15"/>
              </w:rPr>
              <w:t>.</w:t>
            </w:r>
            <w:r w:rsidR="009A282F">
              <w:rPr>
                <w:sz w:val="15"/>
                <w:szCs w:val="15"/>
              </w:rPr>
              <w:t xml:space="preserve"> </w:t>
            </w:r>
            <w:r w:rsidRPr="0067077E">
              <w:rPr>
                <w:sz w:val="15"/>
                <w:szCs w:val="15"/>
              </w:rPr>
              <w:t>(2018)</w:t>
            </w:r>
            <w:r w:rsidR="009A282F">
              <w:rPr>
                <w:sz w:val="15"/>
                <w:szCs w:val="15"/>
              </w:rPr>
              <w:t xml:space="preserve"> [17]</w:t>
            </w:r>
          </w:p>
        </w:tc>
        <w:tc>
          <w:tcPr>
            <w:tcW w:w="1441" w:type="dxa"/>
          </w:tcPr>
          <w:p w14:paraId="4D5A9A35" w14:textId="77777777" w:rsidR="00540DEA" w:rsidRPr="0067077E" w:rsidRDefault="00540DEA" w:rsidP="00540DEA">
            <w:pPr>
              <w:rPr>
                <w:color w:val="000000"/>
                <w:sz w:val="15"/>
                <w:szCs w:val="15"/>
              </w:rPr>
            </w:pPr>
            <w:r w:rsidRPr="0067077E">
              <w:rPr>
                <w:color w:val="000000"/>
                <w:sz w:val="15"/>
                <w:szCs w:val="15"/>
              </w:rPr>
              <w:t>N = 531 (physicians, PAs, NPs, other); dermatology</w:t>
            </w:r>
          </w:p>
          <w:p w14:paraId="5D3C6937" w14:textId="77777777" w:rsidR="00540DEA" w:rsidRPr="0067077E" w:rsidRDefault="00540DEA" w:rsidP="00540DEA">
            <w:pPr>
              <w:rPr>
                <w:sz w:val="15"/>
                <w:szCs w:val="15"/>
              </w:rPr>
            </w:pPr>
          </w:p>
        </w:tc>
        <w:tc>
          <w:tcPr>
            <w:tcW w:w="1439" w:type="dxa"/>
          </w:tcPr>
          <w:p w14:paraId="719D5501" w14:textId="78380EE5" w:rsidR="00540DEA" w:rsidRPr="00AB4487" w:rsidRDefault="00540DEA" w:rsidP="00540DEA">
            <w:pPr>
              <w:rPr>
                <w:sz w:val="15"/>
                <w:szCs w:val="15"/>
              </w:rPr>
            </w:pPr>
            <w:r w:rsidRPr="00AB4487">
              <w:rPr>
                <w:sz w:val="15"/>
                <w:szCs w:val="15"/>
              </w:rPr>
              <w:t>Cross-sectional study</w:t>
            </w:r>
          </w:p>
        </w:tc>
        <w:tc>
          <w:tcPr>
            <w:tcW w:w="1008" w:type="dxa"/>
          </w:tcPr>
          <w:p w14:paraId="3BD30DB6" w14:textId="32552501" w:rsidR="00540DEA" w:rsidRPr="00ED3A9D" w:rsidRDefault="00AB4487" w:rsidP="00540DEA">
            <w:pPr>
              <w:rPr>
                <w:sz w:val="15"/>
                <w:szCs w:val="15"/>
              </w:rPr>
            </w:pPr>
            <w:r w:rsidRPr="00ED3A9D">
              <w:rPr>
                <w:sz w:val="15"/>
                <w:szCs w:val="15"/>
              </w:rPr>
              <w:t>Dermatology</w:t>
            </w:r>
          </w:p>
        </w:tc>
        <w:tc>
          <w:tcPr>
            <w:tcW w:w="4388" w:type="dxa"/>
          </w:tcPr>
          <w:p w14:paraId="2AC1CCD2" w14:textId="2276EFE8" w:rsidR="00540DEA" w:rsidRPr="00ED3A9D" w:rsidRDefault="00313B83" w:rsidP="00540DEA">
            <w:pPr>
              <w:rPr>
                <w:color w:val="000000"/>
                <w:sz w:val="15"/>
                <w:szCs w:val="15"/>
              </w:rPr>
            </w:pPr>
            <w:r w:rsidRPr="00ED3A9D">
              <w:rPr>
                <w:color w:val="000000"/>
                <w:sz w:val="15"/>
                <w:szCs w:val="15"/>
              </w:rPr>
              <w:t>MC should be legal and used for topical administration (86%).  71% were willing to prescribe an oral form. 94% believed that more research in dermatology would be needed. In addition, more education would be needed as 64% of dermatologists did not know that CBD is not psychoactive, 29% did not know that THC is psychoactive. 55% did report at least one patient-initiated question about cannabinoids in the past year.</w:t>
            </w:r>
          </w:p>
        </w:tc>
      </w:tr>
      <w:tr w:rsidR="0008411C" w14:paraId="655F26F5" w14:textId="77777777" w:rsidTr="00DB49DE">
        <w:tc>
          <w:tcPr>
            <w:tcW w:w="1074" w:type="dxa"/>
          </w:tcPr>
          <w:p w14:paraId="2B9E4474" w14:textId="74B6E257" w:rsidR="00540DEA" w:rsidRPr="0067077E" w:rsidRDefault="00540DEA" w:rsidP="00540DEA">
            <w:pPr>
              <w:rPr>
                <w:color w:val="000000"/>
                <w:sz w:val="15"/>
                <w:szCs w:val="15"/>
              </w:rPr>
            </w:pPr>
            <w:r w:rsidRPr="0067077E">
              <w:rPr>
                <w:color w:val="000000"/>
                <w:sz w:val="15"/>
                <w:szCs w:val="15"/>
              </w:rPr>
              <w:t>Kruger, et al</w:t>
            </w:r>
            <w:r w:rsidR="00266DB0">
              <w:rPr>
                <w:color w:val="000000"/>
                <w:sz w:val="15"/>
                <w:szCs w:val="15"/>
              </w:rPr>
              <w:t>.</w:t>
            </w:r>
            <w:r w:rsidRPr="0067077E">
              <w:rPr>
                <w:color w:val="000000"/>
                <w:sz w:val="15"/>
                <w:szCs w:val="15"/>
              </w:rPr>
              <w:t xml:space="preserve"> (2022)</w:t>
            </w:r>
            <w:r w:rsidR="00E13B3F">
              <w:rPr>
                <w:color w:val="000000"/>
                <w:sz w:val="15"/>
                <w:szCs w:val="15"/>
              </w:rPr>
              <w:t xml:space="preserve"> [11]</w:t>
            </w:r>
          </w:p>
          <w:p w14:paraId="6470C3F3" w14:textId="77777777" w:rsidR="00540DEA" w:rsidRPr="0067077E" w:rsidRDefault="00540DEA" w:rsidP="00540DEA">
            <w:pPr>
              <w:rPr>
                <w:sz w:val="15"/>
                <w:szCs w:val="15"/>
              </w:rPr>
            </w:pPr>
          </w:p>
        </w:tc>
        <w:tc>
          <w:tcPr>
            <w:tcW w:w="1441" w:type="dxa"/>
          </w:tcPr>
          <w:p w14:paraId="551A1F89" w14:textId="560E81D5" w:rsidR="00540DEA" w:rsidRPr="0067077E" w:rsidRDefault="00540DEA" w:rsidP="00540DEA">
            <w:pPr>
              <w:rPr>
                <w:color w:val="000000"/>
                <w:sz w:val="15"/>
                <w:szCs w:val="15"/>
              </w:rPr>
            </w:pPr>
            <w:r w:rsidRPr="0067077E">
              <w:rPr>
                <w:color w:val="000000"/>
                <w:sz w:val="15"/>
                <w:szCs w:val="15"/>
              </w:rPr>
              <w:t>N = 244 physicians</w:t>
            </w:r>
          </w:p>
        </w:tc>
        <w:tc>
          <w:tcPr>
            <w:tcW w:w="1439" w:type="dxa"/>
          </w:tcPr>
          <w:p w14:paraId="6638B7F0" w14:textId="19A04ED2" w:rsidR="00540DEA" w:rsidRPr="0067077E" w:rsidRDefault="00540DEA" w:rsidP="00540DEA">
            <w:pPr>
              <w:rPr>
                <w:sz w:val="15"/>
                <w:szCs w:val="15"/>
              </w:rPr>
            </w:pPr>
            <w:r w:rsidRPr="0067077E">
              <w:rPr>
                <w:sz w:val="15"/>
                <w:szCs w:val="15"/>
              </w:rPr>
              <w:t>Cross-sectional study</w:t>
            </w:r>
          </w:p>
        </w:tc>
        <w:tc>
          <w:tcPr>
            <w:tcW w:w="1008" w:type="dxa"/>
          </w:tcPr>
          <w:p w14:paraId="28F564FB" w14:textId="54B73A93" w:rsidR="00540DEA" w:rsidRPr="00ED3A9D" w:rsidRDefault="00AB4487" w:rsidP="00540DEA">
            <w:pPr>
              <w:rPr>
                <w:sz w:val="15"/>
                <w:szCs w:val="15"/>
              </w:rPr>
            </w:pPr>
            <w:r w:rsidRPr="00ED3A9D">
              <w:rPr>
                <w:sz w:val="15"/>
                <w:szCs w:val="15"/>
              </w:rPr>
              <w:t>Various indications</w:t>
            </w:r>
          </w:p>
        </w:tc>
        <w:tc>
          <w:tcPr>
            <w:tcW w:w="4388" w:type="dxa"/>
          </w:tcPr>
          <w:p w14:paraId="692FAF26" w14:textId="121130E9" w:rsidR="00540DEA" w:rsidRPr="00ED3A9D" w:rsidRDefault="00313B83" w:rsidP="00540DEA">
            <w:pPr>
              <w:rPr>
                <w:color w:val="000000"/>
                <w:sz w:val="15"/>
                <w:szCs w:val="15"/>
              </w:rPr>
            </w:pPr>
            <w:r w:rsidRPr="00ED3A9D">
              <w:rPr>
                <w:color w:val="000000"/>
                <w:sz w:val="15"/>
                <w:szCs w:val="15"/>
              </w:rPr>
              <w:t>There was low knowledge about medical cannabis cited by physicians (64%). There is also a mismatch in policy knowledge. Very few respondents expressed competence at identifying medical cannabis adverse effects and appropriate dosing. Thus, there was discomfort in incorporating medical cannabis into practice.</w:t>
            </w:r>
          </w:p>
        </w:tc>
      </w:tr>
      <w:tr w:rsidR="0008411C" w14:paraId="20BB6781" w14:textId="77777777" w:rsidTr="00DB49DE">
        <w:tc>
          <w:tcPr>
            <w:tcW w:w="1074" w:type="dxa"/>
          </w:tcPr>
          <w:p w14:paraId="22CDDA51" w14:textId="250462A3" w:rsidR="00540DEA" w:rsidRPr="0067077E" w:rsidRDefault="00540DEA" w:rsidP="00540DEA">
            <w:pPr>
              <w:rPr>
                <w:color w:val="000000"/>
                <w:sz w:val="15"/>
                <w:szCs w:val="15"/>
              </w:rPr>
            </w:pPr>
            <w:proofErr w:type="spellStart"/>
            <w:r w:rsidRPr="0067077E">
              <w:rPr>
                <w:color w:val="000000"/>
                <w:sz w:val="15"/>
                <w:szCs w:val="15"/>
              </w:rPr>
              <w:t>Yeroushalmi</w:t>
            </w:r>
            <w:proofErr w:type="spellEnd"/>
            <w:r w:rsidRPr="0067077E">
              <w:rPr>
                <w:color w:val="000000"/>
                <w:sz w:val="15"/>
                <w:szCs w:val="15"/>
              </w:rPr>
              <w:t>, et al</w:t>
            </w:r>
            <w:r w:rsidR="00266DB0">
              <w:rPr>
                <w:color w:val="000000"/>
                <w:sz w:val="15"/>
                <w:szCs w:val="15"/>
              </w:rPr>
              <w:t>.</w:t>
            </w:r>
            <w:r w:rsidRPr="0067077E">
              <w:rPr>
                <w:color w:val="000000"/>
                <w:sz w:val="15"/>
                <w:szCs w:val="15"/>
              </w:rPr>
              <w:t xml:space="preserve"> (2020)</w:t>
            </w:r>
            <w:r w:rsidR="007558DE">
              <w:rPr>
                <w:color w:val="000000"/>
                <w:sz w:val="15"/>
                <w:szCs w:val="15"/>
              </w:rPr>
              <w:t xml:space="preserve"> [18]</w:t>
            </w:r>
          </w:p>
          <w:p w14:paraId="0E668343" w14:textId="77777777" w:rsidR="00540DEA" w:rsidRPr="0067077E" w:rsidRDefault="00540DEA" w:rsidP="00540DEA">
            <w:pPr>
              <w:rPr>
                <w:sz w:val="15"/>
                <w:szCs w:val="15"/>
              </w:rPr>
            </w:pPr>
          </w:p>
        </w:tc>
        <w:tc>
          <w:tcPr>
            <w:tcW w:w="1441" w:type="dxa"/>
          </w:tcPr>
          <w:p w14:paraId="0DC6574B" w14:textId="5D2D9392" w:rsidR="00540DEA" w:rsidRPr="0067077E" w:rsidRDefault="00540DEA" w:rsidP="00540DEA">
            <w:pPr>
              <w:rPr>
                <w:sz w:val="15"/>
                <w:szCs w:val="15"/>
              </w:rPr>
            </w:pPr>
            <w:r w:rsidRPr="0067077E">
              <w:rPr>
                <w:sz w:val="15"/>
                <w:szCs w:val="15"/>
              </w:rPr>
              <w:t>N = 145 (dermatology physicians and trainees)</w:t>
            </w:r>
          </w:p>
        </w:tc>
        <w:tc>
          <w:tcPr>
            <w:tcW w:w="1439" w:type="dxa"/>
          </w:tcPr>
          <w:p w14:paraId="0D0F8355" w14:textId="35FC89DC" w:rsidR="00540DEA" w:rsidRPr="0067077E" w:rsidRDefault="00540DEA" w:rsidP="00540DEA">
            <w:pPr>
              <w:rPr>
                <w:sz w:val="15"/>
                <w:szCs w:val="15"/>
              </w:rPr>
            </w:pPr>
            <w:r w:rsidRPr="0067077E">
              <w:rPr>
                <w:sz w:val="15"/>
                <w:szCs w:val="15"/>
              </w:rPr>
              <w:t>Cross-sectional study</w:t>
            </w:r>
          </w:p>
        </w:tc>
        <w:tc>
          <w:tcPr>
            <w:tcW w:w="1008" w:type="dxa"/>
          </w:tcPr>
          <w:p w14:paraId="272E185D" w14:textId="727DA89E" w:rsidR="00540DEA" w:rsidRPr="00ED3A9D" w:rsidRDefault="00DE1AF4" w:rsidP="00540DEA">
            <w:pPr>
              <w:rPr>
                <w:sz w:val="15"/>
                <w:szCs w:val="15"/>
              </w:rPr>
            </w:pPr>
            <w:r w:rsidRPr="00ED3A9D">
              <w:rPr>
                <w:sz w:val="15"/>
                <w:szCs w:val="15"/>
              </w:rPr>
              <w:t>Dermatology</w:t>
            </w:r>
          </w:p>
        </w:tc>
        <w:tc>
          <w:tcPr>
            <w:tcW w:w="4388" w:type="dxa"/>
          </w:tcPr>
          <w:p w14:paraId="2E698260" w14:textId="388E2786" w:rsidR="00540DEA" w:rsidRPr="00ED3A9D" w:rsidRDefault="00313B83" w:rsidP="00540DEA">
            <w:pPr>
              <w:rPr>
                <w:color w:val="000000"/>
                <w:sz w:val="15"/>
                <w:szCs w:val="15"/>
              </w:rPr>
            </w:pPr>
            <w:r w:rsidRPr="00ED3A9D">
              <w:rPr>
                <w:color w:val="000000"/>
                <w:sz w:val="15"/>
                <w:szCs w:val="15"/>
              </w:rPr>
              <w:t>Across the US: 14% surveyed dermatologists recommended MC; Lack of experience  and limited knowledge (56% and 40%) were perceived as barriers in recommending MC; Age, gender, years in practice did not significantly influence recommendation behaviors, however "older age" and more years  in practice were significantly associated with less apprehension in discussing medical cannabis therapy with patients."; Atopic dermatitis and psoriasis were most common conditions (45% and 40%); Topical preparations were the most commonly recommended (75%); Most common reasons for recommending MC were therapeutic benefit (80%) and patient's preference for a natural alternative (50%)</w:t>
            </w:r>
          </w:p>
        </w:tc>
      </w:tr>
      <w:tr w:rsidR="000B19BC" w14:paraId="3EA72C7B" w14:textId="77777777" w:rsidTr="00DB49DE">
        <w:tc>
          <w:tcPr>
            <w:tcW w:w="1074" w:type="dxa"/>
          </w:tcPr>
          <w:p w14:paraId="1C222EB5" w14:textId="06CE6E2F" w:rsidR="00540DEA" w:rsidRPr="0067077E" w:rsidRDefault="00540DEA" w:rsidP="00540DEA">
            <w:pPr>
              <w:rPr>
                <w:color w:val="000000"/>
                <w:sz w:val="15"/>
                <w:szCs w:val="15"/>
              </w:rPr>
            </w:pPr>
            <w:r w:rsidRPr="0067077E">
              <w:rPr>
                <w:color w:val="000000"/>
                <w:sz w:val="15"/>
                <w:szCs w:val="15"/>
              </w:rPr>
              <w:t>Young-Wolff, et al (2020)</w:t>
            </w:r>
            <w:r w:rsidR="00E75B5B">
              <w:rPr>
                <w:color w:val="000000"/>
                <w:sz w:val="15"/>
                <w:szCs w:val="15"/>
              </w:rPr>
              <w:t xml:space="preserve"> [30]</w:t>
            </w:r>
          </w:p>
          <w:p w14:paraId="08054408" w14:textId="77777777" w:rsidR="00540DEA" w:rsidRPr="0067077E" w:rsidRDefault="00540DEA" w:rsidP="00540DEA">
            <w:pPr>
              <w:rPr>
                <w:sz w:val="15"/>
                <w:szCs w:val="15"/>
              </w:rPr>
            </w:pPr>
          </w:p>
        </w:tc>
        <w:tc>
          <w:tcPr>
            <w:tcW w:w="1441" w:type="dxa"/>
          </w:tcPr>
          <w:p w14:paraId="392C58AC" w14:textId="77777777" w:rsidR="00540DEA" w:rsidRPr="0067077E" w:rsidRDefault="00540DEA" w:rsidP="00540DEA">
            <w:pPr>
              <w:rPr>
                <w:color w:val="000000"/>
                <w:sz w:val="15"/>
                <w:szCs w:val="15"/>
              </w:rPr>
            </w:pPr>
            <w:r w:rsidRPr="0067077E">
              <w:rPr>
                <w:color w:val="000000"/>
                <w:sz w:val="15"/>
                <w:szCs w:val="15"/>
              </w:rPr>
              <w:t>N = 277 (physicians)</w:t>
            </w:r>
          </w:p>
          <w:p w14:paraId="4D0F9C8E" w14:textId="77777777" w:rsidR="00540DEA" w:rsidRPr="0067077E" w:rsidRDefault="00540DEA" w:rsidP="00540DEA">
            <w:pPr>
              <w:rPr>
                <w:sz w:val="15"/>
                <w:szCs w:val="15"/>
              </w:rPr>
            </w:pPr>
          </w:p>
        </w:tc>
        <w:tc>
          <w:tcPr>
            <w:tcW w:w="1439" w:type="dxa"/>
          </w:tcPr>
          <w:p w14:paraId="4A622536" w14:textId="77777777" w:rsidR="00540DEA" w:rsidRPr="0067077E" w:rsidRDefault="00540DEA" w:rsidP="00540DEA">
            <w:pPr>
              <w:rPr>
                <w:color w:val="000000"/>
                <w:sz w:val="15"/>
                <w:szCs w:val="15"/>
              </w:rPr>
            </w:pPr>
            <w:r w:rsidRPr="0067077E">
              <w:rPr>
                <w:color w:val="000000"/>
                <w:sz w:val="15"/>
                <w:szCs w:val="15"/>
              </w:rPr>
              <w:t>Correlational, non-experimental study</w:t>
            </w:r>
          </w:p>
          <w:p w14:paraId="6AF5CF85" w14:textId="77777777" w:rsidR="00540DEA" w:rsidRPr="0067077E" w:rsidRDefault="00540DEA" w:rsidP="00540DEA">
            <w:pPr>
              <w:rPr>
                <w:sz w:val="15"/>
                <w:szCs w:val="15"/>
              </w:rPr>
            </w:pPr>
          </w:p>
        </w:tc>
        <w:tc>
          <w:tcPr>
            <w:tcW w:w="1008" w:type="dxa"/>
          </w:tcPr>
          <w:p w14:paraId="73271CA5" w14:textId="5D749A02" w:rsidR="00540DEA" w:rsidRPr="00ED3A9D" w:rsidRDefault="00E15A45" w:rsidP="00540DEA">
            <w:pPr>
              <w:rPr>
                <w:sz w:val="15"/>
                <w:szCs w:val="15"/>
              </w:rPr>
            </w:pPr>
            <w:r w:rsidRPr="00ED3A9D">
              <w:rPr>
                <w:sz w:val="15"/>
                <w:szCs w:val="15"/>
              </w:rPr>
              <w:t>Perinatal use</w:t>
            </w:r>
          </w:p>
        </w:tc>
        <w:tc>
          <w:tcPr>
            <w:tcW w:w="4388" w:type="dxa"/>
          </w:tcPr>
          <w:p w14:paraId="3E82E565" w14:textId="4FA187F7" w:rsidR="00540DEA" w:rsidRPr="00ED3A9D" w:rsidRDefault="005862B9" w:rsidP="00540DEA">
            <w:pPr>
              <w:rPr>
                <w:color w:val="000000"/>
                <w:sz w:val="15"/>
                <w:szCs w:val="15"/>
              </w:rPr>
            </w:pPr>
            <w:r w:rsidRPr="00ED3A9D">
              <w:rPr>
                <w:color w:val="000000"/>
                <w:sz w:val="15"/>
                <w:szCs w:val="15"/>
              </w:rPr>
              <w:t>Across the US:55.6% viewed perinatal use as "harmful" vs 8.8% as "safe" and 8.8% mixed/unsure, 26.8% did not address safety,</w:t>
            </w:r>
            <w:r w:rsidRPr="00ED3A9D">
              <w:rPr>
                <w:color w:val="000000"/>
                <w:sz w:val="15"/>
                <w:szCs w:val="15"/>
              </w:rPr>
              <w:br/>
              <w:t xml:space="preserve">49.6% discouraged against perinatal use, </w:t>
            </w:r>
            <w:proofErr w:type="spellStart"/>
            <w:r w:rsidRPr="00ED3A9D">
              <w:rPr>
                <w:color w:val="000000"/>
                <w:sz w:val="15"/>
                <w:szCs w:val="15"/>
              </w:rPr>
              <w:t>ob</w:t>
            </w:r>
            <w:proofErr w:type="spellEnd"/>
            <w:r w:rsidRPr="00ED3A9D">
              <w:rPr>
                <w:color w:val="000000"/>
                <w:sz w:val="15"/>
                <w:szCs w:val="15"/>
              </w:rPr>
              <w:t xml:space="preserve">/gyn providers were more likely to view perinatal use as harmful vs providers from "other" specialties, </w:t>
            </w:r>
            <w:proofErr w:type="spellStart"/>
            <w:r w:rsidRPr="00ED3A9D">
              <w:rPr>
                <w:color w:val="000000"/>
                <w:sz w:val="15"/>
                <w:szCs w:val="15"/>
              </w:rPr>
              <w:t>ob</w:t>
            </w:r>
            <w:proofErr w:type="spellEnd"/>
            <w:r w:rsidRPr="00ED3A9D">
              <w:rPr>
                <w:color w:val="000000"/>
                <w:sz w:val="15"/>
                <w:szCs w:val="15"/>
              </w:rPr>
              <w:t>/gyn were also more likely to encourage its use vs psychiatrists/psychologists</w:t>
            </w:r>
          </w:p>
        </w:tc>
      </w:tr>
      <w:tr w:rsidR="0008411C" w14:paraId="6BAA785D" w14:textId="77777777" w:rsidTr="00DB49DE">
        <w:tc>
          <w:tcPr>
            <w:tcW w:w="1074" w:type="dxa"/>
          </w:tcPr>
          <w:p w14:paraId="62E4E406" w14:textId="2FA4F3FD" w:rsidR="00540DEA" w:rsidRPr="0067077E" w:rsidRDefault="00540DEA" w:rsidP="00540DEA">
            <w:pPr>
              <w:rPr>
                <w:color w:val="000000"/>
                <w:sz w:val="15"/>
                <w:szCs w:val="15"/>
              </w:rPr>
            </w:pPr>
            <w:proofErr w:type="spellStart"/>
            <w:r w:rsidRPr="0067077E">
              <w:rPr>
                <w:color w:val="000000"/>
                <w:sz w:val="15"/>
                <w:szCs w:val="15"/>
              </w:rPr>
              <w:t>Azizoddin</w:t>
            </w:r>
            <w:proofErr w:type="spellEnd"/>
            <w:r w:rsidRPr="0067077E">
              <w:rPr>
                <w:color w:val="000000"/>
                <w:sz w:val="15"/>
                <w:szCs w:val="15"/>
              </w:rPr>
              <w:t>, et al</w:t>
            </w:r>
            <w:r w:rsidR="00266DB0">
              <w:rPr>
                <w:color w:val="000000"/>
                <w:sz w:val="15"/>
                <w:szCs w:val="15"/>
              </w:rPr>
              <w:t>.</w:t>
            </w:r>
            <w:r w:rsidRPr="0067077E">
              <w:rPr>
                <w:color w:val="000000"/>
                <w:sz w:val="15"/>
                <w:szCs w:val="15"/>
              </w:rPr>
              <w:t xml:space="preserve"> (2020)</w:t>
            </w:r>
            <w:r w:rsidR="00BD1764">
              <w:rPr>
                <w:color w:val="000000"/>
                <w:sz w:val="15"/>
                <w:szCs w:val="15"/>
              </w:rPr>
              <w:t xml:space="preserve"> [22]</w:t>
            </w:r>
          </w:p>
          <w:p w14:paraId="2E624DE4" w14:textId="77777777" w:rsidR="00540DEA" w:rsidRPr="0067077E" w:rsidRDefault="00540DEA" w:rsidP="00540DEA">
            <w:pPr>
              <w:rPr>
                <w:sz w:val="15"/>
                <w:szCs w:val="15"/>
              </w:rPr>
            </w:pPr>
          </w:p>
        </w:tc>
        <w:tc>
          <w:tcPr>
            <w:tcW w:w="1441" w:type="dxa"/>
          </w:tcPr>
          <w:p w14:paraId="47059BF8" w14:textId="77777777" w:rsidR="00540DEA" w:rsidRPr="0067077E" w:rsidRDefault="00540DEA" w:rsidP="00540DEA">
            <w:pPr>
              <w:rPr>
                <w:color w:val="000000"/>
                <w:sz w:val="15"/>
                <w:szCs w:val="15"/>
              </w:rPr>
            </w:pPr>
            <w:r w:rsidRPr="0067077E">
              <w:rPr>
                <w:color w:val="000000"/>
                <w:sz w:val="15"/>
                <w:szCs w:val="15"/>
              </w:rPr>
              <w:t>N = 232 (oncologists)</w:t>
            </w:r>
          </w:p>
          <w:p w14:paraId="0C52EA30" w14:textId="77777777" w:rsidR="00540DEA" w:rsidRPr="0067077E" w:rsidRDefault="00540DEA" w:rsidP="00540DEA">
            <w:pPr>
              <w:rPr>
                <w:sz w:val="15"/>
                <w:szCs w:val="15"/>
              </w:rPr>
            </w:pPr>
          </w:p>
        </w:tc>
        <w:tc>
          <w:tcPr>
            <w:tcW w:w="1439" w:type="dxa"/>
          </w:tcPr>
          <w:p w14:paraId="63EEFC6A" w14:textId="644977C6" w:rsidR="00540DEA" w:rsidRPr="0067077E" w:rsidRDefault="00540DEA" w:rsidP="00540DEA">
            <w:pPr>
              <w:rPr>
                <w:sz w:val="15"/>
                <w:szCs w:val="15"/>
              </w:rPr>
            </w:pPr>
            <w:r w:rsidRPr="0067077E">
              <w:rPr>
                <w:sz w:val="15"/>
                <w:szCs w:val="15"/>
              </w:rPr>
              <w:t>Cross-sectional study</w:t>
            </w:r>
          </w:p>
        </w:tc>
        <w:tc>
          <w:tcPr>
            <w:tcW w:w="1008" w:type="dxa"/>
          </w:tcPr>
          <w:p w14:paraId="62566B90" w14:textId="68514FC2" w:rsidR="00540DEA" w:rsidRPr="00ED3A9D" w:rsidRDefault="00E15A45" w:rsidP="00540DEA">
            <w:pPr>
              <w:rPr>
                <w:sz w:val="15"/>
                <w:szCs w:val="15"/>
              </w:rPr>
            </w:pPr>
            <w:r w:rsidRPr="00ED3A9D">
              <w:rPr>
                <w:sz w:val="15"/>
                <w:szCs w:val="15"/>
              </w:rPr>
              <w:t>Oncology</w:t>
            </w:r>
          </w:p>
        </w:tc>
        <w:tc>
          <w:tcPr>
            <w:tcW w:w="4388" w:type="dxa"/>
          </w:tcPr>
          <w:p w14:paraId="28695339" w14:textId="0AAA19D5" w:rsidR="00540DEA" w:rsidRPr="00ED3A9D" w:rsidRDefault="00AD154B" w:rsidP="00540DEA">
            <w:pPr>
              <w:rPr>
                <w:color w:val="000000"/>
                <w:sz w:val="15"/>
                <w:szCs w:val="15"/>
              </w:rPr>
            </w:pPr>
            <w:r w:rsidRPr="00ED3A9D">
              <w:rPr>
                <w:color w:val="000000"/>
                <w:sz w:val="15"/>
                <w:szCs w:val="15"/>
              </w:rPr>
              <w:t>Across the US:46% viewed MC as beneficial for older patients with cancer 27.8% viewed it as rarely or not beneficial, 24.1% reported not knowing. No association between oncologists' sociodemographic, professional characteristics, and their views.</w:t>
            </w:r>
            <w:r w:rsidRPr="00ED3A9D">
              <w:rPr>
                <w:color w:val="000000"/>
                <w:sz w:val="15"/>
                <w:szCs w:val="15"/>
              </w:rPr>
              <w:br/>
              <w:t>"The utility of medical marijuana for older patients with cancer were significantly associated with their perspectives regarding cannabis' comparative effectiveness for treating several common cancer-related symptoms including low appetite, nausea, poor coping, and depression" Perceptions of MC benefits in older patient with cancer were not associated with perceptions on risks of MC as compared to opioids.</w:t>
            </w:r>
          </w:p>
        </w:tc>
      </w:tr>
      <w:tr w:rsidR="0008411C" w14:paraId="3BDB213F" w14:textId="77777777" w:rsidTr="00DB49DE">
        <w:tc>
          <w:tcPr>
            <w:tcW w:w="1074" w:type="dxa"/>
          </w:tcPr>
          <w:p w14:paraId="4E6449FB" w14:textId="6630F88A" w:rsidR="00540DEA" w:rsidRPr="0067077E" w:rsidRDefault="00540DEA" w:rsidP="00540DEA">
            <w:pPr>
              <w:rPr>
                <w:color w:val="000000"/>
                <w:sz w:val="15"/>
                <w:szCs w:val="15"/>
              </w:rPr>
            </w:pPr>
            <w:r w:rsidRPr="0067077E">
              <w:rPr>
                <w:color w:val="000000"/>
                <w:sz w:val="15"/>
                <w:szCs w:val="15"/>
              </w:rPr>
              <w:t>Philpot, et al</w:t>
            </w:r>
            <w:r w:rsidR="00266DB0">
              <w:rPr>
                <w:color w:val="000000"/>
                <w:sz w:val="15"/>
                <w:szCs w:val="15"/>
              </w:rPr>
              <w:t>.</w:t>
            </w:r>
            <w:r w:rsidRPr="0067077E">
              <w:rPr>
                <w:color w:val="000000"/>
                <w:sz w:val="15"/>
                <w:szCs w:val="15"/>
              </w:rPr>
              <w:t xml:space="preserve"> (2019)</w:t>
            </w:r>
            <w:r w:rsidR="00FF682A">
              <w:rPr>
                <w:color w:val="000000"/>
                <w:sz w:val="15"/>
                <w:szCs w:val="15"/>
              </w:rPr>
              <w:t xml:space="preserve"> [32]</w:t>
            </w:r>
          </w:p>
          <w:p w14:paraId="05D86CA4" w14:textId="77777777" w:rsidR="00540DEA" w:rsidRPr="0067077E" w:rsidRDefault="00540DEA" w:rsidP="00540DEA">
            <w:pPr>
              <w:rPr>
                <w:sz w:val="15"/>
                <w:szCs w:val="15"/>
              </w:rPr>
            </w:pPr>
          </w:p>
        </w:tc>
        <w:tc>
          <w:tcPr>
            <w:tcW w:w="1441" w:type="dxa"/>
          </w:tcPr>
          <w:p w14:paraId="548DD024" w14:textId="77777777" w:rsidR="00540DEA" w:rsidRPr="0067077E" w:rsidRDefault="00540DEA" w:rsidP="00540DEA">
            <w:pPr>
              <w:rPr>
                <w:color w:val="000000"/>
                <w:sz w:val="15"/>
                <w:szCs w:val="15"/>
              </w:rPr>
            </w:pPr>
            <w:r w:rsidRPr="0067077E">
              <w:rPr>
                <w:color w:val="000000"/>
                <w:sz w:val="15"/>
                <w:szCs w:val="15"/>
              </w:rPr>
              <w:t>N = 62 (primary care physicians, NPs, PAs)</w:t>
            </w:r>
          </w:p>
          <w:p w14:paraId="5ACC95C9" w14:textId="77777777" w:rsidR="00540DEA" w:rsidRPr="0067077E" w:rsidRDefault="00540DEA" w:rsidP="00540DEA">
            <w:pPr>
              <w:rPr>
                <w:sz w:val="15"/>
                <w:szCs w:val="15"/>
              </w:rPr>
            </w:pPr>
          </w:p>
        </w:tc>
        <w:tc>
          <w:tcPr>
            <w:tcW w:w="1439" w:type="dxa"/>
          </w:tcPr>
          <w:p w14:paraId="759B216C" w14:textId="7184C410" w:rsidR="00540DEA" w:rsidRPr="0067077E" w:rsidRDefault="00540DEA" w:rsidP="00540DEA">
            <w:pPr>
              <w:rPr>
                <w:sz w:val="15"/>
                <w:szCs w:val="15"/>
              </w:rPr>
            </w:pPr>
            <w:r w:rsidRPr="0067077E">
              <w:rPr>
                <w:sz w:val="15"/>
                <w:szCs w:val="15"/>
              </w:rPr>
              <w:t>Cross-sectional study</w:t>
            </w:r>
          </w:p>
        </w:tc>
        <w:tc>
          <w:tcPr>
            <w:tcW w:w="1008" w:type="dxa"/>
          </w:tcPr>
          <w:p w14:paraId="5B5E3188" w14:textId="557AB62D" w:rsidR="00540DEA" w:rsidRPr="00ED3A9D" w:rsidRDefault="00E15A45" w:rsidP="00540DEA">
            <w:pPr>
              <w:rPr>
                <w:sz w:val="15"/>
                <w:szCs w:val="15"/>
              </w:rPr>
            </w:pPr>
            <w:r w:rsidRPr="00ED3A9D">
              <w:rPr>
                <w:sz w:val="15"/>
                <w:szCs w:val="15"/>
              </w:rPr>
              <w:t>Various indications</w:t>
            </w:r>
          </w:p>
        </w:tc>
        <w:tc>
          <w:tcPr>
            <w:tcW w:w="4388" w:type="dxa"/>
          </w:tcPr>
          <w:p w14:paraId="479F0DA4" w14:textId="416DEB5C" w:rsidR="00540DEA" w:rsidRPr="00875A1B" w:rsidRDefault="001E7F23" w:rsidP="00540DEA">
            <w:pPr>
              <w:rPr>
                <w:color w:val="000000"/>
                <w:sz w:val="15"/>
                <w:szCs w:val="15"/>
              </w:rPr>
            </w:pPr>
            <w:r w:rsidRPr="00ED3A9D">
              <w:rPr>
                <w:color w:val="000000"/>
                <w:sz w:val="15"/>
                <w:szCs w:val="15"/>
              </w:rPr>
              <w:t xml:space="preserve">Mayo clinic, Minnesota: 77.4% were interested in learning more about MC, 25.8% reported ever certifying a patient, 58.1% agreed that MC is a legitimate treatment, 38.7% agreed that MC should be offered to patients, 59.7% agreed that MC is an effective medical treatment. Majority (79.1%) believed MC was helpful in treatment of cancer, terminal illness, pain; 38.8% believed MC was helpful for muscle spasms in MS; 48.4% believed MC was effective for seizures; Most did not believe MC improved </w:t>
            </w:r>
            <w:r w:rsidR="00EA1405">
              <w:rPr>
                <w:color w:val="000000"/>
                <w:sz w:val="15"/>
                <w:szCs w:val="15"/>
              </w:rPr>
              <w:t>quality of life.</w:t>
            </w:r>
          </w:p>
        </w:tc>
      </w:tr>
      <w:tr w:rsidR="000B19BC" w14:paraId="2070050B" w14:textId="77777777" w:rsidTr="00DB49DE">
        <w:tc>
          <w:tcPr>
            <w:tcW w:w="1074" w:type="dxa"/>
          </w:tcPr>
          <w:p w14:paraId="64B22FED" w14:textId="7FBBB8D8" w:rsidR="00540DEA" w:rsidRPr="0067077E" w:rsidRDefault="00540DEA" w:rsidP="00540DEA">
            <w:pPr>
              <w:rPr>
                <w:color w:val="000000"/>
                <w:sz w:val="15"/>
                <w:szCs w:val="15"/>
              </w:rPr>
            </w:pPr>
            <w:r w:rsidRPr="0067077E">
              <w:rPr>
                <w:color w:val="000000"/>
                <w:sz w:val="15"/>
                <w:szCs w:val="15"/>
              </w:rPr>
              <w:lastRenderedPageBreak/>
              <w:t>Cooke et al</w:t>
            </w:r>
            <w:r w:rsidR="00266DB0">
              <w:rPr>
                <w:color w:val="000000"/>
                <w:sz w:val="15"/>
                <w:szCs w:val="15"/>
              </w:rPr>
              <w:t>.</w:t>
            </w:r>
            <w:r w:rsidRPr="0067077E">
              <w:rPr>
                <w:color w:val="000000"/>
                <w:sz w:val="15"/>
                <w:szCs w:val="15"/>
              </w:rPr>
              <w:t xml:space="preserve"> (2019)</w:t>
            </w:r>
            <w:r w:rsidR="004654E1">
              <w:rPr>
                <w:color w:val="000000"/>
                <w:sz w:val="15"/>
                <w:szCs w:val="15"/>
              </w:rPr>
              <w:t xml:space="preserve"> [31]</w:t>
            </w:r>
          </w:p>
          <w:p w14:paraId="60975177" w14:textId="77777777" w:rsidR="00540DEA" w:rsidRPr="0067077E" w:rsidRDefault="00540DEA" w:rsidP="00540DEA">
            <w:pPr>
              <w:rPr>
                <w:sz w:val="15"/>
                <w:szCs w:val="15"/>
              </w:rPr>
            </w:pPr>
          </w:p>
        </w:tc>
        <w:tc>
          <w:tcPr>
            <w:tcW w:w="1441" w:type="dxa"/>
          </w:tcPr>
          <w:p w14:paraId="6DDFBB53" w14:textId="77777777" w:rsidR="00540DEA" w:rsidRPr="0067077E" w:rsidRDefault="00540DEA" w:rsidP="00540DEA">
            <w:pPr>
              <w:rPr>
                <w:color w:val="000000"/>
                <w:sz w:val="15"/>
                <w:szCs w:val="15"/>
              </w:rPr>
            </w:pPr>
            <w:r w:rsidRPr="0067077E">
              <w:rPr>
                <w:color w:val="000000"/>
                <w:sz w:val="15"/>
                <w:szCs w:val="15"/>
              </w:rPr>
              <w:t>N = 69 (23 primary care clinicians and 46 patients)</w:t>
            </w:r>
          </w:p>
          <w:p w14:paraId="281D2B6E" w14:textId="77777777" w:rsidR="00540DEA" w:rsidRPr="0067077E" w:rsidRDefault="00540DEA" w:rsidP="00540DEA">
            <w:pPr>
              <w:rPr>
                <w:sz w:val="15"/>
                <w:szCs w:val="15"/>
              </w:rPr>
            </w:pPr>
          </w:p>
        </w:tc>
        <w:tc>
          <w:tcPr>
            <w:tcW w:w="1439" w:type="dxa"/>
          </w:tcPr>
          <w:p w14:paraId="7F68C8C9" w14:textId="77777777" w:rsidR="00540DEA" w:rsidRPr="0067077E" w:rsidRDefault="00540DEA" w:rsidP="00540DEA">
            <w:pPr>
              <w:rPr>
                <w:color w:val="000000"/>
                <w:sz w:val="15"/>
                <w:szCs w:val="15"/>
              </w:rPr>
            </w:pPr>
            <w:r w:rsidRPr="0067077E">
              <w:rPr>
                <w:color w:val="000000"/>
                <w:sz w:val="15"/>
                <w:szCs w:val="15"/>
              </w:rPr>
              <w:t>Qualitative study, semi-structured interviews</w:t>
            </w:r>
          </w:p>
          <w:p w14:paraId="0217F5B4" w14:textId="77777777" w:rsidR="00540DEA" w:rsidRPr="0067077E" w:rsidRDefault="00540DEA" w:rsidP="00540DEA">
            <w:pPr>
              <w:rPr>
                <w:sz w:val="15"/>
                <w:szCs w:val="15"/>
              </w:rPr>
            </w:pPr>
          </w:p>
        </w:tc>
        <w:tc>
          <w:tcPr>
            <w:tcW w:w="1008" w:type="dxa"/>
          </w:tcPr>
          <w:p w14:paraId="6C39AC97" w14:textId="0457AE36" w:rsidR="00540DEA" w:rsidRPr="00ED3A9D" w:rsidRDefault="00E15A45" w:rsidP="00540DEA">
            <w:pPr>
              <w:rPr>
                <w:sz w:val="15"/>
                <w:szCs w:val="15"/>
              </w:rPr>
            </w:pPr>
            <w:r w:rsidRPr="00ED3A9D">
              <w:rPr>
                <w:sz w:val="15"/>
                <w:szCs w:val="15"/>
              </w:rPr>
              <w:t>Pain</w:t>
            </w:r>
          </w:p>
        </w:tc>
        <w:tc>
          <w:tcPr>
            <w:tcW w:w="4388" w:type="dxa"/>
          </w:tcPr>
          <w:p w14:paraId="7B9F1185" w14:textId="7AC12D7F" w:rsidR="00540DEA" w:rsidRPr="00ED3A9D" w:rsidRDefault="000B6C02" w:rsidP="00540DEA">
            <w:pPr>
              <w:rPr>
                <w:color w:val="000000"/>
                <w:sz w:val="15"/>
                <w:szCs w:val="15"/>
              </w:rPr>
            </w:pPr>
            <w:r w:rsidRPr="00ED3A9D">
              <w:rPr>
                <w:color w:val="000000"/>
                <w:sz w:val="15"/>
                <w:szCs w:val="15"/>
              </w:rPr>
              <w:t xml:space="preserve">San Francisco Bay Area: clinicians discussed cannabis use with patients less frequently than other substances (alcohol, opioids, cocaine) those clinicians that discussed cannabis use believed that cannabis is effective for treatment of pain and improving </w:t>
            </w:r>
            <w:r w:rsidR="00EA1405">
              <w:rPr>
                <w:color w:val="000000"/>
                <w:sz w:val="15"/>
                <w:szCs w:val="15"/>
              </w:rPr>
              <w:t xml:space="preserve">quality of life </w:t>
            </w:r>
            <w:r w:rsidRPr="00ED3A9D">
              <w:rPr>
                <w:color w:val="000000"/>
                <w:sz w:val="15"/>
                <w:szCs w:val="15"/>
              </w:rPr>
              <w:t>were concerned about concurrent use of other substances</w:t>
            </w:r>
          </w:p>
        </w:tc>
      </w:tr>
      <w:tr w:rsidR="000B19BC" w14:paraId="2F9646B2" w14:textId="77777777" w:rsidTr="00DB49DE">
        <w:tc>
          <w:tcPr>
            <w:tcW w:w="1074" w:type="dxa"/>
          </w:tcPr>
          <w:p w14:paraId="2DA2334F" w14:textId="5FAF3A31" w:rsidR="00540DEA" w:rsidRPr="0067077E" w:rsidRDefault="00540DEA" w:rsidP="00540DEA">
            <w:pPr>
              <w:rPr>
                <w:color w:val="000000"/>
                <w:sz w:val="15"/>
                <w:szCs w:val="15"/>
              </w:rPr>
            </w:pPr>
            <w:r w:rsidRPr="0067077E">
              <w:rPr>
                <w:color w:val="000000"/>
                <w:sz w:val="15"/>
                <w:szCs w:val="15"/>
              </w:rPr>
              <w:t>Luba et al</w:t>
            </w:r>
            <w:r w:rsidR="00266DB0">
              <w:rPr>
                <w:color w:val="000000"/>
                <w:sz w:val="15"/>
                <w:szCs w:val="15"/>
              </w:rPr>
              <w:t>.</w:t>
            </w:r>
            <w:r w:rsidRPr="0067077E">
              <w:rPr>
                <w:color w:val="000000"/>
                <w:sz w:val="15"/>
                <w:szCs w:val="15"/>
              </w:rPr>
              <w:t xml:space="preserve"> (2018)</w:t>
            </w:r>
            <w:r w:rsidR="004654E1">
              <w:rPr>
                <w:color w:val="000000"/>
                <w:sz w:val="15"/>
                <w:szCs w:val="15"/>
              </w:rPr>
              <w:t xml:space="preserve"> [35]</w:t>
            </w:r>
          </w:p>
          <w:p w14:paraId="047E35DD" w14:textId="77777777" w:rsidR="00540DEA" w:rsidRPr="0067077E" w:rsidRDefault="00540DEA" w:rsidP="00540DEA">
            <w:pPr>
              <w:rPr>
                <w:sz w:val="15"/>
                <w:szCs w:val="15"/>
              </w:rPr>
            </w:pPr>
          </w:p>
        </w:tc>
        <w:tc>
          <w:tcPr>
            <w:tcW w:w="1441" w:type="dxa"/>
          </w:tcPr>
          <w:p w14:paraId="573EB215" w14:textId="77777777" w:rsidR="00540DEA" w:rsidRPr="0067077E" w:rsidRDefault="00540DEA" w:rsidP="00540DEA">
            <w:pPr>
              <w:rPr>
                <w:color w:val="000000"/>
                <w:sz w:val="15"/>
                <w:szCs w:val="15"/>
              </w:rPr>
            </w:pPr>
            <w:r w:rsidRPr="0067077E">
              <w:rPr>
                <w:color w:val="000000"/>
                <w:sz w:val="15"/>
                <w:szCs w:val="15"/>
              </w:rPr>
              <w:t>N = 426 (palliative care physicians, nurses, other healthcare providers)</w:t>
            </w:r>
          </w:p>
          <w:p w14:paraId="78E521F8" w14:textId="77777777" w:rsidR="00540DEA" w:rsidRPr="0067077E" w:rsidRDefault="00540DEA" w:rsidP="00540DEA">
            <w:pPr>
              <w:rPr>
                <w:sz w:val="15"/>
                <w:szCs w:val="15"/>
              </w:rPr>
            </w:pPr>
          </w:p>
        </w:tc>
        <w:tc>
          <w:tcPr>
            <w:tcW w:w="1439" w:type="dxa"/>
          </w:tcPr>
          <w:p w14:paraId="09551A43" w14:textId="16AEC258" w:rsidR="00540DEA" w:rsidRPr="0067077E" w:rsidRDefault="00540DEA" w:rsidP="00540DEA">
            <w:pPr>
              <w:rPr>
                <w:sz w:val="15"/>
                <w:szCs w:val="15"/>
              </w:rPr>
            </w:pPr>
            <w:r w:rsidRPr="0067077E">
              <w:rPr>
                <w:sz w:val="15"/>
                <w:szCs w:val="15"/>
              </w:rPr>
              <w:t>Cross-sectional study</w:t>
            </w:r>
          </w:p>
        </w:tc>
        <w:tc>
          <w:tcPr>
            <w:tcW w:w="1008" w:type="dxa"/>
          </w:tcPr>
          <w:p w14:paraId="20DD36DC" w14:textId="67FABE75" w:rsidR="00540DEA" w:rsidRPr="00ED3A9D" w:rsidRDefault="00E15A45" w:rsidP="00540DEA">
            <w:pPr>
              <w:rPr>
                <w:sz w:val="15"/>
                <w:szCs w:val="15"/>
              </w:rPr>
            </w:pPr>
            <w:r w:rsidRPr="00ED3A9D">
              <w:rPr>
                <w:sz w:val="15"/>
                <w:szCs w:val="15"/>
              </w:rPr>
              <w:t>Palliative care</w:t>
            </w:r>
          </w:p>
        </w:tc>
        <w:tc>
          <w:tcPr>
            <w:tcW w:w="4388" w:type="dxa"/>
          </w:tcPr>
          <w:p w14:paraId="618E6A70" w14:textId="3CECD98B" w:rsidR="00540DEA" w:rsidRPr="004D3CE7" w:rsidRDefault="000B6C02" w:rsidP="00540DEA">
            <w:pPr>
              <w:rPr>
                <w:color w:val="000000"/>
                <w:sz w:val="15"/>
                <w:szCs w:val="15"/>
              </w:rPr>
            </w:pPr>
            <w:r w:rsidRPr="00ED3A9D">
              <w:rPr>
                <w:color w:val="000000"/>
                <w:sz w:val="15"/>
                <w:szCs w:val="15"/>
              </w:rPr>
              <w:t>Across the US:70% viewed cannabis as beneficial end-of-life treatment 61.1% would recommend vs 46.4 "ever" recommended cannabis to patients with terminal illness. Discrepancy in viewing cannabis as helpful in treating specific symptoms vs recommending it: 89% viewed cannabis as helpful for appetite loss, while 69.1% thought that it was “about the same” or “more effective” compared with standard treatment, vs 66% would recommend;  89.4% viewed cannabis as helpful in treatment of nausea vs 65.6% would recommend it; pain (82.7% vs 54.3%), sleep problems (68.9% vs 43.1%),  irritability (58.7% vs 37.2%), emotional suffering (56.5% vs 33.7%), 88.5% would change their perception based on additional research in end-of -life care, 37% concerned about legal issues, 42.6% would change their views on cannabis use if DEA rescheduled cannabis. Respondents were more likely to have recommended cannabis in states with legal medicinal or recreational cannabis.</w:t>
            </w:r>
          </w:p>
        </w:tc>
      </w:tr>
      <w:tr w:rsidR="000B19BC" w14:paraId="1A438FDD" w14:textId="77777777" w:rsidTr="00DB49DE">
        <w:tc>
          <w:tcPr>
            <w:tcW w:w="1074" w:type="dxa"/>
          </w:tcPr>
          <w:p w14:paraId="4B425055" w14:textId="60585014" w:rsidR="00540DEA" w:rsidRPr="0067077E" w:rsidRDefault="00540DEA" w:rsidP="00540DEA">
            <w:pPr>
              <w:rPr>
                <w:color w:val="000000"/>
                <w:sz w:val="15"/>
                <w:szCs w:val="15"/>
              </w:rPr>
            </w:pPr>
            <w:r w:rsidRPr="0067077E">
              <w:rPr>
                <w:color w:val="000000"/>
                <w:sz w:val="15"/>
                <w:szCs w:val="15"/>
              </w:rPr>
              <w:t>Brooks et</w:t>
            </w:r>
            <w:r w:rsidR="004340B8">
              <w:rPr>
                <w:color w:val="000000"/>
                <w:sz w:val="15"/>
                <w:szCs w:val="15"/>
              </w:rPr>
              <w:t xml:space="preserve"> </w:t>
            </w:r>
            <w:r w:rsidRPr="0067077E">
              <w:rPr>
                <w:color w:val="000000"/>
                <w:sz w:val="15"/>
                <w:szCs w:val="15"/>
              </w:rPr>
              <w:t>al</w:t>
            </w:r>
            <w:r w:rsidR="00266DB0">
              <w:rPr>
                <w:color w:val="000000"/>
                <w:sz w:val="15"/>
                <w:szCs w:val="15"/>
              </w:rPr>
              <w:t>.</w:t>
            </w:r>
            <w:r w:rsidRPr="0067077E">
              <w:rPr>
                <w:color w:val="000000"/>
                <w:sz w:val="15"/>
                <w:szCs w:val="15"/>
              </w:rPr>
              <w:t xml:space="preserve"> (2017)</w:t>
            </w:r>
            <w:r w:rsidR="004340B8">
              <w:rPr>
                <w:color w:val="000000"/>
                <w:sz w:val="15"/>
                <w:szCs w:val="15"/>
              </w:rPr>
              <w:t xml:space="preserve"> [42]</w:t>
            </w:r>
          </w:p>
          <w:p w14:paraId="3322E5BE" w14:textId="77777777" w:rsidR="00540DEA" w:rsidRPr="0067077E" w:rsidRDefault="00540DEA" w:rsidP="00540DEA">
            <w:pPr>
              <w:rPr>
                <w:sz w:val="15"/>
                <w:szCs w:val="15"/>
              </w:rPr>
            </w:pPr>
          </w:p>
        </w:tc>
        <w:tc>
          <w:tcPr>
            <w:tcW w:w="1441" w:type="dxa"/>
          </w:tcPr>
          <w:p w14:paraId="5CD48403" w14:textId="2C247BD6" w:rsidR="00540DEA" w:rsidRPr="00875A1B" w:rsidRDefault="00540DEA" w:rsidP="00540DEA">
            <w:pPr>
              <w:rPr>
                <w:color w:val="000000"/>
                <w:sz w:val="15"/>
                <w:szCs w:val="15"/>
              </w:rPr>
            </w:pPr>
            <w:r w:rsidRPr="0067077E">
              <w:rPr>
                <w:color w:val="000000"/>
                <w:sz w:val="15"/>
                <w:szCs w:val="15"/>
              </w:rPr>
              <w:t>N = 114 (physicians, NPs, PAs, RNs, nurses, certified professional midwife, other healthcare professionals)</w:t>
            </w:r>
          </w:p>
        </w:tc>
        <w:tc>
          <w:tcPr>
            <w:tcW w:w="1439" w:type="dxa"/>
          </w:tcPr>
          <w:p w14:paraId="5FD946B2" w14:textId="496258F3" w:rsidR="00540DEA" w:rsidRPr="0067077E" w:rsidRDefault="00540DEA" w:rsidP="00540DEA">
            <w:pPr>
              <w:rPr>
                <w:sz w:val="15"/>
                <w:szCs w:val="15"/>
              </w:rPr>
            </w:pPr>
            <w:r w:rsidRPr="0067077E">
              <w:rPr>
                <w:sz w:val="15"/>
                <w:szCs w:val="15"/>
              </w:rPr>
              <w:t>Cross-sectional study</w:t>
            </w:r>
          </w:p>
        </w:tc>
        <w:tc>
          <w:tcPr>
            <w:tcW w:w="1008" w:type="dxa"/>
          </w:tcPr>
          <w:p w14:paraId="2D7A122D" w14:textId="5B3AEFAB" w:rsidR="00540DEA" w:rsidRPr="00ED3A9D" w:rsidRDefault="00FB153E" w:rsidP="00540DEA">
            <w:pPr>
              <w:rPr>
                <w:sz w:val="15"/>
                <w:szCs w:val="15"/>
              </w:rPr>
            </w:pPr>
            <w:r w:rsidRPr="00ED3A9D">
              <w:rPr>
                <w:sz w:val="15"/>
                <w:szCs w:val="15"/>
              </w:rPr>
              <w:t>Various indications</w:t>
            </w:r>
          </w:p>
        </w:tc>
        <w:tc>
          <w:tcPr>
            <w:tcW w:w="4388" w:type="dxa"/>
          </w:tcPr>
          <w:p w14:paraId="3F181753" w14:textId="1F97FC0D" w:rsidR="00540DEA" w:rsidRPr="00ED3A9D" w:rsidRDefault="00573A55" w:rsidP="00540DEA">
            <w:pPr>
              <w:rPr>
                <w:color w:val="000000"/>
                <w:sz w:val="15"/>
                <w:szCs w:val="15"/>
              </w:rPr>
            </w:pPr>
            <w:r w:rsidRPr="00ED3A9D">
              <w:rPr>
                <w:color w:val="000000"/>
                <w:sz w:val="15"/>
                <w:szCs w:val="15"/>
              </w:rPr>
              <w:t>Colorado: 65.8% identified Colorado marijuana laws correctly</w:t>
            </w:r>
            <w:r w:rsidRPr="00ED3A9D">
              <w:rPr>
                <w:color w:val="000000"/>
                <w:sz w:val="15"/>
                <w:szCs w:val="15"/>
              </w:rPr>
              <w:br/>
              <w:t xml:space="preserve">Most providers acknowledge moderate-high risks of marijuana </w:t>
            </w:r>
            <w:r w:rsidRPr="00ED3A9D">
              <w:rPr>
                <w:color w:val="000000"/>
                <w:sz w:val="15"/>
                <w:szCs w:val="15"/>
              </w:rPr>
              <w:br/>
              <w:t xml:space="preserve">20-30% did not feel comfortable discussing risks of marijuana </w:t>
            </w:r>
            <w:r w:rsidRPr="00ED3A9D">
              <w:rPr>
                <w:color w:val="000000"/>
                <w:sz w:val="15"/>
                <w:szCs w:val="15"/>
              </w:rPr>
              <w:br/>
              <w:t>providers felt that educational resources (CME, practice guidelines, patient information materials) would increase their confidence.</w:t>
            </w:r>
          </w:p>
        </w:tc>
      </w:tr>
      <w:tr w:rsidR="000B19BC" w14:paraId="3D99B95D" w14:textId="77777777" w:rsidTr="00DB49DE">
        <w:trPr>
          <w:trHeight w:val="1097"/>
        </w:trPr>
        <w:tc>
          <w:tcPr>
            <w:tcW w:w="1074" w:type="dxa"/>
          </w:tcPr>
          <w:p w14:paraId="635284AF" w14:textId="4066AF76" w:rsidR="00FB153E" w:rsidRPr="0067077E" w:rsidRDefault="00FB153E" w:rsidP="00FB153E">
            <w:pPr>
              <w:rPr>
                <w:color w:val="000000"/>
                <w:sz w:val="15"/>
                <w:szCs w:val="15"/>
              </w:rPr>
            </w:pPr>
            <w:proofErr w:type="spellStart"/>
            <w:r w:rsidRPr="0067077E">
              <w:rPr>
                <w:color w:val="000000"/>
                <w:sz w:val="15"/>
                <w:szCs w:val="15"/>
              </w:rPr>
              <w:t>Boullosa</w:t>
            </w:r>
            <w:proofErr w:type="spellEnd"/>
            <w:r w:rsidRPr="0067077E">
              <w:rPr>
                <w:color w:val="000000"/>
                <w:sz w:val="15"/>
                <w:szCs w:val="15"/>
              </w:rPr>
              <w:t xml:space="preserve"> et al</w:t>
            </w:r>
            <w:r w:rsidR="00266DB0">
              <w:rPr>
                <w:color w:val="000000"/>
                <w:sz w:val="15"/>
                <w:szCs w:val="15"/>
              </w:rPr>
              <w:t>.</w:t>
            </w:r>
            <w:r w:rsidRPr="0067077E">
              <w:rPr>
                <w:color w:val="000000"/>
                <w:sz w:val="15"/>
                <w:szCs w:val="15"/>
              </w:rPr>
              <w:t xml:space="preserve"> (2022)</w:t>
            </w:r>
            <w:r w:rsidR="00D9499C">
              <w:rPr>
                <w:color w:val="000000"/>
                <w:sz w:val="15"/>
                <w:szCs w:val="15"/>
              </w:rPr>
              <w:t xml:space="preserve"> [14]</w:t>
            </w:r>
          </w:p>
          <w:p w14:paraId="2CF2DA6B" w14:textId="77777777" w:rsidR="00FB153E" w:rsidRPr="0067077E" w:rsidRDefault="00FB153E" w:rsidP="00FB153E">
            <w:pPr>
              <w:rPr>
                <w:sz w:val="15"/>
                <w:szCs w:val="15"/>
              </w:rPr>
            </w:pPr>
          </w:p>
        </w:tc>
        <w:tc>
          <w:tcPr>
            <w:tcW w:w="1441" w:type="dxa"/>
          </w:tcPr>
          <w:p w14:paraId="439B0B67" w14:textId="77777777" w:rsidR="00FB153E" w:rsidRPr="0067077E" w:rsidRDefault="00FB153E" w:rsidP="00FB153E">
            <w:pPr>
              <w:rPr>
                <w:color w:val="000000"/>
                <w:sz w:val="15"/>
                <w:szCs w:val="15"/>
              </w:rPr>
            </w:pPr>
            <w:r w:rsidRPr="0067077E">
              <w:rPr>
                <w:color w:val="000000"/>
                <w:sz w:val="15"/>
                <w:szCs w:val="15"/>
              </w:rPr>
              <w:t>N = 10 (physicians, certified to recommend MC)</w:t>
            </w:r>
          </w:p>
          <w:p w14:paraId="7BB1F922" w14:textId="77777777" w:rsidR="00FB153E" w:rsidRPr="0067077E" w:rsidRDefault="00FB153E" w:rsidP="00FB153E">
            <w:pPr>
              <w:rPr>
                <w:sz w:val="15"/>
                <w:szCs w:val="15"/>
              </w:rPr>
            </w:pPr>
          </w:p>
        </w:tc>
        <w:tc>
          <w:tcPr>
            <w:tcW w:w="1439" w:type="dxa"/>
          </w:tcPr>
          <w:p w14:paraId="75AF8B61" w14:textId="352D52A9" w:rsidR="00FB153E" w:rsidRPr="0067077E" w:rsidRDefault="00FB153E" w:rsidP="00FB153E">
            <w:pPr>
              <w:rPr>
                <w:sz w:val="15"/>
                <w:szCs w:val="15"/>
              </w:rPr>
            </w:pPr>
            <w:r w:rsidRPr="0067077E">
              <w:rPr>
                <w:sz w:val="15"/>
                <w:szCs w:val="15"/>
              </w:rPr>
              <w:t>Qualitative study, semi-structured interviews</w:t>
            </w:r>
          </w:p>
        </w:tc>
        <w:tc>
          <w:tcPr>
            <w:tcW w:w="1008" w:type="dxa"/>
          </w:tcPr>
          <w:p w14:paraId="6A82F602" w14:textId="0DE1595B" w:rsidR="00FB153E" w:rsidRPr="00ED3A9D" w:rsidRDefault="00FB153E" w:rsidP="00FB153E">
            <w:pPr>
              <w:rPr>
                <w:sz w:val="15"/>
                <w:szCs w:val="15"/>
              </w:rPr>
            </w:pPr>
            <w:r w:rsidRPr="00ED3A9D">
              <w:rPr>
                <w:sz w:val="15"/>
                <w:szCs w:val="15"/>
              </w:rPr>
              <w:t>Various indications</w:t>
            </w:r>
          </w:p>
        </w:tc>
        <w:tc>
          <w:tcPr>
            <w:tcW w:w="4388" w:type="dxa"/>
          </w:tcPr>
          <w:p w14:paraId="3D24889D" w14:textId="557370E4" w:rsidR="00FB153E" w:rsidRPr="00ED3A9D" w:rsidRDefault="0080387A" w:rsidP="0080387A">
            <w:pPr>
              <w:spacing w:after="240"/>
              <w:rPr>
                <w:color w:val="000000"/>
                <w:sz w:val="15"/>
                <w:szCs w:val="15"/>
              </w:rPr>
            </w:pPr>
            <w:r w:rsidRPr="00ED3A9D">
              <w:rPr>
                <w:color w:val="000000"/>
                <w:sz w:val="15"/>
                <w:szCs w:val="15"/>
              </w:rPr>
              <w:t>Florida: viewed MC as useful to taper opioids listed contraindications to MC according to Florida state statue (pregnancy, psychosis in first degree relative) refer patients to their PCPs for management of MC interactions with other meds or comorbid conditions respected pt's autonomy by providing education on MC products vs prescribing a specific dose.</w:t>
            </w:r>
          </w:p>
        </w:tc>
      </w:tr>
      <w:tr w:rsidR="0008411C" w14:paraId="79A64638" w14:textId="77777777" w:rsidTr="00DB49DE">
        <w:tc>
          <w:tcPr>
            <w:tcW w:w="1074" w:type="dxa"/>
          </w:tcPr>
          <w:p w14:paraId="734AF9D5" w14:textId="3E662AD8" w:rsidR="00FB153E" w:rsidRPr="0067077E" w:rsidRDefault="00FB153E" w:rsidP="00FB153E">
            <w:pPr>
              <w:rPr>
                <w:color w:val="000000"/>
                <w:sz w:val="15"/>
                <w:szCs w:val="15"/>
              </w:rPr>
            </w:pPr>
            <w:r w:rsidRPr="0067077E">
              <w:rPr>
                <w:color w:val="000000"/>
                <w:sz w:val="15"/>
                <w:szCs w:val="15"/>
              </w:rPr>
              <w:t>Braun et al</w:t>
            </w:r>
            <w:r w:rsidR="00266DB0">
              <w:rPr>
                <w:color w:val="000000"/>
                <w:sz w:val="15"/>
                <w:szCs w:val="15"/>
              </w:rPr>
              <w:t>.</w:t>
            </w:r>
            <w:r w:rsidRPr="0067077E">
              <w:rPr>
                <w:color w:val="000000"/>
                <w:sz w:val="15"/>
                <w:szCs w:val="15"/>
              </w:rPr>
              <w:t xml:space="preserve"> (2018)</w:t>
            </w:r>
            <w:r w:rsidR="00982F9E">
              <w:rPr>
                <w:color w:val="000000"/>
                <w:sz w:val="15"/>
                <w:szCs w:val="15"/>
              </w:rPr>
              <w:t xml:space="preserve"> [24]</w:t>
            </w:r>
          </w:p>
          <w:p w14:paraId="4D6905D1" w14:textId="77777777" w:rsidR="00FB153E" w:rsidRPr="0067077E" w:rsidRDefault="00FB153E" w:rsidP="00FB153E">
            <w:pPr>
              <w:rPr>
                <w:sz w:val="15"/>
                <w:szCs w:val="15"/>
              </w:rPr>
            </w:pPr>
          </w:p>
        </w:tc>
        <w:tc>
          <w:tcPr>
            <w:tcW w:w="1441" w:type="dxa"/>
          </w:tcPr>
          <w:p w14:paraId="057A0C65" w14:textId="77777777" w:rsidR="00FB153E" w:rsidRPr="0067077E" w:rsidRDefault="00FB153E" w:rsidP="00FB153E">
            <w:pPr>
              <w:rPr>
                <w:color w:val="000000"/>
                <w:sz w:val="15"/>
                <w:szCs w:val="15"/>
              </w:rPr>
            </w:pPr>
            <w:r w:rsidRPr="0067077E">
              <w:rPr>
                <w:color w:val="000000"/>
                <w:sz w:val="15"/>
                <w:szCs w:val="15"/>
              </w:rPr>
              <w:t>N = 237 (oncologists)</w:t>
            </w:r>
          </w:p>
          <w:p w14:paraId="51110561" w14:textId="77777777" w:rsidR="00FB153E" w:rsidRPr="0067077E" w:rsidRDefault="00FB153E" w:rsidP="00FB153E">
            <w:pPr>
              <w:rPr>
                <w:sz w:val="15"/>
                <w:szCs w:val="15"/>
              </w:rPr>
            </w:pPr>
          </w:p>
        </w:tc>
        <w:tc>
          <w:tcPr>
            <w:tcW w:w="1439" w:type="dxa"/>
          </w:tcPr>
          <w:p w14:paraId="15084E01" w14:textId="5DB69917" w:rsidR="00FB153E" w:rsidRPr="0067077E" w:rsidRDefault="00FB153E" w:rsidP="00FB153E">
            <w:pPr>
              <w:rPr>
                <w:sz w:val="15"/>
                <w:szCs w:val="15"/>
              </w:rPr>
            </w:pPr>
            <w:r w:rsidRPr="0067077E">
              <w:rPr>
                <w:sz w:val="15"/>
                <w:szCs w:val="15"/>
              </w:rPr>
              <w:t>Cross-sectional study</w:t>
            </w:r>
          </w:p>
        </w:tc>
        <w:tc>
          <w:tcPr>
            <w:tcW w:w="1008" w:type="dxa"/>
          </w:tcPr>
          <w:p w14:paraId="7AA54830" w14:textId="323D3E4C" w:rsidR="00FB153E" w:rsidRPr="00ED3A9D" w:rsidRDefault="00FB153E" w:rsidP="00FB153E">
            <w:pPr>
              <w:rPr>
                <w:sz w:val="15"/>
                <w:szCs w:val="15"/>
              </w:rPr>
            </w:pPr>
            <w:r w:rsidRPr="00ED3A9D">
              <w:rPr>
                <w:sz w:val="15"/>
                <w:szCs w:val="15"/>
              </w:rPr>
              <w:t>Oncology</w:t>
            </w:r>
          </w:p>
        </w:tc>
        <w:tc>
          <w:tcPr>
            <w:tcW w:w="4388" w:type="dxa"/>
          </w:tcPr>
          <w:p w14:paraId="31CF52BF" w14:textId="5C2927F6" w:rsidR="00FB153E" w:rsidRPr="00ED3A9D" w:rsidRDefault="00A30FB9" w:rsidP="00FB153E">
            <w:pPr>
              <w:rPr>
                <w:color w:val="000000"/>
                <w:sz w:val="15"/>
                <w:szCs w:val="15"/>
              </w:rPr>
            </w:pPr>
            <w:r w:rsidRPr="00ED3A9D">
              <w:rPr>
                <w:color w:val="000000"/>
                <w:sz w:val="15"/>
                <w:szCs w:val="15"/>
              </w:rPr>
              <w:t xml:space="preserve">Across the US: those practicing in the West were more likely to discuss MC with patients/ family: 94.7% vs 68.9% of oncologists practicing in the South; more likely to recommend MC for cancer-related symptoms: 84.2% vs 34.7%; they also believed that MC was as effective as standard treatment or more effective for poor appetite: 94.7% vs 54.1%, only 29.4% felt knowledgeable on MC. </w:t>
            </w:r>
            <w:r w:rsidRPr="00ED3A9D">
              <w:rPr>
                <w:color w:val="000000"/>
                <w:sz w:val="15"/>
                <w:szCs w:val="15"/>
              </w:rPr>
              <w:br/>
              <w:t>Oncologists in states with MC laws and those in high volume practices felt more knowledgeable; 42% of oncologists who were trained in the last 15 years vs 22.7% of those who were trained more than 25 years ago felt that MC was effective treatment for pain; most believed that MC had lower risk for overdose deaths and addiction (74.8% vs 51.5%).</w:t>
            </w:r>
          </w:p>
        </w:tc>
      </w:tr>
      <w:tr w:rsidR="0008411C" w14:paraId="075B0F4B" w14:textId="77777777" w:rsidTr="00DB49DE">
        <w:trPr>
          <w:trHeight w:val="1061"/>
        </w:trPr>
        <w:tc>
          <w:tcPr>
            <w:tcW w:w="1074" w:type="dxa"/>
          </w:tcPr>
          <w:p w14:paraId="72EA7119" w14:textId="4037772B" w:rsidR="00FB153E" w:rsidRPr="0067077E" w:rsidRDefault="00FB153E" w:rsidP="00FB153E">
            <w:pPr>
              <w:rPr>
                <w:color w:val="000000"/>
                <w:sz w:val="15"/>
                <w:szCs w:val="15"/>
              </w:rPr>
            </w:pPr>
            <w:proofErr w:type="spellStart"/>
            <w:r w:rsidRPr="0067077E">
              <w:rPr>
                <w:color w:val="000000"/>
                <w:sz w:val="15"/>
                <w:szCs w:val="15"/>
              </w:rPr>
              <w:t>Starrels</w:t>
            </w:r>
            <w:proofErr w:type="spellEnd"/>
            <w:r w:rsidRPr="0067077E">
              <w:rPr>
                <w:color w:val="000000"/>
                <w:sz w:val="15"/>
                <w:szCs w:val="15"/>
              </w:rPr>
              <w:t xml:space="preserve"> et al</w:t>
            </w:r>
            <w:r w:rsidR="00266DB0">
              <w:rPr>
                <w:color w:val="000000"/>
                <w:sz w:val="15"/>
                <w:szCs w:val="15"/>
              </w:rPr>
              <w:t>.</w:t>
            </w:r>
            <w:r w:rsidRPr="0067077E">
              <w:rPr>
                <w:color w:val="000000"/>
                <w:sz w:val="15"/>
                <w:szCs w:val="15"/>
              </w:rPr>
              <w:t xml:space="preserve"> (2020)</w:t>
            </w:r>
            <w:r w:rsidR="007A656A">
              <w:rPr>
                <w:color w:val="000000"/>
                <w:sz w:val="15"/>
                <w:szCs w:val="15"/>
              </w:rPr>
              <w:t xml:space="preserve"> [45]</w:t>
            </w:r>
          </w:p>
          <w:p w14:paraId="7AE0D491" w14:textId="77777777" w:rsidR="00FB153E" w:rsidRPr="0067077E" w:rsidRDefault="00FB153E" w:rsidP="00FB153E">
            <w:pPr>
              <w:rPr>
                <w:sz w:val="15"/>
                <w:szCs w:val="15"/>
              </w:rPr>
            </w:pPr>
          </w:p>
        </w:tc>
        <w:tc>
          <w:tcPr>
            <w:tcW w:w="1441" w:type="dxa"/>
          </w:tcPr>
          <w:p w14:paraId="1E47B30B" w14:textId="0EAF9989" w:rsidR="00FB153E" w:rsidRPr="00875A1B" w:rsidRDefault="00FB153E" w:rsidP="00FB153E">
            <w:pPr>
              <w:rPr>
                <w:color w:val="000000"/>
                <w:sz w:val="15"/>
                <w:szCs w:val="15"/>
              </w:rPr>
            </w:pPr>
            <w:r w:rsidRPr="0067077E">
              <w:rPr>
                <w:color w:val="000000"/>
                <w:sz w:val="15"/>
                <w:szCs w:val="15"/>
              </w:rPr>
              <w:t>N = 42 (pain management experts: physicians, NPs, clinical pharmacologists, RNs, clinical nurse specialists)</w:t>
            </w:r>
          </w:p>
        </w:tc>
        <w:tc>
          <w:tcPr>
            <w:tcW w:w="1439" w:type="dxa"/>
          </w:tcPr>
          <w:p w14:paraId="005AD44B" w14:textId="77777777" w:rsidR="00FB153E" w:rsidRPr="0067077E" w:rsidRDefault="00FB153E" w:rsidP="00FB153E">
            <w:pPr>
              <w:rPr>
                <w:color w:val="000000"/>
                <w:sz w:val="15"/>
                <w:szCs w:val="15"/>
              </w:rPr>
            </w:pPr>
            <w:r w:rsidRPr="0067077E">
              <w:rPr>
                <w:color w:val="000000"/>
                <w:sz w:val="15"/>
                <w:szCs w:val="15"/>
              </w:rPr>
              <w:t>Online Delphi study</w:t>
            </w:r>
          </w:p>
          <w:p w14:paraId="3FAC63EB" w14:textId="7BA8C0A3" w:rsidR="00FB153E" w:rsidRPr="0067077E" w:rsidRDefault="00FB153E" w:rsidP="00FB153E">
            <w:pPr>
              <w:rPr>
                <w:sz w:val="15"/>
                <w:szCs w:val="15"/>
              </w:rPr>
            </w:pPr>
          </w:p>
        </w:tc>
        <w:tc>
          <w:tcPr>
            <w:tcW w:w="1008" w:type="dxa"/>
          </w:tcPr>
          <w:p w14:paraId="53820DAE" w14:textId="63AD3705" w:rsidR="00FB153E" w:rsidRPr="00ED3A9D" w:rsidRDefault="00FB153E" w:rsidP="00FB153E">
            <w:pPr>
              <w:rPr>
                <w:sz w:val="15"/>
                <w:szCs w:val="15"/>
              </w:rPr>
            </w:pPr>
            <w:r w:rsidRPr="00ED3A9D">
              <w:rPr>
                <w:sz w:val="15"/>
                <w:szCs w:val="15"/>
              </w:rPr>
              <w:t>Pain</w:t>
            </w:r>
          </w:p>
        </w:tc>
        <w:tc>
          <w:tcPr>
            <w:tcW w:w="4388" w:type="dxa"/>
          </w:tcPr>
          <w:p w14:paraId="3F53A7D9" w14:textId="3D8452D6" w:rsidR="00FB153E" w:rsidRPr="00ED3A9D" w:rsidRDefault="00F2305C" w:rsidP="00FB153E">
            <w:pPr>
              <w:rPr>
                <w:color w:val="000000"/>
                <w:sz w:val="15"/>
                <w:szCs w:val="15"/>
              </w:rPr>
            </w:pPr>
            <w:r w:rsidRPr="00ED3A9D">
              <w:rPr>
                <w:color w:val="000000"/>
                <w:sz w:val="15"/>
                <w:szCs w:val="15"/>
              </w:rPr>
              <w:t>Across the US Providers agreed on continuing opioids in patients with one-time or occasional marijuana use. 17% were "accepting" marijuana use in patients on long term opioids. 14% would taper opioids in patients using marijuana. Common perception: “Given the shifts in society, I am still uncertain</w:t>
            </w:r>
            <w:r w:rsidRPr="00ED3A9D">
              <w:rPr>
                <w:color w:val="000000"/>
                <w:sz w:val="15"/>
                <w:szCs w:val="15"/>
              </w:rPr>
              <w:br/>
              <w:t>about the role of marijuana in the management of chronic pain.”</w:t>
            </w:r>
          </w:p>
        </w:tc>
      </w:tr>
      <w:tr w:rsidR="0008411C" w14:paraId="010305A2" w14:textId="77777777" w:rsidTr="00DB49DE">
        <w:tc>
          <w:tcPr>
            <w:tcW w:w="1074" w:type="dxa"/>
          </w:tcPr>
          <w:p w14:paraId="4CFBDE14" w14:textId="2AE390F4" w:rsidR="00FB153E" w:rsidRPr="0067077E" w:rsidRDefault="00FB153E" w:rsidP="00FB153E">
            <w:pPr>
              <w:rPr>
                <w:color w:val="000000"/>
                <w:sz w:val="15"/>
                <w:szCs w:val="15"/>
              </w:rPr>
            </w:pPr>
            <w:r w:rsidRPr="0067077E">
              <w:rPr>
                <w:color w:val="000000"/>
                <w:sz w:val="15"/>
                <w:szCs w:val="15"/>
              </w:rPr>
              <w:t>Holland et al</w:t>
            </w:r>
            <w:r w:rsidR="00266DB0">
              <w:rPr>
                <w:color w:val="000000"/>
                <w:sz w:val="15"/>
                <w:szCs w:val="15"/>
              </w:rPr>
              <w:t>.</w:t>
            </w:r>
            <w:r w:rsidRPr="0067077E">
              <w:rPr>
                <w:color w:val="000000"/>
                <w:sz w:val="15"/>
                <w:szCs w:val="15"/>
              </w:rPr>
              <w:t xml:space="preserve"> (2016)</w:t>
            </w:r>
            <w:r w:rsidR="00FF5B34">
              <w:rPr>
                <w:color w:val="000000"/>
                <w:sz w:val="15"/>
                <w:szCs w:val="15"/>
              </w:rPr>
              <w:t xml:space="preserve"> [15]</w:t>
            </w:r>
          </w:p>
          <w:p w14:paraId="4F2BD399" w14:textId="53BCE4E1" w:rsidR="00FB153E" w:rsidRPr="0067077E" w:rsidRDefault="00FB153E" w:rsidP="00FB153E">
            <w:pPr>
              <w:jc w:val="center"/>
              <w:rPr>
                <w:color w:val="000000"/>
                <w:sz w:val="15"/>
                <w:szCs w:val="15"/>
              </w:rPr>
            </w:pPr>
          </w:p>
          <w:p w14:paraId="4B667375" w14:textId="2459B441" w:rsidR="00FB153E" w:rsidRPr="0067077E" w:rsidRDefault="00FB153E" w:rsidP="00FB153E">
            <w:pPr>
              <w:jc w:val="center"/>
              <w:rPr>
                <w:sz w:val="15"/>
                <w:szCs w:val="15"/>
              </w:rPr>
            </w:pPr>
          </w:p>
        </w:tc>
        <w:tc>
          <w:tcPr>
            <w:tcW w:w="1441" w:type="dxa"/>
          </w:tcPr>
          <w:p w14:paraId="346826B9" w14:textId="01A1D99E" w:rsidR="00FB153E" w:rsidRPr="00875A1B" w:rsidRDefault="00FB153E" w:rsidP="00FB153E">
            <w:pPr>
              <w:rPr>
                <w:color w:val="000000"/>
                <w:sz w:val="15"/>
                <w:szCs w:val="15"/>
              </w:rPr>
            </w:pPr>
            <w:r w:rsidRPr="0067077E">
              <w:rPr>
                <w:color w:val="000000"/>
                <w:sz w:val="15"/>
                <w:szCs w:val="15"/>
              </w:rPr>
              <w:t>N = 51 (obstetric providers: faculty physicians, medical residents, nurse midwives, nurse practitioners)</w:t>
            </w:r>
          </w:p>
        </w:tc>
        <w:tc>
          <w:tcPr>
            <w:tcW w:w="1439" w:type="dxa"/>
          </w:tcPr>
          <w:p w14:paraId="1AA24B2B" w14:textId="1001BF6F" w:rsidR="00FB153E" w:rsidRPr="0067077E" w:rsidRDefault="00FB153E" w:rsidP="00FB153E">
            <w:pPr>
              <w:rPr>
                <w:sz w:val="15"/>
                <w:szCs w:val="15"/>
              </w:rPr>
            </w:pPr>
            <w:r w:rsidRPr="0067077E">
              <w:rPr>
                <w:sz w:val="15"/>
                <w:szCs w:val="15"/>
              </w:rPr>
              <w:t>Qualitative study, semi-structured interviews</w:t>
            </w:r>
          </w:p>
        </w:tc>
        <w:tc>
          <w:tcPr>
            <w:tcW w:w="1008" w:type="dxa"/>
          </w:tcPr>
          <w:p w14:paraId="5F2A80CB" w14:textId="30ADA634" w:rsidR="00FB153E" w:rsidRPr="00ED3A9D" w:rsidRDefault="00FB153E" w:rsidP="00FB153E">
            <w:pPr>
              <w:rPr>
                <w:sz w:val="15"/>
                <w:szCs w:val="15"/>
              </w:rPr>
            </w:pPr>
            <w:r w:rsidRPr="00ED3A9D">
              <w:rPr>
                <w:sz w:val="15"/>
                <w:szCs w:val="15"/>
              </w:rPr>
              <w:t>Perinatal use</w:t>
            </w:r>
          </w:p>
        </w:tc>
        <w:tc>
          <w:tcPr>
            <w:tcW w:w="4388" w:type="dxa"/>
          </w:tcPr>
          <w:p w14:paraId="6696C060" w14:textId="66B31D96" w:rsidR="0020246D" w:rsidRPr="00ED3A9D" w:rsidRDefault="0020246D" w:rsidP="0020246D">
            <w:pPr>
              <w:rPr>
                <w:color w:val="000000"/>
                <w:sz w:val="15"/>
                <w:szCs w:val="15"/>
              </w:rPr>
            </w:pPr>
            <w:r w:rsidRPr="00ED3A9D">
              <w:rPr>
                <w:color w:val="000000"/>
                <w:sz w:val="15"/>
                <w:szCs w:val="15"/>
              </w:rPr>
              <w:t xml:space="preserve">Pennsylvania: Prenatal marijuana use was not seen as a priority during first obstetric visit. Low level of knowledge of perinatal use. Primary counseling done on legal risk. </w:t>
            </w:r>
          </w:p>
          <w:p w14:paraId="7C9BD338" w14:textId="77777777" w:rsidR="00FB153E" w:rsidRPr="00ED3A9D" w:rsidRDefault="00FB153E" w:rsidP="00FB153E">
            <w:pPr>
              <w:rPr>
                <w:sz w:val="15"/>
                <w:szCs w:val="15"/>
              </w:rPr>
            </w:pPr>
          </w:p>
        </w:tc>
      </w:tr>
      <w:tr w:rsidR="0008411C" w14:paraId="4EBDDC04" w14:textId="77777777" w:rsidTr="00DB49DE">
        <w:tc>
          <w:tcPr>
            <w:tcW w:w="1074" w:type="dxa"/>
          </w:tcPr>
          <w:p w14:paraId="6BFBB5BF" w14:textId="16A8E85F" w:rsidR="000C1290" w:rsidRPr="0067077E" w:rsidRDefault="000C1290" w:rsidP="000C1290">
            <w:pPr>
              <w:rPr>
                <w:sz w:val="15"/>
                <w:szCs w:val="15"/>
              </w:rPr>
            </w:pPr>
            <w:r w:rsidRPr="0067077E">
              <w:rPr>
                <w:color w:val="000000"/>
                <w:sz w:val="15"/>
                <w:szCs w:val="15"/>
              </w:rPr>
              <w:t>Bascombe et al</w:t>
            </w:r>
            <w:r w:rsidR="00266DB0">
              <w:rPr>
                <w:color w:val="000000"/>
                <w:sz w:val="15"/>
                <w:szCs w:val="15"/>
              </w:rPr>
              <w:t>.</w:t>
            </w:r>
            <w:r w:rsidRPr="0067077E">
              <w:rPr>
                <w:color w:val="000000"/>
                <w:sz w:val="15"/>
                <w:szCs w:val="15"/>
              </w:rPr>
              <w:t xml:space="preserve"> (2016)</w:t>
            </w:r>
            <w:r w:rsidR="00791E3A">
              <w:rPr>
                <w:color w:val="000000"/>
                <w:sz w:val="15"/>
                <w:szCs w:val="15"/>
              </w:rPr>
              <w:t xml:space="preserve"> [16]</w:t>
            </w:r>
          </w:p>
        </w:tc>
        <w:tc>
          <w:tcPr>
            <w:tcW w:w="1441" w:type="dxa"/>
          </w:tcPr>
          <w:p w14:paraId="32784C70" w14:textId="39262265" w:rsidR="000C1290" w:rsidRPr="00875A1B" w:rsidRDefault="000C1290" w:rsidP="000C1290">
            <w:pPr>
              <w:rPr>
                <w:color w:val="000000"/>
                <w:sz w:val="15"/>
                <w:szCs w:val="15"/>
              </w:rPr>
            </w:pPr>
            <w:r w:rsidRPr="0067077E">
              <w:rPr>
                <w:color w:val="000000"/>
                <w:sz w:val="15"/>
                <w:szCs w:val="15"/>
              </w:rPr>
              <w:t>N = 20 (primary care providers: physicians, nurses, physician assistants)</w:t>
            </w:r>
          </w:p>
        </w:tc>
        <w:tc>
          <w:tcPr>
            <w:tcW w:w="1439" w:type="dxa"/>
          </w:tcPr>
          <w:p w14:paraId="4C1920DB" w14:textId="2DB3C5BC" w:rsidR="000C1290" w:rsidRPr="0067077E" w:rsidRDefault="000C1290" w:rsidP="000C1290">
            <w:pPr>
              <w:rPr>
                <w:sz w:val="15"/>
                <w:szCs w:val="15"/>
              </w:rPr>
            </w:pPr>
            <w:r w:rsidRPr="0067077E">
              <w:rPr>
                <w:sz w:val="15"/>
                <w:szCs w:val="15"/>
              </w:rPr>
              <w:t>Qualitative study, semi-structured interviews</w:t>
            </w:r>
          </w:p>
        </w:tc>
        <w:tc>
          <w:tcPr>
            <w:tcW w:w="1008" w:type="dxa"/>
          </w:tcPr>
          <w:p w14:paraId="7B0E45ED" w14:textId="11023941" w:rsidR="000C1290" w:rsidRPr="00ED3A9D" w:rsidRDefault="000C1290" w:rsidP="000C1290">
            <w:pPr>
              <w:rPr>
                <w:sz w:val="15"/>
                <w:szCs w:val="15"/>
              </w:rPr>
            </w:pPr>
            <w:r w:rsidRPr="00ED3A9D">
              <w:rPr>
                <w:sz w:val="15"/>
                <w:szCs w:val="15"/>
              </w:rPr>
              <w:t>Various indications</w:t>
            </w:r>
          </w:p>
        </w:tc>
        <w:tc>
          <w:tcPr>
            <w:tcW w:w="4388" w:type="dxa"/>
          </w:tcPr>
          <w:p w14:paraId="0511FA0A" w14:textId="77777777" w:rsidR="0020246D" w:rsidRPr="00ED3A9D" w:rsidRDefault="0020246D" w:rsidP="0020246D">
            <w:pPr>
              <w:rPr>
                <w:color w:val="000000"/>
                <w:sz w:val="15"/>
                <w:szCs w:val="15"/>
              </w:rPr>
            </w:pPr>
            <w:r w:rsidRPr="00ED3A9D">
              <w:rPr>
                <w:color w:val="000000"/>
                <w:sz w:val="15"/>
                <w:szCs w:val="15"/>
              </w:rPr>
              <w:t>Georgia: Low level of knowledge about MC, its health effects and addiction potential. Most reported a need for empirical evidence and practice guidelines.</w:t>
            </w:r>
          </w:p>
          <w:p w14:paraId="6D9D832A" w14:textId="77777777" w:rsidR="000C1290" w:rsidRPr="00ED3A9D" w:rsidRDefault="000C1290" w:rsidP="000C1290">
            <w:pPr>
              <w:rPr>
                <w:sz w:val="15"/>
                <w:szCs w:val="15"/>
              </w:rPr>
            </w:pPr>
          </w:p>
        </w:tc>
      </w:tr>
      <w:tr w:rsidR="0008411C" w14:paraId="4319BB64" w14:textId="77777777" w:rsidTr="00DB49DE">
        <w:tc>
          <w:tcPr>
            <w:tcW w:w="1074" w:type="dxa"/>
          </w:tcPr>
          <w:p w14:paraId="565C8524" w14:textId="68E736A3" w:rsidR="000C1290" w:rsidRPr="0067077E" w:rsidRDefault="000C1290" w:rsidP="000C1290">
            <w:pPr>
              <w:rPr>
                <w:color w:val="000000"/>
                <w:sz w:val="15"/>
                <w:szCs w:val="15"/>
              </w:rPr>
            </w:pPr>
            <w:r w:rsidRPr="0067077E">
              <w:rPr>
                <w:color w:val="000000"/>
                <w:sz w:val="15"/>
                <w:szCs w:val="15"/>
              </w:rPr>
              <w:t>Carlini et al</w:t>
            </w:r>
            <w:r w:rsidR="00266DB0">
              <w:rPr>
                <w:color w:val="000000"/>
                <w:sz w:val="15"/>
                <w:szCs w:val="15"/>
              </w:rPr>
              <w:t>.</w:t>
            </w:r>
            <w:r w:rsidRPr="0067077E">
              <w:rPr>
                <w:color w:val="000000"/>
                <w:sz w:val="15"/>
                <w:szCs w:val="15"/>
              </w:rPr>
              <w:t xml:space="preserve"> (2017)</w:t>
            </w:r>
            <w:r w:rsidR="00334D83">
              <w:rPr>
                <w:color w:val="000000"/>
                <w:sz w:val="15"/>
                <w:szCs w:val="15"/>
              </w:rPr>
              <w:t xml:space="preserve"> [36]</w:t>
            </w:r>
          </w:p>
          <w:p w14:paraId="64AE65BC" w14:textId="77777777" w:rsidR="000C1290" w:rsidRPr="0067077E" w:rsidRDefault="000C1290" w:rsidP="000C1290">
            <w:pPr>
              <w:rPr>
                <w:sz w:val="15"/>
                <w:szCs w:val="15"/>
              </w:rPr>
            </w:pPr>
          </w:p>
        </w:tc>
        <w:tc>
          <w:tcPr>
            <w:tcW w:w="1441" w:type="dxa"/>
          </w:tcPr>
          <w:p w14:paraId="2FD61CB8" w14:textId="77777777" w:rsidR="000C1290" w:rsidRPr="0067077E" w:rsidRDefault="000C1290" w:rsidP="000C1290">
            <w:pPr>
              <w:rPr>
                <w:color w:val="000000"/>
                <w:sz w:val="15"/>
                <w:szCs w:val="15"/>
              </w:rPr>
            </w:pPr>
            <w:r w:rsidRPr="0067077E">
              <w:rPr>
                <w:color w:val="000000"/>
                <w:sz w:val="15"/>
                <w:szCs w:val="15"/>
              </w:rPr>
              <w:t>N = 494 (primary care providers: ARNPs, NPs, physicians, PAs, LNPs, RNs, pharmacists)</w:t>
            </w:r>
          </w:p>
          <w:p w14:paraId="1181C6CD" w14:textId="77777777" w:rsidR="000C1290" w:rsidRPr="0067077E" w:rsidRDefault="000C1290" w:rsidP="000C1290">
            <w:pPr>
              <w:rPr>
                <w:sz w:val="15"/>
                <w:szCs w:val="15"/>
              </w:rPr>
            </w:pPr>
          </w:p>
        </w:tc>
        <w:tc>
          <w:tcPr>
            <w:tcW w:w="1439" w:type="dxa"/>
          </w:tcPr>
          <w:p w14:paraId="3AB4505C" w14:textId="42F936B6" w:rsidR="000C1290" w:rsidRPr="0067077E" w:rsidRDefault="000C1290" w:rsidP="000C1290">
            <w:pPr>
              <w:rPr>
                <w:sz w:val="15"/>
                <w:szCs w:val="15"/>
              </w:rPr>
            </w:pPr>
            <w:r w:rsidRPr="0067077E">
              <w:rPr>
                <w:sz w:val="15"/>
                <w:szCs w:val="15"/>
              </w:rPr>
              <w:t>Cross-sectional study</w:t>
            </w:r>
          </w:p>
        </w:tc>
        <w:tc>
          <w:tcPr>
            <w:tcW w:w="1008" w:type="dxa"/>
          </w:tcPr>
          <w:p w14:paraId="327BA181" w14:textId="1D5B2FD5" w:rsidR="000C1290" w:rsidRPr="00ED3A9D" w:rsidRDefault="000C1290" w:rsidP="000C1290">
            <w:pPr>
              <w:rPr>
                <w:sz w:val="15"/>
                <w:szCs w:val="15"/>
              </w:rPr>
            </w:pPr>
            <w:r w:rsidRPr="00ED3A9D">
              <w:rPr>
                <w:sz w:val="15"/>
                <w:szCs w:val="15"/>
              </w:rPr>
              <w:t>Various indications</w:t>
            </w:r>
          </w:p>
        </w:tc>
        <w:tc>
          <w:tcPr>
            <w:tcW w:w="4388" w:type="dxa"/>
          </w:tcPr>
          <w:p w14:paraId="7D40DE7C" w14:textId="3A12F82B" w:rsidR="0020246D" w:rsidRPr="00ED3A9D" w:rsidRDefault="0020246D" w:rsidP="0020246D">
            <w:pPr>
              <w:rPr>
                <w:color w:val="000000"/>
                <w:sz w:val="15"/>
                <w:szCs w:val="15"/>
              </w:rPr>
            </w:pPr>
            <w:r w:rsidRPr="00ED3A9D">
              <w:rPr>
                <w:color w:val="000000"/>
                <w:sz w:val="15"/>
                <w:szCs w:val="15"/>
              </w:rPr>
              <w:t>Washington State: Self-reported knowledge on MC level rated low; importance of knowledge rated as very high; 77-96% believe that knowledge should be obtained through CME, graduate and undergraduate training. 3/4 were in favor of DEA rescheduling of cannabis. 73.7% agreed that ‘‘MC can help"</w:t>
            </w:r>
            <w:r w:rsidRPr="00ED3A9D">
              <w:rPr>
                <w:color w:val="000000"/>
                <w:sz w:val="15"/>
                <w:szCs w:val="15"/>
              </w:rPr>
              <w:br/>
              <w:t>people who have chronic debilitating conditions.’’</w:t>
            </w:r>
          </w:p>
          <w:p w14:paraId="4BEFA1A9" w14:textId="77777777" w:rsidR="000C1290" w:rsidRPr="00ED3A9D" w:rsidRDefault="000C1290" w:rsidP="000C1290">
            <w:pPr>
              <w:rPr>
                <w:sz w:val="15"/>
                <w:szCs w:val="15"/>
              </w:rPr>
            </w:pPr>
          </w:p>
        </w:tc>
      </w:tr>
      <w:tr w:rsidR="0008411C" w14:paraId="6E614B79" w14:textId="77777777" w:rsidTr="00DB49DE">
        <w:tc>
          <w:tcPr>
            <w:tcW w:w="1074" w:type="dxa"/>
          </w:tcPr>
          <w:p w14:paraId="2747C2EE" w14:textId="3ABB6A08" w:rsidR="000C1290" w:rsidRPr="0067077E" w:rsidRDefault="000C1290" w:rsidP="000C1290">
            <w:pPr>
              <w:rPr>
                <w:color w:val="000000"/>
                <w:sz w:val="15"/>
                <w:szCs w:val="15"/>
              </w:rPr>
            </w:pPr>
            <w:r w:rsidRPr="0067077E">
              <w:rPr>
                <w:color w:val="000000"/>
                <w:sz w:val="15"/>
                <w:szCs w:val="15"/>
              </w:rPr>
              <w:lastRenderedPageBreak/>
              <w:t>Kondrad &amp; Reid (2013)</w:t>
            </w:r>
            <w:r w:rsidR="00200838">
              <w:rPr>
                <w:color w:val="000000"/>
                <w:sz w:val="15"/>
                <w:szCs w:val="15"/>
              </w:rPr>
              <w:t xml:space="preserve"> [20]</w:t>
            </w:r>
          </w:p>
          <w:p w14:paraId="4D36D3DA" w14:textId="77777777" w:rsidR="000C1290" w:rsidRPr="0067077E" w:rsidRDefault="000C1290" w:rsidP="000C1290">
            <w:pPr>
              <w:jc w:val="center"/>
              <w:rPr>
                <w:sz w:val="15"/>
                <w:szCs w:val="15"/>
              </w:rPr>
            </w:pPr>
          </w:p>
        </w:tc>
        <w:tc>
          <w:tcPr>
            <w:tcW w:w="1441" w:type="dxa"/>
          </w:tcPr>
          <w:p w14:paraId="25DBFAEF" w14:textId="77777777" w:rsidR="000C1290" w:rsidRPr="0067077E" w:rsidRDefault="000C1290" w:rsidP="000C1290">
            <w:pPr>
              <w:rPr>
                <w:color w:val="000000"/>
                <w:sz w:val="15"/>
                <w:szCs w:val="15"/>
              </w:rPr>
            </w:pPr>
            <w:r w:rsidRPr="0067077E">
              <w:rPr>
                <w:color w:val="000000"/>
                <w:sz w:val="15"/>
                <w:szCs w:val="15"/>
              </w:rPr>
              <w:t>N = 520 (family physicians)</w:t>
            </w:r>
          </w:p>
          <w:p w14:paraId="4B6A3AF2" w14:textId="77777777" w:rsidR="000C1290" w:rsidRPr="0067077E" w:rsidRDefault="000C1290" w:rsidP="000C1290">
            <w:pPr>
              <w:rPr>
                <w:sz w:val="15"/>
                <w:szCs w:val="15"/>
              </w:rPr>
            </w:pPr>
          </w:p>
        </w:tc>
        <w:tc>
          <w:tcPr>
            <w:tcW w:w="1439" w:type="dxa"/>
          </w:tcPr>
          <w:p w14:paraId="45642D35" w14:textId="6DB4BF87" w:rsidR="000C1290" w:rsidRPr="0067077E" w:rsidRDefault="000C1290" w:rsidP="000C1290">
            <w:pPr>
              <w:rPr>
                <w:sz w:val="15"/>
                <w:szCs w:val="15"/>
              </w:rPr>
            </w:pPr>
            <w:r w:rsidRPr="0067077E">
              <w:rPr>
                <w:sz w:val="15"/>
                <w:szCs w:val="15"/>
              </w:rPr>
              <w:t>Cross-sectional study</w:t>
            </w:r>
          </w:p>
        </w:tc>
        <w:tc>
          <w:tcPr>
            <w:tcW w:w="1008" w:type="dxa"/>
          </w:tcPr>
          <w:p w14:paraId="2F27152F" w14:textId="37290492" w:rsidR="000C1290" w:rsidRPr="00ED3A9D" w:rsidRDefault="000C1290" w:rsidP="000C1290">
            <w:pPr>
              <w:rPr>
                <w:sz w:val="15"/>
                <w:szCs w:val="15"/>
              </w:rPr>
            </w:pPr>
            <w:r w:rsidRPr="00ED3A9D">
              <w:rPr>
                <w:sz w:val="15"/>
                <w:szCs w:val="15"/>
              </w:rPr>
              <w:t>Various indications</w:t>
            </w:r>
          </w:p>
        </w:tc>
        <w:tc>
          <w:tcPr>
            <w:tcW w:w="4388" w:type="dxa"/>
          </w:tcPr>
          <w:p w14:paraId="09647821" w14:textId="070245AD" w:rsidR="000C1290" w:rsidRPr="00875A1B" w:rsidRDefault="0020246D" w:rsidP="000C1290">
            <w:pPr>
              <w:rPr>
                <w:color w:val="000000"/>
                <w:sz w:val="15"/>
                <w:szCs w:val="15"/>
              </w:rPr>
            </w:pPr>
            <w:r w:rsidRPr="00ED3A9D">
              <w:rPr>
                <w:color w:val="000000"/>
                <w:sz w:val="15"/>
                <w:szCs w:val="15"/>
              </w:rPr>
              <w:t>Colorado:19% were in favor of recommending MC; 61% agreed that there are significant physical risks of MC vs 27% agreed that there are significant physical benefits; 64% agreed about mental health risks vs 15% agreed about mental health risk; 37% were in favor of DEA rescheduling of cannabis. 80-92% agreed that knowledge should be obtained through CME, graduate and undergraduate training.</w:t>
            </w:r>
          </w:p>
        </w:tc>
      </w:tr>
      <w:tr w:rsidR="0008411C" w14:paraId="26DEED1F" w14:textId="77777777" w:rsidTr="00DB49DE">
        <w:tc>
          <w:tcPr>
            <w:tcW w:w="1074" w:type="dxa"/>
          </w:tcPr>
          <w:p w14:paraId="28898211" w14:textId="02C3E5E1" w:rsidR="000C1290" w:rsidRPr="0067077E" w:rsidRDefault="000C1290" w:rsidP="000C1290">
            <w:pPr>
              <w:rPr>
                <w:color w:val="000000"/>
                <w:sz w:val="15"/>
                <w:szCs w:val="15"/>
              </w:rPr>
            </w:pPr>
            <w:r w:rsidRPr="0067077E">
              <w:rPr>
                <w:color w:val="000000"/>
                <w:sz w:val="15"/>
                <w:szCs w:val="15"/>
              </w:rPr>
              <w:t>Sharma, et al. (2024)</w:t>
            </w:r>
            <w:r w:rsidR="00B00F11">
              <w:rPr>
                <w:color w:val="000000"/>
                <w:sz w:val="15"/>
                <w:szCs w:val="15"/>
              </w:rPr>
              <w:t xml:space="preserve"> [40]</w:t>
            </w:r>
          </w:p>
          <w:p w14:paraId="259957B8" w14:textId="77777777" w:rsidR="000C1290" w:rsidRPr="0067077E" w:rsidRDefault="000C1290" w:rsidP="000C1290">
            <w:pPr>
              <w:rPr>
                <w:sz w:val="15"/>
                <w:szCs w:val="15"/>
              </w:rPr>
            </w:pPr>
          </w:p>
        </w:tc>
        <w:tc>
          <w:tcPr>
            <w:tcW w:w="1441" w:type="dxa"/>
          </w:tcPr>
          <w:p w14:paraId="75F3C419" w14:textId="77777777" w:rsidR="000C1290" w:rsidRPr="0067077E" w:rsidRDefault="000C1290" w:rsidP="000C1290">
            <w:pPr>
              <w:rPr>
                <w:color w:val="000000"/>
                <w:sz w:val="15"/>
                <w:szCs w:val="15"/>
              </w:rPr>
            </w:pPr>
            <w:r w:rsidRPr="0067077E">
              <w:rPr>
                <w:color w:val="000000"/>
                <w:sz w:val="15"/>
                <w:szCs w:val="15"/>
              </w:rPr>
              <w:t>N = 195 (PCPs)</w:t>
            </w:r>
          </w:p>
          <w:p w14:paraId="06C703F1" w14:textId="77777777" w:rsidR="000C1290" w:rsidRPr="0067077E" w:rsidRDefault="000C1290" w:rsidP="000C1290">
            <w:pPr>
              <w:rPr>
                <w:sz w:val="15"/>
                <w:szCs w:val="15"/>
              </w:rPr>
            </w:pPr>
          </w:p>
        </w:tc>
        <w:tc>
          <w:tcPr>
            <w:tcW w:w="1439" w:type="dxa"/>
          </w:tcPr>
          <w:p w14:paraId="1BEEDCB7" w14:textId="4A248EF6" w:rsidR="000C1290" w:rsidRPr="0067077E" w:rsidRDefault="000C1290" w:rsidP="000C1290">
            <w:pPr>
              <w:rPr>
                <w:sz w:val="15"/>
                <w:szCs w:val="15"/>
              </w:rPr>
            </w:pPr>
            <w:r w:rsidRPr="0067077E">
              <w:rPr>
                <w:sz w:val="15"/>
                <w:szCs w:val="15"/>
              </w:rPr>
              <w:t>Cross-sectional study</w:t>
            </w:r>
          </w:p>
        </w:tc>
        <w:tc>
          <w:tcPr>
            <w:tcW w:w="1008" w:type="dxa"/>
          </w:tcPr>
          <w:p w14:paraId="359619BE" w14:textId="0F85F681" w:rsidR="000C1290" w:rsidRPr="00ED3A9D" w:rsidRDefault="000C1290" w:rsidP="000C1290">
            <w:pPr>
              <w:rPr>
                <w:sz w:val="15"/>
                <w:szCs w:val="15"/>
              </w:rPr>
            </w:pPr>
            <w:r w:rsidRPr="00ED3A9D">
              <w:rPr>
                <w:sz w:val="15"/>
                <w:szCs w:val="15"/>
              </w:rPr>
              <w:t xml:space="preserve">Chronic pain, anxiety, </w:t>
            </w:r>
            <w:r w:rsidR="00875A1B">
              <w:rPr>
                <w:sz w:val="15"/>
                <w:szCs w:val="15"/>
              </w:rPr>
              <w:t>quality of life</w:t>
            </w:r>
          </w:p>
        </w:tc>
        <w:tc>
          <w:tcPr>
            <w:tcW w:w="4388" w:type="dxa"/>
          </w:tcPr>
          <w:p w14:paraId="17D8B8EB" w14:textId="1A4065C6" w:rsidR="00451162" w:rsidRPr="00ED3A9D" w:rsidRDefault="00451162" w:rsidP="00451162">
            <w:pPr>
              <w:rPr>
                <w:color w:val="000000"/>
                <w:sz w:val="15"/>
                <w:szCs w:val="15"/>
              </w:rPr>
            </w:pPr>
            <w:r w:rsidRPr="00ED3A9D">
              <w:rPr>
                <w:color w:val="000000"/>
                <w:sz w:val="15"/>
                <w:szCs w:val="15"/>
              </w:rPr>
              <w:t>Less than 10% initiate discussions; barriers - lack of time/knowledge/guidelines</w:t>
            </w:r>
          </w:p>
          <w:p w14:paraId="5A666FE1" w14:textId="77777777" w:rsidR="000C1290" w:rsidRPr="00ED3A9D" w:rsidRDefault="000C1290" w:rsidP="000C1290">
            <w:pPr>
              <w:rPr>
                <w:sz w:val="15"/>
                <w:szCs w:val="15"/>
              </w:rPr>
            </w:pPr>
          </w:p>
        </w:tc>
      </w:tr>
      <w:tr w:rsidR="0008411C" w14:paraId="11712C4F" w14:textId="77777777" w:rsidTr="00DB49DE">
        <w:tc>
          <w:tcPr>
            <w:tcW w:w="1074" w:type="dxa"/>
          </w:tcPr>
          <w:p w14:paraId="47FE74F0" w14:textId="3AFAF120" w:rsidR="000C1290" w:rsidRPr="0067077E" w:rsidRDefault="000C1290" w:rsidP="000C1290">
            <w:pPr>
              <w:rPr>
                <w:color w:val="000000"/>
                <w:sz w:val="15"/>
                <w:szCs w:val="15"/>
              </w:rPr>
            </w:pPr>
            <w:r w:rsidRPr="0067077E">
              <w:rPr>
                <w:color w:val="000000"/>
                <w:sz w:val="15"/>
                <w:szCs w:val="15"/>
              </w:rPr>
              <w:t>Zeiger, et al. (2024)</w:t>
            </w:r>
            <w:r w:rsidR="002C2B8D">
              <w:rPr>
                <w:color w:val="000000"/>
                <w:sz w:val="15"/>
                <w:szCs w:val="15"/>
              </w:rPr>
              <w:t xml:space="preserve"> [49]</w:t>
            </w:r>
          </w:p>
          <w:p w14:paraId="513B84B2" w14:textId="77777777" w:rsidR="000C1290" w:rsidRPr="0067077E" w:rsidRDefault="000C1290" w:rsidP="000C1290">
            <w:pPr>
              <w:rPr>
                <w:sz w:val="15"/>
                <w:szCs w:val="15"/>
              </w:rPr>
            </w:pPr>
          </w:p>
        </w:tc>
        <w:tc>
          <w:tcPr>
            <w:tcW w:w="1441" w:type="dxa"/>
          </w:tcPr>
          <w:p w14:paraId="4A1C45C8" w14:textId="77777777" w:rsidR="000C1290" w:rsidRPr="0067077E" w:rsidRDefault="000C1290" w:rsidP="000C1290">
            <w:pPr>
              <w:rPr>
                <w:color w:val="000000"/>
                <w:sz w:val="15"/>
                <w:szCs w:val="15"/>
              </w:rPr>
            </w:pPr>
            <w:r w:rsidRPr="0067077E">
              <w:rPr>
                <w:color w:val="000000"/>
                <w:sz w:val="15"/>
                <w:szCs w:val="15"/>
              </w:rPr>
              <w:t>N = 445 (allergists)</w:t>
            </w:r>
          </w:p>
          <w:p w14:paraId="735E709C" w14:textId="77777777" w:rsidR="000C1290" w:rsidRPr="0067077E" w:rsidRDefault="000C1290" w:rsidP="000C1290">
            <w:pPr>
              <w:rPr>
                <w:sz w:val="15"/>
                <w:szCs w:val="15"/>
              </w:rPr>
            </w:pPr>
          </w:p>
        </w:tc>
        <w:tc>
          <w:tcPr>
            <w:tcW w:w="1439" w:type="dxa"/>
          </w:tcPr>
          <w:p w14:paraId="0913099C" w14:textId="778D4303" w:rsidR="000C1290" w:rsidRPr="0067077E" w:rsidRDefault="000C1290" w:rsidP="000C1290">
            <w:pPr>
              <w:rPr>
                <w:sz w:val="15"/>
                <w:szCs w:val="15"/>
              </w:rPr>
            </w:pPr>
            <w:r w:rsidRPr="0067077E">
              <w:rPr>
                <w:sz w:val="15"/>
                <w:szCs w:val="15"/>
              </w:rPr>
              <w:t>Cross-sectional study</w:t>
            </w:r>
          </w:p>
        </w:tc>
        <w:tc>
          <w:tcPr>
            <w:tcW w:w="1008" w:type="dxa"/>
          </w:tcPr>
          <w:p w14:paraId="3A645F98" w14:textId="61DB9517" w:rsidR="000C1290" w:rsidRPr="00ED3A9D" w:rsidRDefault="000C1290" w:rsidP="000C1290">
            <w:pPr>
              <w:rPr>
                <w:sz w:val="15"/>
                <w:szCs w:val="15"/>
              </w:rPr>
            </w:pPr>
            <w:r w:rsidRPr="00ED3A9D">
              <w:rPr>
                <w:sz w:val="15"/>
                <w:szCs w:val="15"/>
              </w:rPr>
              <w:t>Allergies and asthma</w:t>
            </w:r>
          </w:p>
        </w:tc>
        <w:tc>
          <w:tcPr>
            <w:tcW w:w="4388" w:type="dxa"/>
          </w:tcPr>
          <w:p w14:paraId="37B40D5B" w14:textId="5DD9A078" w:rsidR="000C1290" w:rsidRPr="00875A1B" w:rsidRDefault="00DD7D0C" w:rsidP="000C1290">
            <w:pPr>
              <w:rPr>
                <w:color w:val="000000"/>
                <w:sz w:val="15"/>
                <w:szCs w:val="15"/>
              </w:rPr>
            </w:pPr>
            <w:r w:rsidRPr="00ED3A9D">
              <w:rPr>
                <w:color w:val="000000"/>
                <w:sz w:val="15"/>
                <w:szCs w:val="15"/>
              </w:rPr>
              <w:t>68% of allergists were comfortable discussing cannabis with patients; legal status of marijuana was not associated with knowledge score or real-world outcomes; those what were more open to cannabis use (those in the "progressive" cluster) were significantly more comfortable discussing with patients</w:t>
            </w:r>
            <w:r w:rsidR="00875A1B">
              <w:rPr>
                <w:color w:val="000000"/>
                <w:sz w:val="15"/>
                <w:szCs w:val="15"/>
              </w:rPr>
              <w:t>.</w:t>
            </w:r>
          </w:p>
        </w:tc>
      </w:tr>
      <w:tr w:rsidR="0008411C" w14:paraId="19CA17F0" w14:textId="77777777" w:rsidTr="00DB49DE">
        <w:tc>
          <w:tcPr>
            <w:tcW w:w="1074" w:type="dxa"/>
          </w:tcPr>
          <w:p w14:paraId="3B156FD9" w14:textId="348A85DF" w:rsidR="000C1290" w:rsidRPr="0067077E" w:rsidRDefault="000C1290" w:rsidP="000C1290">
            <w:pPr>
              <w:rPr>
                <w:color w:val="000000"/>
                <w:sz w:val="15"/>
                <w:szCs w:val="15"/>
              </w:rPr>
            </w:pPr>
            <w:r w:rsidRPr="0067077E">
              <w:rPr>
                <w:color w:val="000000"/>
                <w:sz w:val="15"/>
                <w:szCs w:val="15"/>
              </w:rPr>
              <w:t>Bui, et al. (2023)</w:t>
            </w:r>
            <w:r w:rsidR="00822662">
              <w:rPr>
                <w:color w:val="000000"/>
                <w:sz w:val="15"/>
                <w:szCs w:val="15"/>
              </w:rPr>
              <w:t xml:space="preserve"> [44]</w:t>
            </w:r>
          </w:p>
          <w:p w14:paraId="3DBD9AC8" w14:textId="77777777" w:rsidR="000C1290" w:rsidRPr="0067077E" w:rsidRDefault="000C1290" w:rsidP="000C1290">
            <w:pPr>
              <w:rPr>
                <w:sz w:val="15"/>
                <w:szCs w:val="15"/>
              </w:rPr>
            </w:pPr>
          </w:p>
        </w:tc>
        <w:tc>
          <w:tcPr>
            <w:tcW w:w="1441" w:type="dxa"/>
          </w:tcPr>
          <w:p w14:paraId="1A2F3250" w14:textId="77777777" w:rsidR="000C1290" w:rsidRPr="0067077E" w:rsidRDefault="000C1290" w:rsidP="000C1290">
            <w:pPr>
              <w:rPr>
                <w:color w:val="000000"/>
                <w:sz w:val="15"/>
                <w:szCs w:val="15"/>
              </w:rPr>
            </w:pPr>
            <w:r w:rsidRPr="0067077E">
              <w:rPr>
                <w:color w:val="000000"/>
                <w:sz w:val="15"/>
                <w:szCs w:val="15"/>
              </w:rPr>
              <w:t>N = 24 (physicians certified to offer MC)</w:t>
            </w:r>
          </w:p>
          <w:p w14:paraId="2DE7BA75" w14:textId="77777777" w:rsidR="000C1290" w:rsidRPr="0067077E" w:rsidRDefault="000C1290" w:rsidP="000C1290">
            <w:pPr>
              <w:rPr>
                <w:sz w:val="15"/>
                <w:szCs w:val="15"/>
              </w:rPr>
            </w:pPr>
          </w:p>
        </w:tc>
        <w:tc>
          <w:tcPr>
            <w:tcW w:w="1439" w:type="dxa"/>
          </w:tcPr>
          <w:p w14:paraId="2DE8DF24" w14:textId="5F727BC1" w:rsidR="000C1290" w:rsidRPr="0067077E" w:rsidRDefault="000C1290" w:rsidP="000C1290">
            <w:pPr>
              <w:rPr>
                <w:sz w:val="15"/>
                <w:szCs w:val="15"/>
              </w:rPr>
            </w:pPr>
            <w:r w:rsidRPr="0067077E">
              <w:rPr>
                <w:sz w:val="15"/>
                <w:szCs w:val="15"/>
              </w:rPr>
              <w:t>Qualitative study, semi-structured interviews</w:t>
            </w:r>
          </w:p>
        </w:tc>
        <w:tc>
          <w:tcPr>
            <w:tcW w:w="1008" w:type="dxa"/>
          </w:tcPr>
          <w:p w14:paraId="59C52A3D" w14:textId="7D6272C6" w:rsidR="000C1290" w:rsidRPr="00ED3A9D" w:rsidRDefault="000C1290" w:rsidP="000C1290">
            <w:pPr>
              <w:rPr>
                <w:sz w:val="15"/>
                <w:szCs w:val="15"/>
              </w:rPr>
            </w:pPr>
            <w:r w:rsidRPr="00ED3A9D">
              <w:rPr>
                <w:sz w:val="15"/>
                <w:szCs w:val="15"/>
              </w:rPr>
              <w:t>Various indications</w:t>
            </w:r>
          </w:p>
        </w:tc>
        <w:tc>
          <w:tcPr>
            <w:tcW w:w="4388" w:type="dxa"/>
          </w:tcPr>
          <w:p w14:paraId="7BF24EE8" w14:textId="214E6C56" w:rsidR="000C1290" w:rsidRPr="00875A1B" w:rsidRDefault="00113708" w:rsidP="000C1290">
            <w:pPr>
              <w:rPr>
                <w:color w:val="000000"/>
                <w:sz w:val="15"/>
                <w:szCs w:val="15"/>
              </w:rPr>
            </w:pPr>
            <w:r w:rsidRPr="00ED3A9D">
              <w:rPr>
                <w:color w:val="000000"/>
                <w:sz w:val="15"/>
                <w:szCs w:val="15"/>
              </w:rPr>
              <w:t>Majority identified lack of evidence-based practices as the gap in their training; 3 areas for CME: information on dispensaries; guidance on workflow within practice (prescribing); clinical guidelines</w:t>
            </w:r>
          </w:p>
        </w:tc>
      </w:tr>
      <w:tr w:rsidR="0008411C" w14:paraId="68251C02" w14:textId="77777777" w:rsidTr="00DB49DE">
        <w:tc>
          <w:tcPr>
            <w:tcW w:w="1074" w:type="dxa"/>
          </w:tcPr>
          <w:p w14:paraId="61FF4118" w14:textId="2E191F3A" w:rsidR="000C1290" w:rsidRPr="0067077E" w:rsidRDefault="000C1290" w:rsidP="000C1290">
            <w:pPr>
              <w:rPr>
                <w:color w:val="000000"/>
                <w:sz w:val="15"/>
                <w:szCs w:val="15"/>
              </w:rPr>
            </w:pPr>
            <w:r w:rsidRPr="0067077E">
              <w:rPr>
                <w:color w:val="000000"/>
                <w:sz w:val="15"/>
                <w:szCs w:val="15"/>
              </w:rPr>
              <w:t>Ross, et al. (2023)</w:t>
            </w:r>
            <w:r w:rsidR="004D3968">
              <w:rPr>
                <w:color w:val="000000"/>
                <w:sz w:val="15"/>
                <w:szCs w:val="15"/>
              </w:rPr>
              <w:t xml:space="preserve"> [26]</w:t>
            </w:r>
          </w:p>
          <w:p w14:paraId="79051D30" w14:textId="77777777" w:rsidR="000C1290" w:rsidRPr="0067077E" w:rsidRDefault="000C1290" w:rsidP="000C1290">
            <w:pPr>
              <w:rPr>
                <w:sz w:val="15"/>
                <w:szCs w:val="15"/>
              </w:rPr>
            </w:pPr>
          </w:p>
        </w:tc>
        <w:tc>
          <w:tcPr>
            <w:tcW w:w="1441" w:type="dxa"/>
          </w:tcPr>
          <w:p w14:paraId="317664A3" w14:textId="77777777" w:rsidR="000C1290" w:rsidRPr="0067077E" w:rsidRDefault="000C1290" w:rsidP="000C1290">
            <w:pPr>
              <w:rPr>
                <w:color w:val="000000"/>
                <w:sz w:val="15"/>
                <w:szCs w:val="15"/>
              </w:rPr>
            </w:pPr>
            <w:r w:rsidRPr="0067077E">
              <w:rPr>
                <w:color w:val="000000"/>
                <w:sz w:val="15"/>
                <w:szCs w:val="15"/>
              </w:rPr>
              <w:t>N = 333 (sports medicine physicians)</w:t>
            </w:r>
          </w:p>
          <w:p w14:paraId="543DB3D2" w14:textId="77777777" w:rsidR="000C1290" w:rsidRPr="0067077E" w:rsidRDefault="000C1290" w:rsidP="000C1290">
            <w:pPr>
              <w:rPr>
                <w:sz w:val="15"/>
                <w:szCs w:val="15"/>
              </w:rPr>
            </w:pPr>
          </w:p>
        </w:tc>
        <w:tc>
          <w:tcPr>
            <w:tcW w:w="1439" w:type="dxa"/>
          </w:tcPr>
          <w:p w14:paraId="5E286304" w14:textId="315342DA" w:rsidR="000C1290" w:rsidRPr="0067077E" w:rsidRDefault="000C1290" w:rsidP="000C1290">
            <w:pPr>
              <w:rPr>
                <w:sz w:val="15"/>
                <w:szCs w:val="15"/>
              </w:rPr>
            </w:pPr>
            <w:r w:rsidRPr="0067077E">
              <w:rPr>
                <w:sz w:val="15"/>
                <w:szCs w:val="15"/>
              </w:rPr>
              <w:t>Cross-sectional study</w:t>
            </w:r>
          </w:p>
        </w:tc>
        <w:tc>
          <w:tcPr>
            <w:tcW w:w="1008" w:type="dxa"/>
          </w:tcPr>
          <w:p w14:paraId="4E6B8797" w14:textId="68D3C1BB" w:rsidR="000C1290" w:rsidRPr="00ED3A9D" w:rsidRDefault="000C1290" w:rsidP="000C1290">
            <w:pPr>
              <w:rPr>
                <w:sz w:val="15"/>
                <w:szCs w:val="15"/>
              </w:rPr>
            </w:pPr>
            <w:r w:rsidRPr="00ED3A9D">
              <w:rPr>
                <w:sz w:val="15"/>
                <w:szCs w:val="15"/>
              </w:rPr>
              <w:t>MSK pain, neuropathic pain, mood disorders; sleep; concussion; sport performance anxiety</w:t>
            </w:r>
          </w:p>
        </w:tc>
        <w:tc>
          <w:tcPr>
            <w:tcW w:w="4388" w:type="dxa"/>
          </w:tcPr>
          <w:p w14:paraId="67E9253A" w14:textId="77777777" w:rsidR="00113708" w:rsidRPr="00ED3A9D" w:rsidRDefault="00113708" w:rsidP="00113708">
            <w:pPr>
              <w:rPr>
                <w:color w:val="000000"/>
                <w:sz w:val="15"/>
                <w:szCs w:val="15"/>
              </w:rPr>
            </w:pPr>
            <w:r w:rsidRPr="00ED3A9D">
              <w:rPr>
                <w:color w:val="000000"/>
                <w:sz w:val="15"/>
                <w:szCs w:val="15"/>
              </w:rPr>
              <w:t>93% interested in CME; 24.8% recommended cannabis; Pediatricians did not recommend; academic physicians and rural physicians were less likely to recommend.</w:t>
            </w:r>
          </w:p>
          <w:p w14:paraId="0E3D7E5B" w14:textId="77777777" w:rsidR="000C1290" w:rsidRPr="00ED3A9D" w:rsidRDefault="000C1290" w:rsidP="000C1290">
            <w:pPr>
              <w:rPr>
                <w:sz w:val="15"/>
                <w:szCs w:val="15"/>
              </w:rPr>
            </w:pPr>
          </w:p>
        </w:tc>
      </w:tr>
      <w:tr w:rsidR="0008411C" w14:paraId="0E844A70" w14:textId="77777777" w:rsidTr="00DB49DE">
        <w:tc>
          <w:tcPr>
            <w:tcW w:w="1074" w:type="dxa"/>
          </w:tcPr>
          <w:p w14:paraId="3EDFF3B4" w14:textId="0F107788" w:rsidR="000C1290" w:rsidRPr="0067077E" w:rsidRDefault="000C1290" w:rsidP="000C1290">
            <w:pPr>
              <w:rPr>
                <w:color w:val="000000"/>
                <w:sz w:val="15"/>
                <w:szCs w:val="15"/>
              </w:rPr>
            </w:pPr>
            <w:r w:rsidRPr="0067077E">
              <w:rPr>
                <w:color w:val="000000"/>
                <w:sz w:val="15"/>
                <w:szCs w:val="15"/>
              </w:rPr>
              <w:t>Cassone, et al. (2024)</w:t>
            </w:r>
            <w:r w:rsidR="007D4FBA">
              <w:rPr>
                <w:color w:val="000000"/>
                <w:sz w:val="15"/>
                <w:szCs w:val="15"/>
              </w:rPr>
              <w:t xml:space="preserve"> [48]</w:t>
            </w:r>
          </w:p>
          <w:p w14:paraId="72B06658" w14:textId="77777777" w:rsidR="000C1290" w:rsidRPr="0067077E" w:rsidRDefault="000C1290" w:rsidP="000C1290">
            <w:pPr>
              <w:rPr>
                <w:sz w:val="15"/>
                <w:szCs w:val="15"/>
              </w:rPr>
            </w:pPr>
          </w:p>
        </w:tc>
        <w:tc>
          <w:tcPr>
            <w:tcW w:w="1441" w:type="dxa"/>
          </w:tcPr>
          <w:p w14:paraId="74BF324C" w14:textId="77777777" w:rsidR="000C1290" w:rsidRPr="0067077E" w:rsidRDefault="000C1290" w:rsidP="000C1290">
            <w:pPr>
              <w:rPr>
                <w:color w:val="000000"/>
                <w:sz w:val="15"/>
                <w:szCs w:val="15"/>
              </w:rPr>
            </w:pPr>
            <w:r w:rsidRPr="0067077E">
              <w:rPr>
                <w:color w:val="000000"/>
                <w:sz w:val="15"/>
                <w:szCs w:val="15"/>
              </w:rPr>
              <w:t>N = 115 (NP students)</w:t>
            </w:r>
          </w:p>
          <w:p w14:paraId="74533434" w14:textId="77777777" w:rsidR="000C1290" w:rsidRPr="0067077E" w:rsidRDefault="000C1290" w:rsidP="000C1290">
            <w:pPr>
              <w:rPr>
                <w:sz w:val="15"/>
                <w:szCs w:val="15"/>
              </w:rPr>
            </w:pPr>
          </w:p>
        </w:tc>
        <w:tc>
          <w:tcPr>
            <w:tcW w:w="1439" w:type="dxa"/>
          </w:tcPr>
          <w:p w14:paraId="3706A0DC" w14:textId="62388254" w:rsidR="000C1290" w:rsidRPr="0067077E" w:rsidRDefault="000C1290" w:rsidP="000C1290">
            <w:pPr>
              <w:rPr>
                <w:sz w:val="15"/>
                <w:szCs w:val="15"/>
              </w:rPr>
            </w:pPr>
            <w:r w:rsidRPr="0067077E">
              <w:rPr>
                <w:sz w:val="15"/>
                <w:szCs w:val="15"/>
              </w:rPr>
              <w:t>Cross-sectional study</w:t>
            </w:r>
          </w:p>
        </w:tc>
        <w:tc>
          <w:tcPr>
            <w:tcW w:w="1008" w:type="dxa"/>
          </w:tcPr>
          <w:p w14:paraId="1455D60A" w14:textId="09E3DA95" w:rsidR="000C1290" w:rsidRPr="00ED3A9D" w:rsidRDefault="000C1290" w:rsidP="000C1290">
            <w:pPr>
              <w:rPr>
                <w:sz w:val="15"/>
                <w:szCs w:val="15"/>
              </w:rPr>
            </w:pPr>
            <w:r w:rsidRPr="00ED3A9D">
              <w:rPr>
                <w:sz w:val="15"/>
                <w:szCs w:val="15"/>
              </w:rPr>
              <w:t>Various indications</w:t>
            </w:r>
          </w:p>
        </w:tc>
        <w:tc>
          <w:tcPr>
            <w:tcW w:w="4388" w:type="dxa"/>
          </w:tcPr>
          <w:p w14:paraId="3C01075D" w14:textId="589EDEEE" w:rsidR="000C1290" w:rsidRPr="00875A1B" w:rsidRDefault="00113708" w:rsidP="000C1290">
            <w:pPr>
              <w:rPr>
                <w:color w:val="000000"/>
                <w:sz w:val="15"/>
                <w:szCs w:val="15"/>
              </w:rPr>
            </w:pPr>
            <w:r w:rsidRPr="00ED3A9D">
              <w:rPr>
                <w:color w:val="000000"/>
                <w:sz w:val="15"/>
                <w:szCs w:val="15"/>
              </w:rPr>
              <w:t>97% felt MC education should be included in NP program. 30% reported receiving in-depth education on the topic. Students' ability to identify MC's indications accurately was variable. 90% of students correctly identified cancer, 89% pain, 77% cachexia, 62% vomiting/nausea, 58% PTSD, 57% epilepsy. Students' ability to recognize MC's adverse reactions was variable: 70% identified anxiety, 68% memory impairment, 67% paranoia, 61% impaired brain development during adolescence, 59% hallucinations, 51% dizziness.</w:t>
            </w:r>
          </w:p>
        </w:tc>
      </w:tr>
      <w:tr w:rsidR="0008411C" w14:paraId="2F9B453C" w14:textId="77777777" w:rsidTr="00DB49DE">
        <w:tc>
          <w:tcPr>
            <w:tcW w:w="1074" w:type="dxa"/>
          </w:tcPr>
          <w:p w14:paraId="78172FDB" w14:textId="390780CA" w:rsidR="000C1290" w:rsidRPr="0067077E" w:rsidRDefault="000C1290" w:rsidP="000C1290">
            <w:pPr>
              <w:rPr>
                <w:color w:val="000000"/>
                <w:sz w:val="15"/>
                <w:szCs w:val="15"/>
              </w:rPr>
            </w:pPr>
            <w:proofErr w:type="spellStart"/>
            <w:r w:rsidRPr="0067077E">
              <w:rPr>
                <w:color w:val="000000"/>
                <w:sz w:val="15"/>
                <w:szCs w:val="15"/>
              </w:rPr>
              <w:t>Elbready</w:t>
            </w:r>
            <w:proofErr w:type="spellEnd"/>
            <w:r w:rsidRPr="0067077E">
              <w:rPr>
                <w:color w:val="000000"/>
                <w:sz w:val="15"/>
                <w:szCs w:val="15"/>
              </w:rPr>
              <w:t>, et al. (2024)</w:t>
            </w:r>
            <w:r w:rsidR="00346646">
              <w:rPr>
                <w:color w:val="000000"/>
                <w:sz w:val="15"/>
                <w:szCs w:val="15"/>
              </w:rPr>
              <w:t xml:space="preserve"> [50]</w:t>
            </w:r>
          </w:p>
          <w:p w14:paraId="04286164" w14:textId="77777777" w:rsidR="000C1290" w:rsidRPr="0067077E" w:rsidRDefault="000C1290" w:rsidP="000C1290">
            <w:pPr>
              <w:rPr>
                <w:sz w:val="15"/>
                <w:szCs w:val="15"/>
              </w:rPr>
            </w:pPr>
          </w:p>
        </w:tc>
        <w:tc>
          <w:tcPr>
            <w:tcW w:w="1441" w:type="dxa"/>
          </w:tcPr>
          <w:p w14:paraId="3633CC8B" w14:textId="77777777" w:rsidR="000C1290" w:rsidRPr="0067077E" w:rsidRDefault="000C1290" w:rsidP="000C1290">
            <w:pPr>
              <w:rPr>
                <w:color w:val="000000"/>
                <w:sz w:val="15"/>
                <w:szCs w:val="15"/>
              </w:rPr>
            </w:pPr>
            <w:r w:rsidRPr="0067077E">
              <w:rPr>
                <w:color w:val="000000"/>
                <w:sz w:val="15"/>
                <w:szCs w:val="15"/>
              </w:rPr>
              <w:t>N = 86 (66 physicians, 14 pharmacists, 6 NPs or PAs)</w:t>
            </w:r>
          </w:p>
          <w:p w14:paraId="1C2CDD5F" w14:textId="77777777" w:rsidR="000C1290" w:rsidRPr="0067077E" w:rsidRDefault="000C1290" w:rsidP="000C1290">
            <w:pPr>
              <w:rPr>
                <w:sz w:val="15"/>
                <w:szCs w:val="15"/>
              </w:rPr>
            </w:pPr>
          </w:p>
        </w:tc>
        <w:tc>
          <w:tcPr>
            <w:tcW w:w="1439" w:type="dxa"/>
          </w:tcPr>
          <w:p w14:paraId="00354727" w14:textId="2CECC841" w:rsidR="000C1290" w:rsidRPr="0067077E" w:rsidRDefault="000C1290" w:rsidP="000C1290">
            <w:pPr>
              <w:rPr>
                <w:sz w:val="15"/>
                <w:szCs w:val="15"/>
              </w:rPr>
            </w:pPr>
            <w:r w:rsidRPr="0067077E">
              <w:rPr>
                <w:sz w:val="15"/>
                <w:szCs w:val="15"/>
              </w:rPr>
              <w:t>Cross-sectional study</w:t>
            </w:r>
          </w:p>
        </w:tc>
        <w:tc>
          <w:tcPr>
            <w:tcW w:w="1008" w:type="dxa"/>
          </w:tcPr>
          <w:p w14:paraId="16F75B24" w14:textId="05453CC1" w:rsidR="000C1290" w:rsidRPr="00ED3A9D" w:rsidRDefault="000C1290" w:rsidP="000C1290">
            <w:pPr>
              <w:rPr>
                <w:sz w:val="15"/>
                <w:szCs w:val="15"/>
              </w:rPr>
            </w:pPr>
            <w:r w:rsidRPr="00ED3A9D">
              <w:rPr>
                <w:sz w:val="15"/>
                <w:szCs w:val="15"/>
              </w:rPr>
              <w:t>Various indications</w:t>
            </w:r>
          </w:p>
        </w:tc>
        <w:tc>
          <w:tcPr>
            <w:tcW w:w="4388" w:type="dxa"/>
          </w:tcPr>
          <w:p w14:paraId="2A7041DB" w14:textId="61DB396F" w:rsidR="000C1290" w:rsidRPr="00875A1B" w:rsidRDefault="00113708" w:rsidP="000C1290">
            <w:pPr>
              <w:rPr>
                <w:color w:val="000000"/>
                <w:sz w:val="15"/>
                <w:szCs w:val="15"/>
              </w:rPr>
            </w:pPr>
            <w:r w:rsidRPr="00ED3A9D">
              <w:rPr>
                <w:color w:val="000000"/>
                <w:sz w:val="15"/>
                <w:szCs w:val="15"/>
              </w:rPr>
              <w:t>Older adult patients are more likely to start the conversation about MC. PCPs asked about MC use among older adults ~58% of the time. Only two-thirds of providers felt comfortable discussing the benefits and risks of cannabis with older adult patients.</w:t>
            </w:r>
          </w:p>
        </w:tc>
      </w:tr>
      <w:tr w:rsidR="0008411C" w14:paraId="63BAD468" w14:textId="77777777" w:rsidTr="00DB49DE">
        <w:tc>
          <w:tcPr>
            <w:tcW w:w="1074" w:type="dxa"/>
          </w:tcPr>
          <w:p w14:paraId="740C8A94" w14:textId="5C3399F9" w:rsidR="000C1290" w:rsidRPr="0067077E" w:rsidRDefault="000C1290" w:rsidP="000C1290">
            <w:pPr>
              <w:rPr>
                <w:color w:val="000000"/>
                <w:sz w:val="15"/>
                <w:szCs w:val="15"/>
              </w:rPr>
            </w:pPr>
            <w:proofErr w:type="spellStart"/>
            <w:r w:rsidRPr="0067077E">
              <w:rPr>
                <w:color w:val="000000"/>
                <w:sz w:val="15"/>
                <w:szCs w:val="15"/>
              </w:rPr>
              <w:t>Bobitt</w:t>
            </w:r>
            <w:proofErr w:type="spellEnd"/>
            <w:r w:rsidRPr="0067077E">
              <w:rPr>
                <w:color w:val="000000"/>
                <w:sz w:val="15"/>
                <w:szCs w:val="15"/>
              </w:rPr>
              <w:t>, et al. (2025)</w:t>
            </w:r>
            <w:r w:rsidR="0017641E">
              <w:rPr>
                <w:color w:val="000000"/>
                <w:sz w:val="15"/>
                <w:szCs w:val="15"/>
              </w:rPr>
              <w:t xml:space="preserve"> [34]</w:t>
            </w:r>
          </w:p>
          <w:p w14:paraId="72BBD035" w14:textId="77777777" w:rsidR="000C1290" w:rsidRPr="0067077E" w:rsidRDefault="000C1290" w:rsidP="000C1290">
            <w:pPr>
              <w:rPr>
                <w:sz w:val="15"/>
                <w:szCs w:val="15"/>
              </w:rPr>
            </w:pPr>
          </w:p>
        </w:tc>
        <w:tc>
          <w:tcPr>
            <w:tcW w:w="1441" w:type="dxa"/>
          </w:tcPr>
          <w:p w14:paraId="2A2F710C" w14:textId="4A8B0325" w:rsidR="000C1290" w:rsidRPr="00056A78" w:rsidRDefault="000C1290" w:rsidP="000C1290">
            <w:pPr>
              <w:rPr>
                <w:color w:val="000000"/>
                <w:sz w:val="15"/>
                <w:szCs w:val="15"/>
              </w:rPr>
            </w:pPr>
            <w:r w:rsidRPr="0067077E">
              <w:rPr>
                <w:color w:val="000000"/>
                <w:sz w:val="15"/>
                <w:szCs w:val="15"/>
              </w:rPr>
              <w:t>N = 50 (physicians, PAs, NPs, pharmacists, geriatricians, and pain specialists)</w:t>
            </w:r>
          </w:p>
        </w:tc>
        <w:tc>
          <w:tcPr>
            <w:tcW w:w="1439" w:type="dxa"/>
          </w:tcPr>
          <w:p w14:paraId="7910B37F" w14:textId="12CB2322" w:rsidR="000C1290" w:rsidRPr="0067077E" w:rsidRDefault="000C1290" w:rsidP="000C1290">
            <w:pPr>
              <w:rPr>
                <w:sz w:val="15"/>
                <w:szCs w:val="15"/>
              </w:rPr>
            </w:pPr>
            <w:r w:rsidRPr="0067077E">
              <w:rPr>
                <w:sz w:val="15"/>
                <w:szCs w:val="15"/>
              </w:rPr>
              <w:t>Cross-sectional study</w:t>
            </w:r>
          </w:p>
        </w:tc>
        <w:tc>
          <w:tcPr>
            <w:tcW w:w="1008" w:type="dxa"/>
          </w:tcPr>
          <w:p w14:paraId="10C2FCAF" w14:textId="4C387B8C" w:rsidR="000C1290" w:rsidRPr="00ED3A9D" w:rsidRDefault="000C1290" w:rsidP="000C1290">
            <w:pPr>
              <w:rPr>
                <w:sz w:val="15"/>
                <w:szCs w:val="15"/>
              </w:rPr>
            </w:pPr>
            <w:r w:rsidRPr="00ED3A9D">
              <w:rPr>
                <w:sz w:val="15"/>
                <w:szCs w:val="15"/>
              </w:rPr>
              <w:t>Various indications</w:t>
            </w:r>
          </w:p>
        </w:tc>
        <w:tc>
          <w:tcPr>
            <w:tcW w:w="4388" w:type="dxa"/>
          </w:tcPr>
          <w:p w14:paraId="23648E7B" w14:textId="32374386" w:rsidR="000C1290" w:rsidRPr="00875A1B" w:rsidRDefault="00113708" w:rsidP="000C1290">
            <w:pPr>
              <w:rPr>
                <w:color w:val="000000"/>
                <w:sz w:val="15"/>
                <w:szCs w:val="15"/>
              </w:rPr>
            </w:pPr>
            <w:r w:rsidRPr="00ED3A9D">
              <w:rPr>
                <w:color w:val="000000"/>
                <w:sz w:val="15"/>
                <w:szCs w:val="15"/>
              </w:rPr>
              <w:t>81.6% of providers believe cannabis use is acceptable for end-of-life care. If a patient tests positive for THC less than 1/3 of respondents would encourage the patient to not use cannabis. 65% of Illinois providers say they review the literature related to MC while only 41.4% in Wisconsin do.</w:t>
            </w:r>
          </w:p>
        </w:tc>
      </w:tr>
      <w:tr w:rsidR="0008411C" w14:paraId="398C4E7B" w14:textId="77777777" w:rsidTr="00DB49DE">
        <w:tc>
          <w:tcPr>
            <w:tcW w:w="1074" w:type="dxa"/>
          </w:tcPr>
          <w:p w14:paraId="396C54F6" w14:textId="1FD65CA7" w:rsidR="000C1290" w:rsidRPr="0067077E" w:rsidRDefault="000C1290" w:rsidP="000C1290">
            <w:pPr>
              <w:rPr>
                <w:color w:val="000000"/>
                <w:sz w:val="15"/>
                <w:szCs w:val="15"/>
              </w:rPr>
            </w:pPr>
            <w:r w:rsidRPr="0067077E">
              <w:rPr>
                <w:color w:val="000000"/>
                <w:sz w:val="15"/>
                <w:szCs w:val="15"/>
              </w:rPr>
              <w:t>Griffith, et al. (2024)</w:t>
            </w:r>
            <w:r w:rsidR="00D83B9A">
              <w:rPr>
                <w:color w:val="000000"/>
                <w:sz w:val="15"/>
                <w:szCs w:val="15"/>
              </w:rPr>
              <w:t xml:space="preserve"> [43]</w:t>
            </w:r>
          </w:p>
          <w:p w14:paraId="11737DD0" w14:textId="77777777" w:rsidR="000C1290" w:rsidRPr="0067077E" w:rsidRDefault="000C1290" w:rsidP="000C1290">
            <w:pPr>
              <w:rPr>
                <w:sz w:val="15"/>
                <w:szCs w:val="15"/>
              </w:rPr>
            </w:pPr>
          </w:p>
        </w:tc>
        <w:tc>
          <w:tcPr>
            <w:tcW w:w="1441" w:type="dxa"/>
          </w:tcPr>
          <w:p w14:paraId="16AE5AD9" w14:textId="52047011" w:rsidR="000C1290" w:rsidRPr="00056A78" w:rsidRDefault="000C1290" w:rsidP="000C1290">
            <w:pPr>
              <w:rPr>
                <w:color w:val="000000"/>
                <w:sz w:val="15"/>
                <w:szCs w:val="15"/>
              </w:rPr>
            </w:pPr>
            <w:r w:rsidRPr="0067077E">
              <w:rPr>
                <w:color w:val="000000"/>
                <w:sz w:val="15"/>
                <w:szCs w:val="15"/>
              </w:rPr>
              <w:t>N = 20 (movement disorder specialists and neurologists)</w:t>
            </w:r>
          </w:p>
        </w:tc>
        <w:tc>
          <w:tcPr>
            <w:tcW w:w="1439" w:type="dxa"/>
          </w:tcPr>
          <w:p w14:paraId="39DFF8D8" w14:textId="160F87B3" w:rsidR="000C1290" w:rsidRPr="0067077E" w:rsidRDefault="000C1290" w:rsidP="000C1290">
            <w:pPr>
              <w:rPr>
                <w:sz w:val="15"/>
                <w:szCs w:val="15"/>
              </w:rPr>
            </w:pPr>
            <w:r w:rsidRPr="0067077E">
              <w:rPr>
                <w:sz w:val="15"/>
                <w:szCs w:val="15"/>
              </w:rPr>
              <w:t>Cross-sectional study</w:t>
            </w:r>
          </w:p>
        </w:tc>
        <w:tc>
          <w:tcPr>
            <w:tcW w:w="1008" w:type="dxa"/>
          </w:tcPr>
          <w:p w14:paraId="605A5148" w14:textId="788153FB" w:rsidR="000C1290" w:rsidRPr="00ED3A9D" w:rsidRDefault="00E01151" w:rsidP="000C1290">
            <w:pPr>
              <w:rPr>
                <w:sz w:val="15"/>
                <w:szCs w:val="15"/>
              </w:rPr>
            </w:pPr>
            <w:r w:rsidRPr="00ED3A9D">
              <w:rPr>
                <w:sz w:val="15"/>
                <w:szCs w:val="15"/>
              </w:rPr>
              <w:t>Parkinson's</w:t>
            </w:r>
          </w:p>
        </w:tc>
        <w:tc>
          <w:tcPr>
            <w:tcW w:w="4388" w:type="dxa"/>
          </w:tcPr>
          <w:p w14:paraId="03ED16B2" w14:textId="0D262A40" w:rsidR="000C1290" w:rsidRPr="00875A1B" w:rsidRDefault="00E92E0C" w:rsidP="000C1290">
            <w:pPr>
              <w:rPr>
                <w:color w:val="000000"/>
                <w:sz w:val="15"/>
                <w:szCs w:val="15"/>
              </w:rPr>
            </w:pPr>
            <w:r w:rsidRPr="00ED3A9D">
              <w:rPr>
                <w:color w:val="000000"/>
                <w:sz w:val="15"/>
                <w:szCs w:val="15"/>
              </w:rPr>
              <w:t>65% of physicians were unaware of any contaminants commonly found in cannabis and only 25%, 15%, and 15% of them were aware of pesticide, toxic element, and solvent contaminants, respectively.</w:t>
            </w:r>
          </w:p>
        </w:tc>
      </w:tr>
      <w:tr w:rsidR="0008411C" w14:paraId="73C8997A" w14:textId="77777777" w:rsidTr="00DB49DE">
        <w:tc>
          <w:tcPr>
            <w:tcW w:w="1074" w:type="dxa"/>
          </w:tcPr>
          <w:p w14:paraId="4ACF9E37" w14:textId="3772C239" w:rsidR="000C1290" w:rsidRPr="0067077E" w:rsidRDefault="000C1290" w:rsidP="000C1290">
            <w:pPr>
              <w:rPr>
                <w:color w:val="000000"/>
                <w:sz w:val="15"/>
                <w:szCs w:val="15"/>
              </w:rPr>
            </w:pPr>
            <w:r w:rsidRPr="0067077E">
              <w:rPr>
                <w:color w:val="000000"/>
                <w:sz w:val="15"/>
                <w:szCs w:val="15"/>
              </w:rPr>
              <w:t>McCall, et al. (2023)</w:t>
            </w:r>
            <w:r w:rsidR="00445C56">
              <w:rPr>
                <w:color w:val="000000"/>
                <w:sz w:val="15"/>
                <w:szCs w:val="15"/>
              </w:rPr>
              <w:t xml:space="preserve"> [28]</w:t>
            </w:r>
          </w:p>
          <w:p w14:paraId="56AB97C7" w14:textId="77777777" w:rsidR="000C1290" w:rsidRPr="0067077E" w:rsidRDefault="000C1290" w:rsidP="000C1290">
            <w:pPr>
              <w:rPr>
                <w:sz w:val="15"/>
                <w:szCs w:val="15"/>
              </w:rPr>
            </w:pPr>
          </w:p>
        </w:tc>
        <w:tc>
          <w:tcPr>
            <w:tcW w:w="1441" w:type="dxa"/>
          </w:tcPr>
          <w:p w14:paraId="0FEA97FE" w14:textId="539FDF5F" w:rsidR="000C1290" w:rsidRPr="0067077E" w:rsidRDefault="000C1290" w:rsidP="000C1290">
            <w:pPr>
              <w:rPr>
                <w:color w:val="000000"/>
                <w:sz w:val="15"/>
                <w:szCs w:val="15"/>
              </w:rPr>
            </w:pPr>
            <w:r w:rsidRPr="0067077E">
              <w:rPr>
                <w:color w:val="000000"/>
                <w:sz w:val="15"/>
                <w:szCs w:val="15"/>
              </w:rPr>
              <w:t>N = 809 (nurses)</w:t>
            </w:r>
          </w:p>
        </w:tc>
        <w:tc>
          <w:tcPr>
            <w:tcW w:w="1439" w:type="dxa"/>
          </w:tcPr>
          <w:p w14:paraId="35D5B7ED" w14:textId="6CD5A847" w:rsidR="000C1290" w:rsidRPr="0067077E" w:rsidRDefault="000C1290" w:rsidP="000C1290">
            <w:pPr>
              <w:rPr>
                <w:sz w:val="15"/>
                <w:szCs w:val="15"/>
              </w:rPr>
            </w:pPr>
            <w:r w:rsidRPr="0067077E">
              <w:rPr>
                <w:sz w:val="15"/>
                <w:szCs w:val="15"/>
              </w:rPr>
              <w:t>Cross-sectional study</w:t>
            </w:r>
          </w:p>
        </w:tc>
        <w:tc>
          <w:tcPr>
            <w:tcW w:w="1008" w:type="dxa"/>
          </w:tcPr>
          <w:p w14:paraId="62FDD1F7" w14:textId="7AF9FCA8" w:rsidR="000C1290" w:rsidRPr="00ED3A9D" w:rsidRDefault="00E01151" w:rsidP="000C1290">
            <w:pPr>
              <w:rPr>
                <w:sz w:val="15"/>
                <w:szCs w:val="15"/>
              </w:rPr>
            </w:pPr>
            <w:r w:rsidRPr="00ED3A9D">
              <w:rPr>
                <w:sz w:val="15"/>
                <w:szCs w:val="15"/>
              </w:rPr>
              <w:t>Emergent or adult critical care</w:t>
            </w:r>
          </w:p>
        </w:tc>
        <w:tc>
          <w:tcPr>
            <w:tcW w:w="4388" w:type="dxa"/>
          </w:tcPr>
          <w:p w14:paraId="3E6CECE3" w14:textId="0C2F8011" w:rsidR="000C1290" w:rsidRPr="00875A1B" w:rsidRDefault="00E92E0C" w:rsidP="000C1290">
            <w:pPr>
              <w:rPr>
                <w:color w:val="000000"/>
                <w:sz w:val="15"/>
                <w:szCs w:val="15"/>
              </w:rPr>
            </w:pPr>
            <w:r w:rsidRPr="00ED3A9D">
              <w:rPr>
                <w:color w:val="000000"/>
                <w:sz w:val="15"/>
                <w:szCs w:val="15"/>
              </w:rPr>
              <w:t>There were no statistically significant differences in nursing attitudes toward patient cannabis use based on their state's legal status. No significant differences related to patient care setting.  However, women who used cannabis in pregnancy made nurses perceive them harsher. Nurses cited a need for further education on this topic.</w:t>
            </w:r>
          </w:p>
        </w:tc>
      </w:tr>
      <w:tr w:rsidR="0008411C" w14:paraId="0A585FBD" w14:textId="77777777" w:rsidTr="00DB49DE">
        <w:tc>
          <w:tcPr>
            <w:tcW w:w="1074" w:type="dxa"/>
          </w:tcPr>
          <w:p w14:paraId="393A9BA1" w14:textId="28FAF3A2" w:rsidR="000C1290" w:rsidRPr="0067077E" w:rsidRDefault="000C1290" w:rsidP="000C1290">
            <w:pPr>
              <w:rPr>
                <w:color w:val="000000"/>
                <w:sz w:val="15"/>
                <w:szCs w:val="15"/>
              </w:rPr>
            </w:pPr>
            <w:r w:rsidRPr="0067077E">
              <w:rPr>
                <w:color w:val="000000"/>
                <w:sz w:val="15"/>
                <w:szCs w:val="15"/>
              </w:rPr>
              <w:t>Sherry, et al. (2024)</w:t>
            </w:r>
            <w:r w:rsidR="001F34C8">
              <w:rPr>
                <w:color w:val="000000"/>
                <w:sz w:val="15"/>
                <w:szCs w:val="15"/>
              </w:rPr>
              <w:t xml:space="preserve"> [41]</w:t>
            </w:r>
          </w:p>
          <w:p w14:paraId="71B4D56D" w14:textId="77777777" w:rsidR="000C1290" w:rsidRPr="0067077E" w:rsidRDefault="000C1290" w:rsidP="000C1290">
            <w:pPr>
              <w:rPr>
                <w:sz w:val="15"/>
                <w:szCs w:val="15"/>
              </w:rPr>
            </w:pPr>
          </w:p>
        </w:tc>
        <w:tc>
          <w:tcPr>
            <w:tcW w:w="1441" w:type="dxa"/>
          </w:tcPr>
          <w:p w14:paraId="392896B1" w14:textId="77777777" w:rsidR="000C1290" w:rsidRPr="0067077E" w:rsidRDefault="000C1290" w:rsidP="000C1290">
            <w:pPr>
              <w:rPr>
                <w:color w:val="000000"/>
                <w:sz w:val="15"/>
                <w:szCs w:val="15"/>
              </w:rPr>
            </w:pPr>
            <w:r w:rsidRPr="0067077E">
              <w:rPr>
                <w:color w:val="000000"/>
                <w:sz w:val="15"/>
                <w:szCs w:val="15"/>
              </w:rPr>
              <w:t>N = 123 (Hospice and palliative medicine fellows)</w:t>
            </w:r>
          </w:p>
          <w:p w14:paraId="416CBD65" w14:textId="77777777" w:rsidR="000C1290" w:rsidRPr="0067077E" w:rsidRDefault="000C1290" w:rsidP="000C1290">
            <w:pPr>
              <w:rPr>
                <w:sz w:val="15"/>
                <w:szCs w:val="15"/>
              </w:rPr>
            </w:pPr>
          </w:p>
        </w:tc>
        <w:tc>
          <w:tcPr>
            <w:tcW w:w="1439" w:type="dxa"/>
          </w:tcPr>
          <w:p w14:paraId="03AA9CD8" w14:textId="5BA5AC38" w:rsidR="000C1290" w:rsidRPr="0067077E" w:rsidRDefault="000C1290" w:rsidP="000C1290">
            <w:pPr>
              <w:rPr>
                <w:sz w:val="15"/>
                <w:szCs w:val="15"/>
              </w:rPr>
            </w:pPr>
            <w:r w:rsidRPr="0067077E">
              <w:rPr>
                <w:sz w:val="15"/>
                <w:szCs w:val="15"/>
              </w:rPr>
              <w:t>Cross-sectional study</w:t>
            </w:r>
          </w:p>
        </w:tc>
        <w:tc>
          <w:tcPr>
            <w:tcW w:w="1008" w:type="dxa"/>
          </w:tcPr>
          <w:p w14:paraId="434FB314" w14:textId="4C5E702A" w:rsidR="000C1290" w:rsidRPr="00ED3A9D" w:rsidRDefault="00E01151" w:rsidP="000C1290">
            <w:pPr>
              <w:rPr>
                <w:sz w:val="15"/>
                <w:szCs w:val="15"/>
              </w:rPr>
            </w:pPr>
            <w:r w:rsidRPr="00ED3A9D">
              <w:rPr>
                <w:sz w:val="15"/>
                <w:szCs w:val="15"/>
              </w:rPr>
              <w:t>Nausea, lack of appetite, pain</w:t>
            </w:r>
          </w:p>
        </w:tc>
        <w:tc>
          <w:tcPr>
            <w:tcW w:w="4388" w:type="dxa"/>
          </w:tcPr>
          <w:p w14:paraId="6395F156" w14:textId="1550C31A" w:rsidR="000C1290" w:rsidRPr="00875A1B" w:rsidRDefault="00DA2F3E" w:rsidP="000C1290">
            <w:pPr>
              <w:rPr>
                <w:color w:val="000000"/>
                <w:sz w:val="15"/>
                <w:szCs w:val="15"/>
              </w:rPr>
            </w:pPr>
            <w:r w:rsidRPr="00ED3A9D">
              <w:rPr>
                <w:color w:val="000000"/>
                <w:sz w:val="15"/>
                <w:szCs w:val="15"/>
              </w:rPr>
              <w:t>Need for further education as over half of trainees reported discussing medical cannabis with patients. However, few considered themselves sufficiently informed to make cannabis-related clinical recommendations.  Need improved didactics and evidence bases reports.</w:t>
            </w:r>
          </w:p>
        </w:tc>
      </w:tr>
      <w:tr w:rsidR="0008411C" w14:paraId="15F940F0" w14:textId="77777777" w:rsidTr="00DB49DE">
        <w:tc>
          <w:tcPr>
            <w:tcW w:w="1074" w:type="dxa"/>
          </w:tcPr>
          <w:p w14:paraId="4AA0AF36" w14:textId="065C1624" w:rsidR="000C1290" w:rsidRPr="0067077E" w:rsidRDefault="000C1290" w:rsidP="000C1290">
            <w:pPr>
              <w:rPr>
                <w:color w:val="000000"/>
                <w:sz w:val="15"/>
                <w:szCs w:val="15"/>
              </w:rPr>
            </w:pPr>
            <w:r w:rsidRPr="0067077E">
              <w:rPr>
                <w:color w:val="000000"/>
                <w:sz w:val="15"/>
                <w:szCs w:val="15"/>
              </w:rPr>
              <w:t>Meyers, et al. (2024)</w:t>
            </w:r>
            <w:r w:rsidR="007A1B96">
              <w:rPr>
                <w:color w:val="000000"/>
                <w:sz w:val="15"/>
                <w:szCs w:val="15"/>
              </w:rPr>
              <w:t xml:space="preserve"> [51]</w:t>
            </w:r>
          </w:p>
          <w:p w14:paraId="7B5D93EC" w14:textId="77777777" w:rsidR="000C1290" w:rsidRPr="0067077E" w:rsidRDefault="000C1290" w:rsidP="000C1290">
            <w:pPr>
              <w:jc w:val="center"/>
              <w:rPr>
                <w:sz w:val="15"/>
                <w:szCs w:val="15"/>
              </w:rPr>
            </w:pPr>
          </w:p>
        </w:tc>
        <w:tc>
          <w:tcPr>
            <w:tcW w:w="1441" w:type="dxa"/>
          </w:tcPr>
          <w:p w14:paraId="3D0A898B" w14:textId="5F7AF419" w:rsidR="000C1290" w:rsidRPr="0067077E" w:rsidRDefault="000C1290" w:rsidP="000C1290">
            <w:pPr>
              <w:rPr>
                <w:color w:val="000000"/>
                <w:sz w:val="15"/>
                <w:szCs w:val="15"/>
              </w:rPr>
            </w:pPr>
            <w:r w:rsidRPr="0067077E">
              <w:rPr>
                <w:color w:val="000000"/>
                <w:sz w:val="15"/>
                <w:szCs w:val="15"/>
              </w:rPr>
              <w:t>N = 43 (physician, nurse, pharmacist, and nurse practitioners, and nurse and pharmacy technicians)</w:t>
            </w:r>
          </w:p>
          <w:p w14:paraId="5000C2C3" w14:textId="77777777" w:rsidR="000C1290" w:rsidRPr="0067077E" w:rsidRDefault="000C1290" w:rsidP="000C1290">
            <w:pPr>
              <w:rPr>
                <w:sz w:val="15"/>
                <w:szCs w:val="15"/>
              </w:rPr>
            </w:pPr>
          </w:p>
        </w:tc>
        <w:tc>
          <w:tcPr>
            <w:tcW w:w="1439" w:type="dxa"/>
          </w:tcPr>
          <w:p w14:paraId="483CA09C" w14:textId="7DCCC6EB" w:rsidR="000C1290" w:rsidRPr="0067077E" w:rsidRDefault="000C1290" w:rsidP="000C1290">
            <w:pPr>
              <w:rPr>
                <w:sz w:val="15"/>
                <w:szCs w:val="15"/>
              </w:rPr>
            </w:pPr>
            <w:r w:rsidRPr="0067077E">
              <w:rPr>
                <w:sz w:val="15"/>
                <w:szCs w:val="15"/>
              </w:rPr>
              <w:t>Cross-sectional study</w:t>
            </w:r>
          </w:p>
        </w:tc>
        <w:tc>
          <w:tcPr>
            <w:tcW w:w="1008" w:type="dxa"/>
          </w:tcPr>
          <w:p w14:paraId="58EA5E7B" w14:textId="7348E585" w:rsidR="000C1290" w:rsidRPr="00ED3A9D" w:rsidRDefault="00E01151" w:rsidP="000C1290">
            <w:pPr>
              <w:rPr>
                <w:sz w:val="15"/>
                <w:szCs w:val="15"/>
              </w:rPr>
            </w:pPr>
            <w:r w:rsidRPr="00ED3A9D">
              <w:rPr>
                <w:sz w:val="15"/>
                <w:szCs w:val="15"/>
              </w:rPr>
              <w:t>Cancer or epilepsy</w:t>
            </w:r>
          </w:p>
        </w:tc>
        <w:tc>
          <w:tcPr>
            <w:tcW w:w="4388" w:type="dxa"/>
          </w:tcPr>
          <w:p w14:paraId="32377E69" w14:textId="56597564" w:rsidR="000C1290" w:rsidRPr="00875A1B" w:rsidRDefault="00F82E42" w:rsidP="000C1290">
            <w:pPr>
              <w:rPr>
                <w:color w:val="000000"/>
                <w:sz w:val="15"/>
                <w:szCs w:val="15"/>
              </w:rPr>
            </w:pPr>
            <w:r w:rsidRPr="00ED3A9D">
              <w:rPr>
                <w:color w:val="000000"/>
                <w:sz w:val="15"/>
                <w:szCs w:val="15"/>
              </w:rPr>
              <w:t>Pretest: participants ≥56 years of age were more apprehensive to the use of marijuana medically or recreationally compared to those ≤35 of age. Knowledge of pharmacologic parameters and laws was lacking for these providers. After the educational session, there was some improvement. A need for better education and randomized controlled trials is needed.</w:t>
            </w:r>
          </w:p>
        </w:tc>
      </w:tr>
      <w:tr w:rsidR="0008411C" w14:paraId="7592CC18" w14:textId="77777777" w:rsidTr="00DB49DE">
        <w:tc>
          <w:tcPr>
            <w:tcW w:w="1074" w:type="dxa"/>
          </w:tcPr>
          <w:p w14:paraId="4220CAEE" w14:textId="0D641B81" w:rsidR="000C1290" w:rsidRPr="0067077E" w:rsidRDefault="000C1290" w:rsidP="000C1290">
            <w:pPr>
              <w:rPr>
                <w:color w:val="000000"/>
                <w:sz w:val="15"/>
                <w:szCs w:val="15"/>
              </w:rPr>
            </w:pPr>
            <w:proofErr w:type="spellStart"/>
            <w:r w:rsidRPr="0067077E">
              <w:rPr>
                <w:color w:val="000000"/>
                <w:sz w:val="15"/>
                <w:szCs w:val="15"/>
              </w:rPr>
              <w:t>Kitsantas</w:t>
            </w:r>
            <w:proofErr w:type="spellEnd"/>
            <w:r w:rsidRPr="0067077E">
              <w:rPr>
                <w:color w:val="000000"/>
                <w:sz w:val="15"/>
                <w:szCs w:val="15"/>
              </w:rPr>
              <w:t xml:space="preserve"> &amp; Pursell (2024)</w:t>
            </w:r>
            <w:r w:rsidR="008F2B9F">
              <w:rPr>
                <w:color w:val="000000"/>
                <w:sz w:val="15"/>
                <w:szCs w:val="15"/>
              </w:rPr>
              <w:t xml:space="preserve"> [29]</w:t>
            </w:r>
          </w:p>
          <w:p w14:paraId="163CF2E9" w14:textId="77777777" w:rsidR="000C1290" w:rsidRPr="0067077E" w:rsidRDefault="000C1290" w:rsidP="000C1290">
            <w:pPr>
              <w:rPr>
                <w:sz w:val="15"/>
                <w:szCs w:val="15"/>
              </w:rPr>
            </w:pPr>
          </w:p>
        </w:tc>
        <w:tc>
          <w:tcPr>
            <w:tcW w:w="1441" w:type="dxa"/>
          </w:tcPr>
          <w:p w14:paraId="0F7943FA" w14:textId="77777777" w:rsidR="000C1290" w:rsidRPr="0067077E" w:rsidRDefault="000C1290" w:rsidP="000C1290">
            <w:pPr>
              <w:rPr>
                <w:color w:val="000000"/>
                <w:sz w:val="15"/>
                <w:szCs w:val="15"/>
              </w:rPr>
            </w:pPr>
            <w:r w:rsidRPr="0067077E">
              <w:rPr>
                <w:color w:val="000000"/>
                <w:sz w:val="15"/>
                <w:szCs w:val="15"/>
              </w:rPr>
              <w:t>N = 75 (Health care providers)</w:t>
            </w:r>
          </w:p>
          <w:p w14:paraId="3B3F7F34" w14:textId="77777777" w:rsidR="000C1290" w:rsidRPr="0067077E" w:rsidRDefault="000C1290" w:rsidP="000C1290">
            <w:pPr>
              <w:rPr>
                <w:sz w:val="15"/>
                <w:szCs w:val="15"/>
              </w:rPr>
            </w:pPr>
          </w:p>
        </w:tc>
        <w:tc>
          <w:tcPr>
            <w:tcW w:w="1439" w:type="dxa"/>
          </w:tcPr>
          <w:p w14:paraId="0DFFCE54" w14:textId="33F818C3" w:rsidR="000C1290" w:rsidRPr="0067077E" w:rsidRDefault="000C1290" w:rsidP="000C1290">
            <w:pPr>
              <w:rPr>
                <w:sz w:val="15"/>
                <w:szCs w:val="15"/>
              </w:rPr>
            </w:pPr>
            <w:r w:rsidRPr="0067077E">
              <w:rPr>
                <w:sz w:val="15"/>
                <w:szCs w:val="15"/>
              </w:rPr>
              <w:t>Cross-sectional study</w:t>
            </w:r>
          </w:p>
        </w:tc>
        <w:tc>
          <w:tcPr>
            <w:tcW w:w="1008" w:type="dxa"/>
          </w:tcPr>
          <w:p w14:paraId="299B173A" w14:textId="33CA404B" w:rsidR="000C1290" w:rsidRPr="00ED3A9D" w:rsidRDefault="00E01151" w:rsidP="000C1290">
            <w:pPr>
              <w:rPr>
                <w:sz w:val="15"/>
                <w:szCs w:val="15"/>
              </w:rPr>
            </w:pPr>
            <w:r w:rsidRPr="00ED3A9D">
              <w:rPr>
                <w:sz w:val="15"/>
                <w:szCs w:val="15"/>
              </w:rPr>
              <w:t>Nausea, lack of appetite, anxiety</w:t>
            </w:r>
          </w:p>
        </w:tc>
        <w:tc>
          <w:tcPr>
            <w:tcW w:w="4388" w:type="dxa"/>
          </w:tcPr>
          <w:p w14:paraId="3DD6D414" w14:textId="0F4C1CE9" w:rsidR="000C1290" w:rsidRPr="00056A78" w:rsidRDefault="00F82E42" w:rsidP="000C1290">
            <w:pPr>
              <w:rPr>
                <w:color w:val="000000"/>
                <w:sz w:val="15"/>
                <w:szCs w:val="15"/>
              </w:rPr>
            </w:pPr>
            <w:r w:rsidRPr="00ED3A9D">
              <w:rPr>
                <w:color w:val="000000"/>
                <w:sz w:val="15"/>
                <w:szCs w:val="15"/>
              </w:rPr>
              <w:t>HCP are not equipped to make appropriate recommendations and guide decision-making on the use of cannabis in pregnant and postpartum patients. Not sure of the short and long-term impact of MC in mother and infant. There is no process for screening or follow-up for their patients</w:t>
            </w:r>
          </w:p>
        </w:tc>
      </w:tr>
      <w:tr w:rsidR="00A245AC" w14:paraId="78A01CF7" w14:textId="77777777" w:rsidTr="00DB49DE">
        <w:tc>
          <w:tcPr>
            <w:tcW w:w="1074" w:type="dxa"/>
          </w:tcPr>
          <w:p w14:paraId="4D3C4156" w14:textId="1C6D7C8E" w:rsidR="000C1290" w:rsidRPr="0067077E" w:rsidRDefault="000C1290" w:rsidP="000C1290">
            <w:pPr>
              <w:rPr>
                <w:color w:val="000000"/>
                <w:sz w:val="15"/>
                <w:szCs w:val="15"/>
              </w:rPr>
            </w:pPr>
            <w:r w:rsidRPr="0067077E">
              <w:rPr>
                <w:color w:val="000000"/>
                <w:sz w:val="15"/>
                <w:szCs w:val="15"/>
              </w:rPr>
              <w:lastRenderedPageBreak/>
              <w:t>Kruger, et al. (2024)</w:t>
            </w:r>
            <w:r w:rsidR="00110B8D">
              <w:rPr>
                <w:color w:val="000000"/>
                <w:sz w:val="15"/>
                <w:szCs w:val="15"/>
              </w:rPr>
              <w:t xml:space="preserve"> [46]</w:t>
            </w:r>
          </w:p>
          <w:p w14:paraId="0B3925D3" w14:textId="77777777" w:rsidR="000C1290" w:rsidRPr="0067077E" w:rsidRDefault="000C1290" w:rsidP="000C1290">
            <w:pPr>
              <w:rPr>
                <w:sz w:val="15"/>
                <w:szCs w:val="15"/>
              </w:rPr>
            </w:pPr>
          </w:p>
        </w:tc>
        <w:tc>
          <w:tcPr>
            <w:tcW w:w="1441" w:type="dxa"/>
          </w:tcPr>
          <w:p w14:paraId="00E4A943" w14:textId="77777777" w:rsidR="000C1290" w:rsidRPr="0067077E" w:rsidRDefault="000C1290" w:rsidP="000C1290">
            <w:pPr>
              <w:rPr>
                <w:color w:val="000000"/>
                <w:sz w:val="15"/>
                <w:szCs w:val="15"/>
              </w:rPr>
            </w:pPr>
            <w:r w:rsidRPr="0067077E">
              <w:rPr>
                <w:color w:val="000000"/>
                <w:sz w:val="15"/>
                <w:szCs w:val="15"/>
              </w:rPr>
              <w:t>N = 244 physicians</w:t>
            </w:r>
          </w:p>
          <w:p w14:paraId="2A6CCB86" w14:textId="77777777" w:rsidR="000C1290" w:rsidRPr="0067077E" w:rsidRDefault="000C1290" w:rsidP="000C1290">
            <w:pPr>
              <w:rPr>
                <w:sz w:val="15"/>
                <w:szCs w:val="15"/>
              </w:rPr>
            </w:pPr>
          </w:p>
        </w:tc>
        <w:tc>
          <w:tcPr>
            <w:tcW w:w="1439" w:type="dxa"/>
          </w:tcPr>
          <w:p w14:paraId="2AC88C2D" w14:textId="4FDAC030" w:rsidR="000C1290" w:rsidRPr="0067077E" w:rsidRDefault="000C1290" w:rsidP="000C1290">
            <w:pPr>
              <w:rPr>
                <w:sz w:val="15"/>
                <w:szCs w:val="15"/>
              </w:rPr>
            </w:pPr>
            <w:r w:rsidRPr="0067077E">
              <w:rPr>
                <w:sz w:val="15"/>
                <w:szCs w:val="15"/>
              </w:rPr>
              <w:t>Cross-sectional study</w:t>
            </w:r>
          </w:p>
        </w:tc>
        <w:tc>
          <w:tcPr>
            <w:tcW w:w="1008" w:type="dxa"/>
          </w:tcPr>
          <w:p w14:paraId="6AB67289" w14:textId="30BD0ADA" w:rsidR="000C1290" w:rsidRPr="00ED3A9D" w:rsidRDefault="00E01151" w:rsidP="000C1290">
            <w:pPr>
              <w:rPr>
                <w:sz w:val="15"/>
                <w:szCs w:val="15"/>
              </w:rPr>
            </w:pPr>
            <w:r w:rsidRPr="00ED3A9D">
              <w:rPr>
                <w:sz w:val="15"/>
                <w:szCs w:val="15"/>
              </w:rPr>
              <w:t>Various indications</w:t>
            </w:r>
          </w:p>
        </w:tc>
        <w:tc>
          <w:tcPr>
            <w:tcW w:w="4388" w:type="dxa"/>
          </w:tcPr>
          <w:p w14:paraId="7454E9F4" w14:textId="52E08D2C" w:rsidR="000C1290" w:rsidRPr="00875A1B" w:rsidRDefault="00F82E42" w:rsidP="000C1290">
            <w:pPr>
              <w:rPr>
                <w:color w:val="000000"/>
                <w:sz w:val="15"/>
                <w:szCs w:val="15"/>
              </w:rPr>
            </w:pPr>
            <w:r w:rsidRPr="00ED3A9D">
              <w:rPr>
                <w:color w:val="000000"/>
                <w:sz w:val="15"/>
                <w:szCs w:val="15"/>
              </w:rPr>
              <w:t xml:space="preserve">8.1% considered themselves very or extremely knowledgeable; 64% uncomfortable integrating MC into patient's treatment; 30% reported no educational experience; 14% not knowledgeable at all, 46% slightly knowledgeable; most common reason for not recommending </w:t>
            </w:r>
            <w:r w:rsidR="00266DB0">
              <w:rPr>
                <w:color w:val="000000"/>
                <w:sz w:val="15"/>
                <w:szCs w:val="15"/>
              </w:rPr>
              <w:t>was</w:t>
            </w:r>
            <w:r w:rsidRPr="00ED3A9D">
              <w:rPr>
                <w:color w:val="000000"/>
                <w:sz w:val="15"/>
                <w:szCs w:val="15"/>
              </w:rPr>
              <w:t xml:space="preserve"> lack of knowledge; physicians with more years in practice and younger age were more likely to recommend.</w:t>
            </w:r>
          </w:p>
        </w:tc>
      </w:tr>
    </w:tbl>
    <w:p w14:paraId="074743A8" w14:textId="77777777" w:rsidR="00CB329C" w:rsidRDefault="00CB329C"/>
    <w:sectPr w:rsidR="00CB329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84B38" w14:textId="77777777" w:rsidR="0006494D" w:rsidRDefault="0006494D" w:rsidP="00987712">
      <w:r>
        <w:separator/>
      </w:r>
    </w:p>
  </w:endnote>
  <w:endnote w:type="continuationSeparator" w:id="0">
    <w:p w14:paraId="148F83FF" w14:textId="77777777" w:rsidR="0006494D" w:rsidRDefault="0006494D" w:rsidP="00987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A4E2E" w14:textId="77777777" w:rsidR="0006494D" w:rsidRDefault="0006494D" w:rsidP="00987712">
      <w:r>
        <w:separator/>
      </w:r>
    </w:p>
  </w:footnote>
  <w:footnote w:type="continuationSeparator" w:id="0">
    <w:p w14:paraId="3663F7BA" w14:textId="77777777" w:rsidR="0006494D" w:rsidRDefault="0006494D" w:rsidP="00987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AA1A5" w14:textId="666B6C6A" w:rsidR="00987712" w:rsidRPr="00987712" w:rsidRDefault="00987712">
    <w:pPr>
      <w:pStyle w:val="Header"/>
      <w:rPr>
        <w:b/>
        <w:bCs/>
        <w:sz w:val="28"/>
        <w:szCs w:val="28"/>
      </w:rPr>
    </w:pPr>
    <w:r w:rsidRPr="00987712">
      <w:rPr>
        <w:b/>
        <w:bCs/>
        <w:sz w:val="28"/>
        <w:szCs w:val="28"/>
      </w:rPr>
      <w:t>Supplementa</w:t>
    </w:r>
    <w:r w:rsidR="00093872">
      <w:rPr>
        <w:b/>
        <w:bCs/>
        <w:sz w:val="28"/>
        <w:szCs w:val="28"/>
      </w:rPr>
      <w:t>ry</w:t>
    </w:r>
    <w:r w:rsidRPr="00987712">
      <w:rPr>
        <w:b/>
        <w:bCs/>
        <w:sz w:val="28"/>
        <w:szCs w:val="28"/>
      </w:rPr>
      <w:t xml:space="preserve"> Table 1</w:t>
    </w:r>
    <w:r w:rsidR="0040693D">
      <w:rPr>
        <w:b/>
        <w:bCs/>
        <w:sz w:val="28"/>
        <w:szCs w:val="28"/>
      </w:rPr>
      <w:t xml:space="preserve">: Summary of themes </w:t>
    </w:r>
    <w:r w:rsidR="00056A78">
      <w:rPr>
        <w:b/>
        <w:bCs/>
        <w:sz w:val="28"/>
        <w:szCs w:val="28"/>
      </w:rPr>
      <w:t>found</w:t>
    </w:r>
    <w:r w:rsidR="00B858CF">
      <w:rPr>
        <w:b/>
        <w:bCs/>
        <w:sz w:val="28"/>
        <w:szCs w:val="28"/>
      </w:rPr>
      <w:t xml:space="preserve"> in</w:t>
    </w:r>
    <w:r w:rsidR="0040693D">
      <w:rPr>
        <w:b/>
        <w:bCs/>
        <w:sz w:val="28"/>
        <w:szCs w:val="28"/>
      </w:rPr>
      <w:t xml:space="preserve"> this review </w:t>
    </w:r>
  </w:p>
  <w:p w14:paraId="1BCF4611" w14:textId="77777777" w:rsidR="00987712" w:rsidRDefault="009877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DAC"/>
    <w:rsid w:val="00056A78"/>
    <w:rsid w:val="00057379"/>
    <w:rsid w:val="0006494D"/>
    <w:rsid w:val="0008411C"/>
    <w:rsid w:val="00093872"/>
    <w:rsid w:val="000B19BC"/>
    <w:rsid w:val="000B6C02"/>
    <w:rsid w:val="000C1290"/>
    <w:rsid w:val="000F01C8"/>
    <w:rsid w:val="000F2E52"/>
    <w:rsid w:val="00106AB5"/>
    <w:rsid w:val="00110B8D"/>
    <w:rsid w:val="00113708"/>
    <w:rsid w:val="0015634B"/>
    <w:rsid w:val="0017641E"/>
    <w:rsid w:val="00187696"/>
    <w:rsid w:val="001E7F23"/>
    <w:rsid w:val="001F2358"/>
    <w:rsid w:val="001F34C8"/>
    <w:rsid w:val="001F3A16"/>
    <w:rsid w:val="00200838"/>
    <w:rsid w:val="0020246D"/>
    <w:rsid w:val="002465D1"/>
    <w:rsid w:val="00251670"/>
    <w:rsid w:val="00266DB0"/>
    <w:rsid w:val="00277390"/>
    <w:rsid w:val="002813E5"/>
    <w:rsid w:val="002B460E"/>
    <w:rsid w:val="002C2B8D"/>
    <w:rsid w:val="00313B83"/>
    <w:rsid w:val="00334D83"/>
    <w:rsid w:val="00346646"/>
    <w:rsid w:val="0037707C"/>
    <w:rsid w:val="003C09EE"/>
    <w:rsid w:val="003E5C5A"/>
    <w:rsid w:val="0040693D"/>
    <w:rsid w:val="00406D8C"/>
    <w:rsid w:val="004340B8"/>
    <w:rsid w:val="0044099A"/>
    <w:rsid w:val="00445C56"/>
    <w:rsid w:val="00451162"/>
    <w:rsid w:val="004654E1"/>
    <w:rsid w:val="004D3968"/>
    <w:rsid w:val="004D3CE7"/>
    <w:rsid w:val="004F55ED"/>
    <w:rsid w:val="00511A55"/>
    <w:rsid w:val="00540DEA"/>
    <w:rsid w:val="00573A55"/>
    <w:rsid w:val="005862B9"/>
    <w:rsid w:val="005D51A1"/>
    <w:rsid w:val="005E3B79"/>
    <w:rsid w:val="005E67C9"/>
    <w:rsid w:val="0062592E"/>
    <w:rsid w:val="0067077E"/>
    <w:rsid w:val="006A5420"/>
    <w:rsid w:val="00701E7D"/>
    <w:rsid w:val="007058C2"/>
    <w:rsid w:val="007129E9"/>
    <w:rsid w:val="00726ADF"/>
    <w:rsid w:val="00753E0B"/>
    <w:rsid w:val="007558DE"/>
    <w:rsid w:val="00791E3A"/>
    <w:rsid w:val="007A1B96"/>
    <w:rsid w:val="007A656A"/>
    <w:rsid w:val="007C4742"/>
    <w:rsid w:val="007C51E0"/>
    <w:rsid w:val="007D4FBA"/>
    <w:rsid w:val="0080387A"/>
    <w:rsid w:val="0080638F"/>
    <w:rsid w:val="00814885"/>
    <w:rsid w:val="00822662"/>
    <w:rsid w:val="00840B6B"/>
    <w:rsid w:val="00875A1B"/>
    <w:rsid w:val="008F2B9F"/>
    <w:rsid w:val="009104CA"/>
    <w:rsid w:val="00963412"/>
    <w:rsid w:val="00982F9E"/>
    <w:rsid w:val="00987712"/>
    <w:rsid w:val="009A282F"/>
    <w:rsid w:val="00A0434A"/>
    <w:rsid w:val="00A04DCF"/>
    <w:rsid w:val="00A14802"/>
    <w:rsid w:val="00A245AC"/>
    <w:rsid w:val="00A30FB9"/>
    <w:rsid w:val="00A51130"/>
    <w:rsid w:val="00AB3028"/>
    <w:rsid w:val="00AB4487"/>
    <w:rsid w:val="00AC5D36"/>
    <w:rsid w:val="00AD154B"/>
    <w:rsid w:val="00B00F11"/>
    <w:rsid w:val="00B55AF9"/>
    <w:rsid w:val="00B60307"/>
    <w:rsid w:val="00B75EA0"/>
    <w:rsid w:val="00B858CF"/>
    <w:rsid w:val="00BB0DAC"/>
    <w:rsid w:val="00BD1764"/>
    <w:rsid w:val="00C166B1"/>
    <w:rsid w:val="00C4061C"/>
    <w:rsid w:val="00C7227F"/>
    <w:rsid w:val="00C95D8F"/>
    <w:rsid w:val="00CB329C"/>
    <w:rsid w:val="00CC7BB5"/>
    <w:rsid w:val="00D3751A"/>
    <w:rsid w:val="00D468E5"/>
    <w:rsid w:val="00D83B9A"/>
    <w:rsid w:val="00D9499C"/>
    <w:rsid w:val="00DA2F3E"/>
    <w:rsid w:val="00DB49DE"/>
    <w:rsid w:val="00DD7D0C"/>
    <w:rsid w:val="00DE1AF4"/>
    <w:rsid w:val="00E01151"/>
    <w:rsid w:val="00E03D00"/>
    <w:rsid w:val="00E13B3F"/>
    <w:rsid w:val="00E15A45"/>
    <w:rsid w:val="00E17EBF"/>
    <w:rsid w:val="00E3468D"/>
    <w:rsid w:val="00E4695B"/>
    <w:rsid w:val="00E75B5B"/>
    <w:rsid w:val="00E92E0C"/>
    <w:rsid w:val="00EA1405"/>
    <w:rsid w:val="00ED0E98"/>
    <w:rsid w:val="00ED3A9D"/>
    <w:rsid w:val="00EE4C73"/>
    <w:rsid w:val="00EE7A13"/>
    <w:rsid w:val="00F05997"/>
    <w:rsid w:val="00F2305C"/>
    <w:rsid w:val="00F82E42"/>
    <w:rsid w:val="00FB153E"/>
    <w:rsid w:val="00FF5B34"/>
    <w:rsid w:val="00FF6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5FFF3"/>
  <w15:chartTrackingRefBased/>
  <w15:docId w15:val="{C95D319D-D34A-214C-89D6-DA1AC2DB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5E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B0DA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B0DA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B0DA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B0DAC"/>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B0DAC"/>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B0DA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B0DA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B0DA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B0DA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D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D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D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D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D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D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D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D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DAC"/>
    <w:rPr>
      <w:rFonts w:eastAsiaTheme="majorEastAsia" w:cstheme="majorBidi"/>
      <w:color w:val="272727" w:themeColor="text1" w:themeTint="D8"/>
    </w:rPr>
  </w:style>
  <w:style w:type="paragraph" w:styleId="Title">
    <w:name w:val="Title"/>
    <w:basedOn w:val="Normal"/>
    <w:next w:val="Normal"/>
    <w:link w:val="TitleChar"/>
    <w:uiPriority w:val="10"/>
    <w:qFormat/>
    <w:rsid w:val="00BB0DA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B0D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DA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B0D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DAC"/>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B0DAC"/>
    <w:rPr>
      <w:i/>
      <w:iCs/>
      <w:color w:val="404040" w:themeColor="text1" w:themeTint="BF"/>
    </w:rPr>
  </w:style>
  <w:style w:type="paragraph" w:styleId="ListParagraph">
    <w:name w:val="List Paragraph"/>
    <w:basedOn w:val="Normal"/>
    <w:uiPriority w:val="34"/>
    <w:qFormat/>
    <w:rsid w:val="00BB0DAC"/>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B0DAC"/>
    <w:rPr>
      <w:i/>
      <w:iCs/>
      <w:color w:val="0F4761" w:themeColor="accent1" w:themeShade="BF"/>
    </w:rPr>
  </w:style>
  <w:style w:type="paragraph" w:styleId="IntenseQuote">
    <w:name w:val="Intense Quote"/>
    <w:basedOn w:val="Normal"/>
    <w:next w:val="Normal"/>
    <w:link w:val="IntenseQuoteChar"/>
    <w:uiPriority w:val="30"/>
    <w:qFormat/>
    <w:rsid w:val="00BB0DA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B0DAC"/>
    <w:rPr>
      <w:i/>
      <w:iCs/>
      <w:color w:val="0F4761" w:themeColor="accent1" w:themeShade="BF"/>
    </w:rPr>
  </w:style>
  <w:style w:type="character" w:styleId="IntenseReference">
    <w:name w:val="Intense Reference"/>
    <w:basedOn w:val="DefaultParagraphFont"/>
    <w:uiPriority w:val="32"/>
    <w:qFormat/>
    <w:rsid w:val="00BB0DAC"/>
    <w:rPr>
      <w:b/>
      <w:bCs/>
      <w:smallCaps/>
      <w:color w:val="0F4761" w:themeColor="accent1" w:themeShade="BF"/>
      <w:spacing w:val="5"/>
    </w:rPr>
  </w:style>
  <w:style w:type="table" w:styleId="TableGrid">
    <w:name w:val="Table Grid"/>
    <w:basedOn w:val="TableNormal"/>
    <w:uiPriority w:val="39"/>
    <w:rsid w:val="00BB0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7712"/>
    <w:pPr>
      <w:tabs>
        <w:tab w:val="center" w:pos="4680"/>
        <w:tab w:val="right" w:pos="9360"/>
      </w:tabs>
    </w:pPr>
  </w:style>
  <w:style w:type="character" w:customStyle="1" w:styleId="HeaderChar">
    <w:name w:val="Header Char"/>
    <w:basedOn w:val="DefaultParagraphFont"/>
    <w:link w:val="Header"/>
    <w:uiPriority w:val="99"/>
    <w:rsid w:val="00987712"/>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87712"/>
    <w:pPr>
      <w:tabs>
        <w:tab w:val="center" w:pos="4680"/>
        <w:tab w:val="right" w:pos="9360"/>
      </w:tabs>
    </w:pPr>
  </w:style>
  <w:style w:type="character" w:customStyle="1" w:styleId="FooterChar">
    <w:name w:val="Footer Char"/>
    <w:basedOn w:val="DefaultParagraphFont"/>
    <w:link w:val="Footer"/>
    <w:uiPriority w:val="99"/>
    <w:rsid w:val="00987712"/>
    <w:rPr>
      <w:rFonts w:ascii="Times New Roman" w:eastAsia="Times New Roman" w:hAnsi="Times New Roman" w:cs="Times New Roman"/>
      <w:kern w:val="0"/>
      <w14:ligatures w14:val="none"/>
    </w:rPr>
  </w:style>
  <w:style w:type="paragraph" w:styleId="NoSpacing">
    <w:name w:val="No Spacing"/>
    <w:uiPriority w:val="1"/>
    <w:qFormat/>
    <w:rsid w:val="00987712"/>
    <w:pPr>
      <w:spacing w:after="0" w:line="240" w:lineRule="auto"/>
    </w:pPr>
    <w:rPr>
      <w:rFonts w:eastAsiaTheme="minorEastAsia"/>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9265">
      <w:bodyDiv w:val="1"/>
      <w:marLeft w:val="0"/>
      <w:marRight w:val="0"/>
      <w:marTop w:val="0"/>
      <w:marBottom w:val="0"/>
      <w:divBdr>
        <w:top w:val="none" w:sz="0" w:space="0" w:color="auto"/>
        <w:left w:val="none" w:sz="0" w:space="0" w:color="auto"/>
        <w:bottom w:val="none" w:sz="0" w:space="0" w:color="auto"/>
        <w:right w:val="none" w:sz="0" w:space="0" w:color="auto"/>
      </w:divBdr>
    </w:div>
    <w:div w:id="131411302">
      <w:bodyDiv w:val="1"/>
      <w:marLeft w:val="0"/>
      <w:marRight w:val="0"/>
      <w:marTop w:val="0"/>
      <w:marBottom w:val="0"/>
      <w:divBdr>
        <w:top w:val="none" w:sz="0" w:space="0" w:color="auto"/>
        <w:left w:val="none" w:sz="0" w:space="0" w:color="auto"/>
        <w:bottom w:val="none" w:sz="0" w:space="0" w:color="auto"/>
        <w:right w:val="none" w:sz="0" w:space="0" w:color="auto"/>
      </w:divBdr>
    </w:div>
    <w:div w:id="154927553">
      <w:bodyDiv w:val="1"/>
      <w:marLeft w:val="0"/>
      <w:marRight w:val="0"/>
      <w:marTop w:val="0"/>
      <w:marBottom w:val="0"/>
      <w:divBdr>
        <w:top w:val="none" w:sz="0" w:space="0" w:color="auto"/>
        <w:left w:val="none" w:sz="0" w:space="0" w:color="auto"/>
        <w:bottom w:val="none" w:sz="0" w:space="0" w:color="auto"/>
        <w:right w:val="none" w:sz="0" w:space="0" w:color="auto"/>
      </w:divBdr>
    </w:div>
    <w:div w:id="191187445">
      <w:bodyDiv w:val="1"/>
      <w:marLeft w:val="0"/>
      <w:marRight w:val="0"/>
      <w:marTop w:val="0"/>
      <w:marBottom w:val="0"/>
      <w:divBdr>
        <w:top w:val="none" w:sz="0" w:space="0" w:color="auto"/>
        <w:left w:val="none" w:sz="0" w:space="0" w:color="auto"/>
        <w:bottom w:val="none" w:sz="0" w:space="0" w:color="auto"/>
        <w:right w:val="none" w:sz="0" w:space="0" w:color="auto"/>
      </w:divBdr>
    </w:div>
    <w:div w:id="206916594">
      <w:bodyDiv w:val="1"/>
      <w:marLeft w:val="0"/>
      <w:marRight w:val="0"/>
      <w:marTop w:val="0"/>
      <w:marBottom w:val="0"/>
      <w:divBdr>
        <w:top w:val="none" w:sz="0" w:space="0" w:color="auto"/>
        <w:left w:val="none" w:sz="0" w:space="0" w:color="auto"/>
        <w:bottom w:val="none" w:sz="0" w:space="0" w:color="auto"/>
        <w:right w:val="none" w:sz="0" w:space="0" w:color="auto"/>
      </w:divBdr>
    </w:div>
    <w:div w:id="269093036">
      <w:bodyDiv w:val="1"/>
      <w:marLeft w:val="0"/>
      <w:marRight w:val="0"/>
      <w:marTop w:val="0"/>
      <w:marBottom w:val="0"/>
      <w:divBdr>
        <w:top w:val="none" w:sz="0" w:space="0" w:color="auto"/>
        <w:left w:val="none" w:sz="0" w:space="0" w:color="auto"/>
        <w:bottom w:val="none" w:sz="0" w:space="0" w:color="auto"/>
        <w:right w:val="none" w:sz="0" w:space="0" w:color="auto"/>
      </w:divBdr>
    </w:div>
    <w:div w:id="269557962">
      <w:bodyDiv w:val="1"/>
      <w:marLeft w:val="0"/>
      <w:marRight w:val="0"/>
      <w:marTop w:val="0"/>
      <w:marBottom w:val="0"/>
      <w:divBdr>
        <w:top w:val="none" w:sz="0" w:space="0" w:color="auto"/>
        <w:left w:val="none" w:sz="0" w:space="0" w:color="auto"/>
        <w:bottom w:val="none" w:sz="0" w:space="0" w:color="auto"/>
        <w:right w:val="none" w:sz="0" w:space="0" w:color="auto"/>
      </w:divBdr>
    </w:div>
    <w:div w:id="286205635">
      <w:bodyDiv w:val="1"/>
      <w:marLeft w:val="0"/>
      <w:marRight w:val="0"/>
      <w:marTop w:val="0"/>
      <w:marBottom w:val="0"/>
      <w:divBdr>
        <w:top w:val="none" w:sz="0" w:space="0" w:color="auto"/>
        <w:left w:val="none" w:sz="0" w:space="0" w:color="auto"/>
        <w:bottom w:val="none" w:sz="0" w:space="0" w:color="auto"/>
        <w:right w:val="none" w:sz="0" w:space="0" w:color="auto"/>
      </w:divBdr>
    </w:div>
    <w:div w:id="290986056">
      <w:bodyDiv w:val="1"/>
      <w:marLeft w:val="0"/>
      <w:marRight w:val="0"/>
      <w:marTop w:val="0"/>
      <w:marBottom w:val="0"/>
      <w:divBdr>
        <w:top w:val="none" w:sz="0" w:space="0" w:color="auto"/>
        <w:left w:val="none" w:sz="0" w:space="0" w:color="auto"/>
        <w:bottom w:val="none" w:sz="0" w:space="0" w:color="auto"/>
        <w:right w:val="none" w:sz="0" w:space="0" w:color="auto"/>
      </w:divBdr>
    </w:div>
    <w:div w:id="297734344">
      <w:bodyDiv w:val="1"/>
      <w:marLeft w:val="0"/>
      <w:marRight w:val="0"/>
      <w:marTop w:val="0"/>
      <w:marBottom w:val="0"/>
      <w:divBdr>
        <w:top w:val="none" w:sz="0" w:space="0" w:color="auto"/>
        <w:left w:val="none" w:sz="0" w:space="0" w:color="auto"/>
        <w:bottom w:val="none" w:sz="0" w:space="0" w:color="auto"/>
        <w:right w:val="none" w:sz="0" w:space="0" w:color="auto"/>
      </w:divBdr>
    </w:div>
    <w:div w:id="300232521">
      <w:bodyDiv w:val="1"/>
      <w:marLeft w:val="0"/>
      <w:marRight w:val="0"/>
      <w:marTop w:val="0"/>
      <w:marBottom w:val="0"/>
      <w:divBdr>
        <w:top w:val="none" w:sz="0" w:space="0" w:color="auto"/>
        <w:left w:val="none" w:sz="0" w:space="0" w:color="auto"/>
        <w:bottom w:val="none" w:sz="0" w:space="0" w:color="auto"/>
        <w:right w:val="none" w:sz="0" w:space="0" w:color="auto"/>
      </w:divBdr>
    </w:div>
    <w:div w:id="324865477">
      <w:bodyDiv w:val="1"/>
      <w:marLeft w:val="0"/>
      <w:marRight w:val="0"/>
      <w:marTop w:val="0"/>
      <w:marBottom w:val="0"/>
      <w:divBdr>
        <w:top w:val="none" w:sz="0" w:space="0" w:color="auto"/>
        <w:left w:val="none" w:sz="0" w:space="0" w:color="auto"/>
        <w:bottom w:val="none" w:sz="0" w:space="0" w:color="auto"/>
        <w:right w:val="none" w:sz="0" w:space="0" w:color="auto"/>
      </w:divBdr>
    </w:div>
    <w:div w:id="342170695">
      <w:bodyDiv w:val="1"/>
      <w:marLeft w:val="0"/>
      <w:marRight w:val="0"/>
      <w:marTop w:val="0"/>
      <w:marBottom w:val="0"/>
      <w:divBdr>
        <w:top w:val="none" w:sz="0" w:space="0" w:color="auto"/>
        <w:left w:val="none" w:sz="0" w:space="0" w:color="auto"/>
        <w:bottom w:val="none" w:sz="0" w:space="0" w:color="auto"/>
        <w:right w:val="none" w:sz="0" w:space="0" w:color="auto"/>
      </w:divBdr>
    </w:div>
    <w:div w:id="350884405">
      <w:bodyDiv w:val="1"/>
      <w:marLeft w:val="0"/>
      <w:marRight w:val="0"/>
      <w:marTop w:val="0"/>
      <w:marBottom w:val="0"/>
      <w:divBdr>
        <w:top w:val="none" w:sz="0" w:space="0" w:color="auto"/>
        <w:left w:val="none" w:sz="0" w:space="0" w:color="auto"/>
        <w:bottom w:val="none" w:sz="0" w:space="0" w:color="auto"/>
        <w:right w:val="none" w:sz="0" w:space="0" w:color="auto"/>
      </w:divBdr>
    </w:div>
    <w:div w:id="353072960">
      <w:bodyDiv w:val="1"/>
      <w:marLeft w:val="0"/>
      <w:marRight w:val="0"/>
      <w:marTop w:val="0"/>
      <w:marBottom w:val="0"/>
      <w:divBdr>
        <w:top w:val="none" w:sz="0" w:space="0" w:color="auto"/>
        <w:left w:val="none" w:sz="0" w:space="0" w:color="auto"/>
        <w:bottom w:val="none" w:sz="0" w:space="0" w:color="auto"/>
        <w:right w:val="none" w:sz="0" w:space="0" w:color="auto"/>
      </w:divBdr>
    </w:div>
    <w:div w:id="360589092">
      <w:bodyDiv w:val="1"/>
      <w:marLeft w:val="0"/>
      <w:marRight w:val="0"/>
      <w:marTop w:val="0"/>
      <w:marBottom w:val="0"/>
      <w:divBdr>
        <w:top w:val="none" w:sz="0" w:space="0" w:color="auto"/>
        <w:left w:val="none" w:sz="0" w:space="0" w:color="auto"/>
        <w:bottom w:val="none" w:sz="0" w:space="0" w:color="auto"/>
        <w:right w:val="none" w:sz="0" w:space="0" w:color="auto"/>
      </w:divBdr>
    </w:div>
    <w:div w:id="374621034">
      <w:bodyDiv w:val="1"/>
      <w:marLeft w:val="0"/>
      <w:marRight w:val="0"/>
      <w:marTop w:val="0"/>
      <w:marBottom w:val="0"/>
      <w:divBdr>
        <w:top w:val="none" w:sz="0" w:space="0" w:color="auto"/>
        <w:left w:val="none" w:sz="0" w:space="0" w:color="auto"/>
        <w:bottom w:val="none" w:sz="0" w:space="0" w:color="auto"/>
        <w:right w:val="none" w:sz="0" w:space="0" w:color="auto"/>
      </w:divBdr>
    </w:div>
    <w:div w:id="375129360">
      <w:bodyDiv w:val="1"/>
      <w:marLeft w:val="0"/>
      <w:marRight w:val="0"/>
      <w:marTop w:val="0"/>
      <w:marBottom w:val="0"/>
      <w:divBdr>
        <w:top w:val="none" w:sz="0" w:space="0" w:color="auto"/>
        <w:left w:val="none" w:sz="0" w:space="0" w:color="auto"/>
        <w:bottom w:val="none" w:sz="0" w:space="0" w:color="auto"/>
        <w:right w:val="none" w:sz="0" w:space="0" w:color="auto"/>
      </w:divBdr>
    </w:div>
    <w:div w:id="385567269">
      <w:bodyDiv w:val="1"/>
      <w:marLeft w:val="0"/>
      <w:marRight w:val="0"/>
      <w:marTop w:val="0"/>
      <w:marBottom w:val="0"/>
      <w:divBdr>
        <w:top w:val="none" w:sz="0" w:space="0" w:color="auto"/>
        <w:left w:val="none" w:sz="0" w:space="0" w:color="auto"/>
        <w:bottom w:val="none" w:sz="0" w:space="0" w:color="auto"/>
        <w:right w:val="none" w:sz="0" w:space="0" w:color="auto"/>
      </w:divBdr>
    </w:div>
    <w:div w:id="386614161">
      <w:bodyDiv w:val="1"/>
      <w:marLeft w:val="0"/>
      <w:marRight w:val="0"/>
      <w:marTop w:val="0"/>
      <w:marBottom w:val="0"/>
      <w:divBdr>
        <w:top w:val="none" w:sz="0" w:space="0" w:color="auto"/>
        <w:left w:val="none" w:sz="0" w:space="0" w:color="auto"/>
        <w:bottom w:val="none" w:sz="0" w:space="0" w:color="auto"/>
        <w:right w:val="none" w:sz="0" w:space="0" w:color="auto"/>
      </w:divBdr>
    </w:div>
    <w:div w:id="419840532">
      <w:bodyDiv w:val="1"/>
      <w:marLeft w:val="0"/>
      <w:marRight w:val="0"/>
      <w:marTop w:val="0"/>
      <w:marBottom w:val="0"/>
      <w:divBdr>
        <w:top w:val="none" w:sz="0" w:space="0" w:color="auto"/>
        <w:left w:val="none" w:sz="0" w:space="0" w:color="auto"/>
        <w:bottom w:val="none" w:sz="0" w:space="0" w:color="auto"/>
        <w:right w:val="none" w:sz="0" w:space="0" w:color="auto"/>
      </w:divBdr>
    </w:div>
    <w:div w:id="428741028">
      <w:bodyDiv w:val="1"/>
      <w:marLeft w:val="0"/>
      <w:marRight w:val="0"/>
      <w:marTop w:val="0"/>
      <w:marBottom w:val="0"/>
      <w:divBdr>
        <w:top w:val="none" w:sz="0" w:space="0" w:color="auto"/>
        <w:left w:val="none" w:sz="0" w:space="0" w:color="auto"/>
        <w:bottom w:val="none" w:sz="0" w:space="0" w:color="auto"/>
        <w:right w:val="none" w:sz="0" w:space="0" w:color="auto"/>
      </w:divBdr>
    </w:div>
    <w:div w:id="477108504">
      <w:bodyDiv w:val="1"/>
      <w:marLeft w:val="0"/>
      <w:marRight w:val="0"/>
      <w:marTop w:val="0"/>
      <w:marBottom w:val="0"/>
      <w:divBdr>
        <w:top w:val="none" w:sz="0" w:space="0" w:color="auto"/>
        <w:left w:val="none" w:sz="0" w:space="0" w:color="auto"/>
        <w:bottom w:val="none" w:sz="0" w:space="0" w:color="auto"/>
        <w:right w:val="none" w:sz="0" w:space="0" w:color="auto"/>
      </w:divBdr>
    </w:div>
    <w:div w:id="514271120">
      <w:bodyDiv w:val="1"/>
      <w:marLeft w:val="0"/>
      <w:marRight w:val="0"/>
      <w:marTop w:val="0"/>
      <w:marBottom w:val="0"/>
      <w:divBdr>
        <w:top w:val="none" w:sz="0" w:space="0" w:color="auto"/>
        <w:left w:val="none" w:sz="0" w:space="0" w:color="auto"/>
        <w:bottom w:val="none" w:sz="0" w:space="0" w:color="auto"/>
        <w:right w:val="none" w:sz="0" w:space="0" w:color="auto"/>
      </w:divBdr>
    </w:div>
    <w:div w:id="526410516">
      <w:bodyDiv w:val="1"/>
      <w:marLeft w:val="0"/>
      <w:marRight w:val="0"/>
      <w:marTop w:val="0"/>
      <w:marBottom w:val="0"/>
      <w:divBdr>
        <w:top w:val="none" w:sz="0" w:space="0" w:color="auto"/>
        <w:left w:val="none" w:sz="0" w:space="0" w:color="auto"/>
        <w:bottom w:val="none" w:sz="0" w:space="0" w:color="auto"/>
        <w:right w:val="none" w:sz="0" w:space="0" w:color="auto"/>
      </w:divBdr>
    </w:div>
    <w:div w:id="557087260">
      <w:bodyDiv w:val="1"/>
      <w:marLeft w:val="0"/>
      <w:marRight w:val="0"/>
      <w:marTop w:val="0"/>
      <w:marBottom w:val="0"/>
      <w:divBdr>
        <w:top w:val="none" w:sz="0" w:space="0" w:color="auto"/>
        <w:left w:val="none" w:sz="0" w:space="0" w:color="auto"/>
        <w:bottom w:val="none" w:sz="0" w:space="0" w:color="auto"/>
        <w:right w:val="none" w:sz="0" w:space="0" w:color="auto"/>
      </w:divBdr>
    </w:div>
    <w:div w:id="603415334">
      <w:bodyDiv w:val="1"/>
      <w:marLeft w:val="0"/>
      <w:marRight w:val="0"/>
      <w:marTop w:val="0"/>
      <w:marBottom w:val="0"/>
      <w:divBdr>
        <w:top w:val="none" w:sz="0" w:space="0" w:color="auto"/>
        <w:left w:val="none" w:sz="0" w:space="0" w:color="auto"/>
        <w:bottom w:val="none" w:sz="0" w:space="0" w:color="auto"/>
        <w:right w:val="none" w:sz="0" w:space="0" w:color="auto"/>
      </w:divBdr>
    </w:div>
    <w:div w:id="606354976">
      <w:bodyDiv w:val="1"/>
      <w:marLeft w:val="0"/>
      <w:marRight w:val="0"/>
      <w:marTop w:val="0"/>
      <w:marBottom w:val="0"/>
      <w:divBdr>
        <w:top w:val="none" w:sz="0" w:space="0" w:color="auto"/>
        <w:left w:val="none" w:sz="0" w:space="0" w:color="auto"/>
        <w:bottom w:val="none" w:sz="0" w:space="0" w:color="auto"/>
        <w:right w:val="none" w:sz="0" w:space="0" w:color="auto"/>
      </w:divBdr>
    </w:div>
    <w:div w:id="616177565">
      <w:bodyDiv w:val="1"/>
      <w:marLeft w:val="0"/>
      <w:marRight w:val="0"/>
      <w:marTop w:val="0"/>
      <w:marBottom w:val="0"/>
      <w:divBdr>
        <w:top w:val="none" w:sz="0" w:space="0" w:color="auto"/>
        <w:left w:val="none" w:sz="0" w:space="0" w:color="auto"/>
        <w:bottom w:val="none" w:sz="0" w:space="0" w:color="auto"/>
        <w:right w:val="none" w:sz="0" w:space="0" w:color="auto"/>
      </w:divBdr>
    </w:div>
    <w:div w:id="660888622">
      <w:bodyDiv w:val="1"/>
      <w:marLeft w:val="0"/>
      <w:marRight w:val="0"/>
      <w:marTop w:val="0"/>
      <w:marBottom w:val="0"/>
      <w:divBdr>
        <w:top w:val="none" w:sz="0" w:space="0" w:color="auto"/>
        <w:left w:val="none" w:sz="0" w:space="0" w:color="auto"/>
        <w:bottom w:val="none" w:sz="0" w:space="0" w:color="auto"/>
        <w:right w:val="none" w:sz="0" w:space="0" w:color="auto"/>
      </w:divBdr>
    </w:div>
    <w:div w:id="670177210">
      <w:bodyDiv w:val="1"/>
      <w:marLeft w:val="0"/>
      <w:marRight w:val="0"/>
      <w:marTop w:val="0"/>
      <w:marBottom w:val="0"/>
      <w:divBdr>
        <w:top w:val="none" w:sz="0" w:space="0" w:color="auto"/>
        <w:left w:val="none" w:sz="0" w:space="0" w:color="auto"/>
        <w:bottom w:val="none" w:sz="0" w:space="0" w:color="auto"/>
        <w:right w:val="none" w:sz="0" w:space="0" w:color="auto"/>
      </w:divBdr>
    </w:div>
    <w:div w:id="686560276">
      <w:bodyDiv w:val="1"/>
      <w:marLeft w:val="0"/>
      <w:marRight w:val="0"/>
      <w:marTop w:val="0"/>
      <w:marBottom w:val="0"/>
      <w:divBdr>
        <w:top w:val="none" w:sz="0" w:space="0" w:color="auto"/>
        <w:left w:val="none" w:sz="0" w:space="0" w:color="auto"/>
        <w:bottom w:val="none" w:sz="0" w:space="0" w:color="auto"/>
        <w:right w:val="none" w:sz="0" w:space="0" w:color="auto"/>
      </w:divBdr>
    </w:div>
    <w:div w:id="690029546">
      <w:bodyDiv w:val="1"/>
      <w:marLeft w:val="0"/>
      <w:marRight w:val="0"/>
      <w:marTop w:val="0"/>
      <w:marBottom w:val="0"/>
      <w:divBdr>
        <w:top w:val="none" w:sz="0" w:space="0" w:color="auto"/>
        <w:left w:val="none" w:sz="0" w:space="0" w:color="auto"/>
        <w:bottom w:val="none" w:sz="0" w:space="0" w:color="auto"/>
        <w:right w:val="none" w:sz="0" w:space="0" w:color="auto"/>
      </w:divBdr>
    </w:div>
    <w:div w:id="707609210">
      <w:bodyDiv w:val="1"/>
      <w:marLeft w:val="0"/>
      <w:marRight w:val="0"/>
      <w:marTop w:val="0"/>
      <w:marBottom w:val="0"/>
      <w:divBdr>
        <w:top w:val="none" w:sz="0" w:space="0" w:color="auto"/>
        <w:left w:val="none" w:sz="0" w:space="0" w:color="auto"/>
        <w:bottom w:val="none" w:sz="0" w:space="0" w:color="auto"/>
        <w:right w:val="none" w:sz="0" w:space="0" w:color="auto"/>
      </w:divBdr>
    </w:div>
    <w:div w:id="735515756">
      <w:bodyDiv w:val="1"/>
      <w:marLeft w:val="0"/>
      <w:marRight w:val="0"/>
      <w:marTop w:val="0"/>
      <w:marBottom w:val="0"/>
      <w:divBdr>
        <w:top w:val="none" w:sz="0" w:space="0" w:color="auto"/>
        <w:left w:val="none" w:sz="0" w:space="0" w:color="auto"/>
        <w:bottom w:val="none" w:sz="0" w:space="0" w:color="auto"/>
        <w:right w:val="none" w:sz="0" w:space="0" w:color="auto"/>
      </w:divBdr>
    </w:div>
    <w:div w:id="815073088">
      <w:bodyDiv w:val="1"/>
      <w:marLeft w:val="0"/>
      <w:marRight w:val="0"/>
      <w:marTop w:val="0"/>
      <w:marBottom w:val="0"/>
      <w:divBdr>
        <w:top w:val="none" w:sz="0" w:space="0" w:color="auto"/>
        <w:left w:val="none" w:sz="0" w:space="0" w:color="auto"/>
        <w:bottom w:val="none" w:sz="0" w:space="0" w:color="auto"/>
        <w:right w:val="none" w:sz="0" w:space="0" w:color="auto"/>
      </w:divBdr>
    </w:div>
    <w:div w:id="844855806">
      <w:bodyDiv w:val="1"/>
      <w:marLeft w:val="0"/>
      <w:marRight w:val="0"/>
      <w:marTop w:val="0"/>
      <w:marBottom w:val="0"/>
      <w:divBdr>
        <w:top w:val="none" w:sz="0" w:space="0" w:color="auto"/>
        <w:left w:val="none" w:sz="0" w:space="0" w:color="auto"/>
        <w:bottom w:val="none" w:sz="0" w:space="0" w:color="auto"/>
        <w:right w:val="none" w:sz="0" w:space="0" w:color="auto"/>
      </w:divBdr>
    </w:div>
    <w:div w:id="846946059">
      <w:bodyDiv w:val="1"/>
      <w:marLeft w:val="0"/>
      <w:marRight w:val="0"/>
      <w:marTop w:val="0"/>
      <w:marBottom w:val="0"/>
      <w:divBdr>
        <w:top w:val="none" w:sz="0" w:space="0" w:color="auto"/>
        <w:left w:val="none" w:sz="0" w:space="0" w:color="auto"/>
        <w:bottom w:val="none" w:sz="0" w:space="0" w:color="auto"/>
        <w:right w:val="none" w:sz="0" w:space="0" w:color="auto"/>
      </w:divBdr>
    </w:div>
    <w:div w:id="888569430">
      <w:bodyDiv w:val="1"/>
      <w:marLeft w:val="0"/>
      <w:marRight w:val="0"/>
      <w:marTop w:val="0"/>
      <w:marBottom w:val="0"/>
      <w:divBdr>
        <w:top w:val="none" w:sz="0" w:space="0" w:color="auto"/>
        <w:left w:val="none" w:sz="0" w:space="0" w:color="auto"/>
        <w:bottom w:val="none" w:sz="0" w:space="0" w:color="auto"/>
        <w:right w:val="none" w:sz="0" w:space="0" w:color="auto"/>
      </w:divBdr>
    </w:div>
    <w:div w:id="906379768">
      <w:bodyDiv w:val="1"/>
      <w:marLeft w:val="0"/>
      <w:marRight w:val="0"/>
      <w:marTop w:val="0"/>
      <w:marBottom w:val="0"/>
      <w:divBdr>
        <w:top w:val="none" w:sz="0" w:space="0" w:color="auto"/>
        <w:left w:val="none" w:sz="0" w:space="0" w:color="auto"/>
        <w:bottom w:val="none" w:sz="0" w:space="0" w:color="auto"/>
        <w:right w:val="none" w:sz="0" w:space="0" w:color="auto"/>
      </w:divBdr>
    </w:div>
    <w:div w:id="914514421">
      <w:bodyDiv w:val="1"/>
      <w:marLeft w:val="0"/>
      <w:marRight w:val="0"/>
      <w:marTop w:val="0"/>
      <w:marBottom w:val="0"/>
      <w:divBdr>
        <w:top w:val="none" w:sz="0" w:space="0" w:color="auto"/>
        <w:left w:val="none" w:sz="0" w:space="0" w:color="auto"/>
        <w:bottom w:val="none" w:sz="0" w:space="0" w:color="auto"/>
        <w:right w:val="none" w:sz="0" w:space="0" w:color="auto"/>
      </w:divBdr>
    </w:div>
    <w:div w:id="917329972">
      <w:bodyDiv w:val="1"/>
      <w:marLeft w:val="0"/>
      <w:marRight w:val="0"/>
      <w:marTop w:val="0"/>
      <w:marBottom w:val="0"/>
      <w:divBdr>
        <w:top w:val="none" w:sz="0" w:space="0" w:color="auto"/>
        <w:left w:val="none" w:sz="0" w:space="0" w:color="auto"/>
        <w:bottom w:val="none" w:sz="0" w:space="0" w:color="auto"/>
        <w:right w:val="none" w:sz="0" w:space="0" w:color="auto"/>
      </w:divBdr>
    </w:div>
    <w:div w:id="934216327">
      <w:bodyDiv w:val="1"/>
      <w:marLeft w:val="0"/>
      <w:marRight w:val="0"/>
      <w:marTop w:val="0"/>
      <w:marBottom w:val="0"/>
      <w:divBdr>
        <w:top w:val="none" w:sz="0" w:space="0" w:color="auto"/>
        <w:left w:val="none" w:sz="0" w:space="0" w:color="auto"/>
        <w:bottom w:val="none" w:sz="0" w:space="0" w:color="auto"/>
        <w:right w:val="none" w:sz="0" w:space="0" w:color="auto"/>
      </w:divBdr>
    </w:div>
    <w:div w:id="939793969">
      <w:bodyDiv w:val="1"/>
      <w:marLeft w:val="0"/>
      <w:marRight w:val="0"/>
      <w:marTop w:val="0"/>
      <w:marBottom w:val="0"/>
      <w:divBdr>
        <w:top w:val="none" w:sz="0" w:space="0" w:color="auto"/>
        <w:left w:val="none" w:sz="0" w:space="0" w:color="auto"/>
        <w:bottom w:val="none" w:sz="0" w:space="0" w:color="auto"/>
        <w:right w:val="none" w:sz="0" w:space="0" w:color="auto"/>
      </w:divBdr>
    </w:div>
    <w:div w:id="948663098">
      <w:bodyDiv w:val="1"/>
      <w:marLeft w:val="0"/>
      <w:marRight w:val="0"/>
      <w:marTop w:val="0"/>
      <w:marBottom w:val="0"/>
      <w:divBdr>
        <w:top w:val="none" w:sz="0" w:space="0" w:color="auto"/>
        <w:left w:val="none" w:sz="0" w:space="0" w:color="auto"/>
        <w:bottom w:val="none" w:sz="0" w:space="0" w:color="auto"/>
        <w:right w:val="none" w:sz="0" w:space="0" w:color="auto"/>
      </w:divBdr>
    </w:div>
    <w:div w:id="972640195">
      <w:bodyDiv w:val="1"/>
      <w:marLeft w:val="0"/>
      <w:marRight w:val="0"/>
      <w:marTop w:val="0"/>
      <w:marBottom w:val="0"/>
      <w:divBdr>
        <w:top w:val="none" w:sz="0" w:space="0" w:color="auto"/>
        <w:left w:val="none" w:sz="0" w:space="0" w:color="auto"/>
        <w:bottom w:val="none" w:sz="0" w:space="0" w:color="auto"/>
        <w:right w:val="none" w:sz="0" w:space="0" w:color="auto"/>
      </w:divBdr>
    </w:div>
    <w:div w:id="991057436">
      <w:bodyDiv w:val="1"/>
      <w:marLeft w:val="0"/>
      <w:marRight w:val="0"/>
      <w:marTop w:val="0"/>
      <w:marBottom w:val="0"/>
      <w:divBdr>
        <w:top w:val="none" w:sz="0" w:space="0" w:color="auto"/>
        <w:left w:val="none" w:sz="0" w:space="0" w:color="auto"/>
        <w:bottom w:val="none" w:sz="0" w:space="0" w:color="auto"/>
        <w:right w:val="none" w:sz="0" w:space="0" w:color="auto"/>
      </w:divBdr>
    </w:div>
    <w:div w:id="992568192">
      <w:bodyDiv w:val="1"/>
      <w:marLeft w:val="0"/>
      <w:marRight w:val="0"/>
      <w:marTop w:val="0"/>
      <w:marBottom w:val="0"/>
      <w:divBdr>
        <w:top w:val="none" w:sz="0" w:space="0" w:color="auto"/>
        <w:left w:val="none" w:sz="0" w:space="0" w:color="auto"/>
        <w:bottom w:val="none" w:sz="0" w:space="0" w:color="auto"/>
        <w:right w:val="none" w:sz="0" w:space="0" w:color="auto"/>
      </w:divBdr>
    </w:div>
    <w:div w:id="1010597745">
      <w:bodyDiv w:val="1"/>
      <w:marLeft w:val="0"/>
      <w:marRight w:val="0"/>
      <w:marTop w:val="0"/>
      <w:marBottom w:val="0"/>
      <w:divBdr>
        <w:top w:val="none" w:sz="0" w:space="0" w:color="auto"/>
        <w:left w:val="none" w:sz="0" w:space="0" w:color="auto"/>
        <w:bottom w:val="none" w:sz="0" w:space="0" w:color="auto"/>
        <w:right w:val="none" w:sz="0" w:space="0" w:color="auto"/>
      </w:divBdr>
    </w:div>
    <w:div w:id="1012686960">
      <w:bodyDiv w:val="1"/>
      <w:marLeft w:val="0"/>
      <w:marRight w:val="0"/>
      <w:marTop w:val="0"/>
      <w:marBottom w:val="0"/>
      <w:divBdr>
        <w:top w:val="none" w:sz="0" w:space="0" w:color="auto"/>
        <w:left w:val="none" w:sz="0" w:space="0" w:color="auto"/>
        <w:bottom w:val="none" w:sz="0" w:space="0" w:color="auto"/>
        <w:right w:val="none" w:sz="0" w:space="0" w:color="auto"/>
      </w:divBdr>
    </w:div>
    <w:div w:id="1020158294">
      <w:bodyDiv w:val="1"/>
      <w:marLeft w:val="0"/>
      <w:marRight w:val="0"/>
      <w:marTop w:val="0"/>
      <w:marBottom w:val="0"/>
      <w:divBdr>
        <w:top w:val="none" w:sz="0" w:space="0" w:color="auto"/>
        <w:left w:val="none" w:sz="0" w:space="0" w:color="auto"/>
        <w:bottom w:val="none" w:sz="0" w:space="0" w:color="auto"/>
        <w:right w:val="none" w:sz="0" w:space="0" w:color="auto"/>
      </w:divBdr>
    </w:div>
    <w:div w:id="1027948039">
      <w:bodyDiv w:val="1"/>
      <w:marLeft w:val="0"/>
      <w:marRight w:val="0"/>
      <w:marTop w:val="0"/>
      <w:marBottom w:val="0"/>
      <w:divBdr>
        <w:top w:val="none" w:sz="0" w:space="0" w:color="auto"/>
        <w:left w:val="none" w:sz="0" w:space="0" w:color="auto"/>
        <w:bottom w:val="none" w:sz="0" w:space="0" w:color="auto"/>
        <w:right w:val="none" w:sz="0" w:space="0" w:color="auto"/>
      </w:divBdr>
    </w:div>
    <w:div w:id="1064255147">
      <w:bodyDiv w:val="1"/>
      <w:marLeft w:val="0"/>
      <w:marRight w:val="0"/>
      <w:marTop w:val="0"/>
      <w:marBottom w:val="0"/>
      <w:divBdr>
        <w:top w:val="none" w:sz="0" w:space="0" w:color="auto"/>
        <w:left w:val="none" w:sz="0" w:space="0" w:color="auto"/>
        <w:bottom w:val="none" w:sz="0" w:space="0" w:color="auto"/>
        <w:right w:val="none" w:sz="0" w:space="0" w:color="auto"/>
      </w:divBdr>
    </w:div>
    <w:div w:id="1066802786">
      <w:bodyDiv w:val="1"/>
      <w:marLeft w:val="0"/>
      <w:marRight w:val="0"/>
      <w:marTop w:val="0"/>
      <w:marBottom w:val="0"/>
      <w:divBdr>
        <w:top w:val="none" w:sz="0" w:space="0" w:color="auto"/>
        <w:left w:val="none" w:sz="0" w:space="0" w:color="auto"/>
        <w:bottom w:val="none" w:sz="0" w:space="0" w:color="auto"/>
        <w:right w:val="none" w:sz="0" w:space="0" w:color="auto"/>
      </w:divBdr>
    </w:div>
    <w:div w:id="1067218631">
      <w:bodyDiv w:val="1"/>
      <w:marLeft w:val="0"/>
      <w:marRight w:val="0"/>
      <w:marTop w:val="0"/>
      <w:marBottom w:val="0"/>
      <w:divBdr>
        <w:top w:val="none" w:sz="0" w:space="0" w:color="auto"/>
        <w:left w:val="none" w:sz="0" w:space="0" w:color="auto"/>
        <w:bottom w:val="none" w:sz="0" w:space="0" w:color="auto"/>
        <w:right w:val="none" w:sz="0" w:space="0" w:color="auto"/>
      </w:divBdr>
    </w:div>
    <w:div w:id="1069956631">
      <w:bodyDiv w:val="1"/>
      <w:marLeft w:val="0"/>
      <w:marRight w:val="0"/>
      <w:marTop w:val="0"/>
      <w:marBottom w:val="0"/>
      <w:divBdr>
        <w:top w:val="none" w:sz="0" w:space="0" w:color="auto"/>
        <w:left w:val="none" w:sz="0" w:space="0" w:color="auto"/>
        <w:bottom w:val="none" w:sz="0" w:space="0" w:color="auto"/>
        <w:right w:val="none" w:sz="0" w:space="0" w:color="auto"/>
      </w:divBdr>
    </w:div>
    <w:div w:id="1091852673">
      <w:bodyDiv w:val="1"/>
      <w:marLeft w:val="0"/>
      <w:marRight w:val="0"/>
      <w:marTop w:val="0"/>
      <w:marBottom w:val="0"/>
      <w:divBdr>
        <w:top w:val="none" w:sz="0" w:space="0" w:color="auto"/>
        <w:left w:val="none" w:sz="0" w:space="0" w:color="auto"/>
        <w:bottom w:val="none" w:sz="0" w:space="0" w:color="auto"/>
        <w:right w:val="none" w:sz="0" w:space="0" w:color="auto"/>
      </w:divBdr>
    </w:div>
    <w:div w:id="1140918966">
      <w:bodyDiv w:val="1"/>
      <w:marLeft w:val="0"/>
      <w:marRight w:val="0"/>
      <w:marTop w:val="0"/>
      <w:marBottom w:val="0"/>
      <w:divBdr>
        <w:top w:val="none" w:sz="0" w:space="0" w:color="auto"/>
        <w:left w:val="none" w:sz="0" w:space="0" w:color="auto"/>
        <w:bottom w:val="none" w:sz="0" w:space="0" w:color="auto"/>
        <w:right w:val="none" w:sz="0" w:space="0" w:color="auto"/>
      </w:divBdr>
    </w:div>
    <w:div w:id="1141851351">
      <w:bodyDiv w:val="1"/>
      <w:marLeft w:val="0"/>
      <w:marRight w:val="0"/>
      <w:marTop w:val="0"/>
      <w:marBottom w:val="0"/>
      <w:divBdr>
        <w:top w:val="none" w:sz="0" w:space="0" w:color="auto"/>
        <w:left w:val="none" w:sz="0" w:space="0" w:color="auto"/>
        <w:bottom w:val="none" w:sz="0" w:space="0" w:color="auto"/>
        <w:right w:val="none" w:sz="0" w:space="0" w:color="auto"/>
      </w:divBdr>
    </w:div>
    <w:div w:id="1184133012">
      <w:bodyDiv w:val="1"/>
      <w:marLeft w:val="0"/>
      <w:marRight w:val="0"/>
      <w:marTop w:val="0"/>
      <w:marBottom w:val="0"/>
      <w:divBdr>
        <w:top w:val="none" w:sz="0" w:space="0" w:color="auto"/>
        <w:left w:val="none" w:sz="0" w:space="0" w:color="auto"/>
        <w:bottom w:val="none" w:sz="0" w:space="0" w:color="auto"/>
        <w:right w:val="none" w:sz="0" w:space="0" w:color="auto"/>
      </w:divBdr>
    </w:div>
    <w:div w:id="1188063600">
      <w:bodyDiv w:val="1"/>
      <w:marLeft w:val="0"/>
      <w:marRight w:val="0"/>
      <w:marTop w:val="0"/>
      <w:marBottom w:val="0"/>
      <w:divBdr>
        <w:top w:val="none" w:sz="0" w:space="0" w:color="auto"/>
        <w:left w:val="none" w:sz="0" w:space="0" w:color="auto"/>
        <w:bottom w:val="none" w:sz="0" w:space="0" w:color="auto"/>
        <w:right w:val="none" w:sz="0" w:space="0" w:color="auto"/>
      </w:divBdr>
    </w:div>
    <w:div w:id="1193614729">
      <w:bodyDiv w:val="1"/>
      <w:marLeft w:val="0"/>
      <w:marRight w:val="0"/>
      <w:marTop w:val="0"/>
      <w:marBottom w:val="0"/>
      <w:divBdr>
        <w:top w:val="none" w:sz="0" w:space="0" w:color="auto"/>
        <w:left w:val="none" w:sz="0" w:space="0" w:color="auto"/>
        <w:bottom w:val="none" w:sz="0" w:space="0" w:color="auto"/>
        <w:right w:val="none" w:sz="0" w:space="0" w:color="auto"/>
      </w:divBdr>
    </w:div>
    <w:div w:id="1216160597">
      <w:bodyDiv w:val="1"/>
      <w:marLeft w:val="0"/>
      <w:marRight w:val="0"/>
      <w:marTop w:val="0"/>
      <w:marBottom w:val="0"/>
      <w:divBdr>
        <w:top w:val="none" w:sz="0" w:space="0" w:color="auto"/>
        <w:left w:val="none" w:sz="0" w:space="0" w:color="auto"/>
        <w:bottom w:val="none" w:sz="0" w:space="0" w:color="auto"/>
        <w:right w:val="none" w:sz="0" w:space="0" w:color="auto"/>
      </w:divBdr>
    </w:div>
    <w:div w:id="1238706222">
      <w:bodyDiv w:val="1"/>
      <w:marLeft w:val="0"/>
      <w:marRight w:val="0"/>
      <w:marTop w:val="0"/>
      <w:marBottom w:val="0"/>
      <w:divBdr>
        <w:top w:val="none" w:sz="0" w:space="0" w:color="auto"/>
        <w:left w:val="none" w:sz="0" w:space="0" w:color="auto"/>
        <w:bottom w:val="none" w:sz="0" w:space="0" w:color="auto"/>
        <w:right w:val="none" w:sz="0" w:space="0" w:color="auto"/>
      </w:divBdr>
    </w:div>
    <w:div w:id="1249189201">
      <w:bodyDiv w:val="1"/>
      <w:marLeft w:val="0"/>
      <w:marRight w:val="0"/>
      <w:marTop w:val="0"/>
      <w:marBottom w:val="0"/>
      <w:divBdr>
        <w:top w:val="none" w:sz="0" w:space="0" w:color="auto"/>
        <w:left w:val="none" w:sz="0" w:space="0" w:color="auto"/>
        <w:bottom w:val="none" w:sz="0" w:space="0" w:color="auto"/>
        <w:right w:val="none" w:sz="0" w:space="0" w:color="auto"/>
      </w:divBdr>
    </w:div>
    <w:div w:id="1292057114">
      <w:bodyDiv w:val="1"/>
      <w:marLeft w:val="0"/>
      <w:marRight w:val="0"/>
      <w:marTop w:val="0"/>
      <w:marBottom w:val="0"/>
      <w:divBdr>
        <w:top w:val="none" w:sz="0" w:space="0" w:color="auto"/>
        <w:left w:val="none" w:sz="0" w:space="0" w:color="auto"/>
        <w:bottom w:val="none" w:sz="0" w:space="0" w:color="auto"/>
        <w:right w:val="none" w:sz="0" w:space="0" w:color="auto"/>
      </w:divBdr>
    </w:div>
    <w:div w:id="1306348464">
      <w:bodyDiv w:val="1"/>
      <w:marLeft w:val="0"/>
      <w:marRight w:val="0"/>
      <w:marTop w:val="0"/>
      <w:marBottom w:val="0"/>
      <w:divBdr>
        <w:top w:val="none" w:sz="0" w:space="0" w:color="auto"/>
        <w:left w:val="none" w:sz="0" w:space="0" w:color="auto"/>
        <w:bottom w:val="none" w:sz="0" w:space="0" w:color="auto"/>
        <w:right w:val="none" w:sz="0" w:space="0" w:color="auto"/>
      </w:divBdr>
    </w:div>
    <w:div w:id="1309241164">
      <w:bodyDiv w:val="1"/>
      <w:marLeft w:val="0"/>
      <w:marRight w:val="0"/>
      <w:marTop w:val="0"/>
      <w:marBottom w:val="0"/>
      <w:divBdr>
        <w:top w:val="none" w:sz="0" w:space="0" w:color="auto"/>
        <w:left w:val="none" w:sz="0" w:space="0" w:color="auto"/>
        <w:bottom w:val="none" w:sz="0" w:space="0" w:color="auto"/>
        <w:right w:val="none" w:sz="0" w:space="0" w:color="auto"/>
      </w:divBdr>
    </w:div>
    <w:div w:id="1312637815">
      <w:bodyDiv w:val="1"/>
      <w:marLeft w:val="0"/>
      <w:marRight w:val="0"/>
      <w:marTop w:val="0"/>
      <w:marBottom w:val="0"/>
      <w:divBdr>
        <w:top w:val="none" w:sz="0" w:space="0" w:color="auto"/>
        <w:left w:val="none" w:sz="0" w:space="0" w:color="auto"/>
        <w:bottom w:val="none" w:sz="0" w:space="0" w:color="auto"/>
        <w:right w:val="none" w:sz="0" w:space="0" w:color="auto"/>
      </w:divBdr>
    </w:div>
    <w:div w:id="1317538955">
      <w:bodyDiv w:val="1"/>
      <w:marLeft w:val="0"/>
      <w:marRight w:val="0"/>
      <w:marTop w:val="0"/>
      <w:marBottom w:val="0"/>
      <w:divBdr>
        <w:top w:val="none" w:sz="0" w:space="0" w:color="auto"/>
        <w:left w:val="none" w:sz="0" w:space="0" w:color="auto"/>
        <w:bottom w:val="none" w:sz="0" w:space="0" w:color="auto"/>
        <w:right w:val="none" w:sz="0" w:space="0" w:color="auto"/>
      </w:divBdr>
    </w:div>
    <w:div w:id="1336418517">
      <w:bodyDiv w:val="1"/>
      <w:marLeft w:val="0"/>
      <w:marRight w:val="0"/>
      <w:marTop w:val="0"/>
      <w:marBottom w:val="0"/>
      <w:divBdr>
        <w:top w:val="none" w:sz="0" w:space="0" w:color="auto"/>
        <w:left w:val="none" w:sz="0" w:space="0" w:color="auto"/>
        <w:bottom w:val="none" w:sz="0" w:space="0" w:color="auto"/>
        <w:right w:val="none" w:sz="0" w:space="0" w:color="auto"/>
      </w:divBdr>
    </w:div>
    <w:div w:id="1355040599">
      <w:bodyDiv w:val="1"/>
      <w:marLeft w:val="0"/>
      <w:marRight w:val="0"/>
      <w:marTop w:val="0"/>
      <w:marBottom w:val="0"/>
      <w:divBdr>
        <w:top w:val="none" w:sz="0" w:space="0" w:color="auto"/>
        <w:left w:val="none" w:sz="0" w:space="0" w:color="auto"/>
        <w:bottom w:val="none" w:sz="0" w:space="0" w:color="auto"/>
        <w:right w:val="none" w:sz="0" w:space="0" w:color="auto"/>
      </w:divBdr>
    </w:div>
    <w:div w:id="1384867428">
      <w:bodyDiv w:val="1"/>
      <w:marLeft w:val="0"/>
      <w:marRight w:val="0"/>
      <w:marTop w:val="0"/>
      <w:marBottom w:val="0"/>
      <w:divBdr>
        <w:top w:val="none" w:sz="0" w:space="0" w:color="auto"/>
        <w:left w:val="none" w:sz="0" w:space="0" w:color="auto"/>
        <w:bottom w:val="none" w:sz="0" w:space="0" w:color="auto"/>
        <w:right w:val="none" w:sz="0" w:space="0" w:color="auto"/>
      </w:divBdr>
    </w:div>
    <w:div w:id="1387877767">
      <w:bodyDiv w:val="1"/>
      <w:marLeft w:val="0"/>
      <w:marRight w:val="0"/>
      <w:marTop w:val="0"/>
      <w:marBottom w:val="0"/>
      <w:divBdr>
        <w:top w:val="none" w:sz="0" w:space="0" w:color="auto"/>
        <w:left w:val="none" w:sz="0" w:space="0" w:color="auto"/>
        <w:bottom w:val="none" w:sz="0" w:space="0" w:color="auto"/>
        <w:right w:val="none" w:sz="0" w:space="0" w:color="auto"/>
      </w:divBdr>
    </w:div>
    <w:div w:id="1390424633">
      <w:bodyDiv w:val="1"/>
      <w:marLeft w:val="0"/>
      <w:marRight w:val="0"/>
      <w:marTop w:val="0"/>
      <w:marBottom w:val="0"/>
      <w:divBdr>
        <w:top w:val="none" w:sz="0" w:space="0" w:color="auto"/>
        <w:left w:val="none" w:sz="0" w:space="0" w:color="auto"/>
        <w:bottom w:val="none" w:sz="0" w:space="0" w:color="auto"/>
        <w:right w:val="none" w:sz="0" w:space="0" w:color="auto"/>
      </w:divBdr>
    </w:div>
    <w:div w:id="1414351965">
      <w:bodyDiv w:val="1"/>
      <w:marLeft w:val="0"/>
      <w:marRight w:val="0"/>
      <w:marTop w:val="0"/>
      <w:marBottom w:val="0"/>
      <w:divBdr>
        <w:top w:val="none" w:sz="0" w:space="0" w:color="auto"/>
        <w:left w:val="none" w:sz="0" w:space="0" w:color="auto"/>
        <w:bottom w:val="none" w:sz="0" w:space="0" w:color="auto"/>
        <w:right w:val="none" w:sz="0" w:space="0" w:color="auto"/>
      </w:divBdr>
    </w:div>
    <w:div w:id="1434016405">
      <w:bodyDiv w:val="1"/>
      <w:marLeft w:val="0"/>
      <w:marRight w:val="0"/>
      <w:marTop w:val="0"/>
      <w:marBottom w:val="0"/>
      <w:divBdr>
        <w:top w:val="none" w:sz="0" w:space="0" w:color="auto"/>
        <w:left w:val="none" w:sz="0" w:space="0" w:color="auto"/>
        <w:bottom w:val="none" w:sz="0" w:space="0" w:color="auto"/>
        <w:right w:val="none" w:sz="0" w:space="0" w:color="auto"/>
      </w:divBdr>
    </w:div>
    <w:div w:id="1461146766">
      <w:bodyDiv w:val="1"/>
      <w:marLeft w:val="0"/>
      <w:marRight w:val="0"/>
      <w:marTop w:val="0"/>
      <w:marBottom w:val="0"/>
      <w:divBdr>
        <w:top w:val="none" w:sz="0" w:space="0" w:color="auto"/>
        <w:left w:val="none" w:sz="0" w:space="0" w:color="auto"/>
        <w:bottom w:val="none" w:sz="0" w:space="0" w:color="auto"/>
        <w:right w:val="none" w:sz="0" w:space="0" w:color="auto"/>
      </w:divBdr>
    </w:div>
    <w:div w:id="1505507258">
      <w:bodyDiv w:val="1"/>
      <w:marLeft w:val="0"/>
      <w:marRight w:val="0"/>
      <w:marTop w:val="0"/>
      <w:marBottom w:val="0"/>
      <w:divBdr>
        <w:top w:val="none" w:sz="0" w:space="0" w:color="auto"/>
        <w:left w:val="none" w:sz="0" w:space="0" w:color="auto"/>
        <w:bottom w:val="none" w:sz="0" w:space="0" w:color="auto"/>
        <w:right w:val="none" w:sz="0" w:space="0" w:color="auto"/>
      </w:divBdr>
    </w:div>
    <w:div w:id="1537811565">
      <w:bodyDiv w:val="1"/>
      <w:marLeft w:val="0"/>
      <w:marRight w:val="0"/>
      <w:marTop w:val="0"/>
      <w:marBottom w:val="0"/>
      <w:divBdr>
        <w:top w:val="none" w:sz="0" w:space="0" w:color="auto"/>
        <w:left w:val="none" w:sz="0" w:space="0" w:color="auto"/>
        <w:bottom w:val="none" w:sz="0" w:space="0" w:color="auto"/>
        <w:right w:val="none" w:sz="0" w:space="0" w:color="auto"/>
      </w:divBdr>
    </w:div>
    <w:div w:id="1555307669">
      <w:bodyDiv w:val="1"/>
      <w:marLeft w:val="0"/>
      <w:marRight w:val="0"/>
      <w:marTop w:val="0"/>
      <w:marBottom w:val="0"/>
      <w:divBdr>
        <w:top w:val="none" w:sz="0" w:space="0" w:color="auto"/>
        <w:left w:val="none" w:sz="0" w:space="0" w:color="auto"/>
        <w:bottom w:val="none" w:sz="0" w:space="0" w:color="auto"/>
        <w:right w:val="none" w:sz="0" w:space="0" w:color="auto"/>
      </w:divBdr>
    </w:div>
    <w:div w:id="1565943793">
      <w:bodyDiv w:val="1"/>
      <w:marLeft w:val="0"/>
      <w:marRight w:val="0"/>
      <w:marTop w:val="0"/>
      <w:marBottom w:val="0"/>
      <w:divBdr>
        <w:top w:val="none" w:sz="0" w:space="0" w:color="auto"/>
        <w:left w:val="none" w:sz="0" w:space="0" w:color="auto"/>
        <w:bottom w:val="none" w:sz="0" w:space="0" w:color="auto"/>
        <w:right w:val="none" w:sz="0" w:space="0" w:color="auto"/>
      </w:divBdr>
    </w:div>
    <w:div w:id="1574049037">
      <w:bodyDiv w:val="1"/>
      <w:marLeft w:val="0"/>
      <w:marRight w:val="0"/>
      <w:marTop w:val="0"/>
      <w:marBottom w:val="0"/>
      <w:divBdr>
        <w:top w:val="none" w:sz="0" w:space="0" w:color="auto"/>
        <w:left w:val="none" w:sz="0" w:space="0" w:color="auto"/>
        <w:bottom w:val="none" w:sz="0" w:space="0" w:color="auto"/>
        <w:right w:val="none" w:sz="0" w:space="0" w:color="auto"/>
      </w:divBdr>
    </w:div>
    <w:div w:id="1578780485">
      <w:bodyDiv w:val="1"/>
      <w:marLeft w:val="0"/>
      <w:marRight w:val="0"/>
      <w:marTop w:val="0"/>
      <w:marBottom w:val="0"/>
      <w:divBdr>
        <w:top w:val="none" w:sz="0" w:space="0" w:color="auto"/>
        <w:left w:val="none" w:sz="0" w:space="0" w:color="auto"/>
        <w:bottom w:val="none" w:sz="0" w:space="0" w:color="auto"/>
        <w:right w:val="none" w:sz="0" w:space="0" w:color="auto"/>
      </w:divBdr>
    </w:div>
    <w:div w:id="1597906323">
      <w:bodyDiv w:val="1"/>
      <w:marLeft w:val="0"/>
      <w:marRight w:val="0"/>
      <w:marTop w:val="0"/>
      <w:marBottom w:val="0"/>
      <w:divBdr>
        <w:top w:val="none" w:sz="0" w:space="0" w:color="auto"/>
        <w:left w:val="none" w:sz="0" w:space="0" w:color="auto"/>
        <w:bottom w:val="none" w:sz="0" w:space="0" w:color="auto"/>
        <w:right w:val="none" w:sz="0" w:space="0" w:color="auto"/>
      </w:divBdr>
    </w:div>
    <w:div w:id="1611663022">
      <w:bodyDiv w:val="1"/>
      <w:marLeft w:val="0"/>
      <w:marRight w:val="0"/>
      <w:marTop w:val="0"/>
      <w:marBottom w:val="0"/>
      <w:divBdr>
        <w:top w:val="none" w:sz="0" w:space="0" w:color="auto"/>
        <w:left w:val="none" w:sz="0" w:space="0" w:color="auto"/>
        <w:bottom w:val="none" w:sz="0" w:space="0" w:color="auto"/>
        <w:right w:val="none" w:sz="0" w:space="0" w:color="auto"/>
      </w:divBdr>
    </w:div>
    <w:div w:id="1617129076">
      <w:bodyDiv w:val="1"/>
      <w:marLeft w:val="0"/>
      <w:marRight w:val="0"/>
      <w:marTop w:val="0"/>
      <w:marBottom w:val="0"/>
      <w:divBdr>
        <w:top w:val="none" w:sz="0" w:space="0" w:color="auto"/>
        <w:left w:val="none" w:sz="0" w:space="0" w:color="auto"/>
        <w:bottom w:val="none" w:sz="0" w:space="0" w:color="auto"/>
        <w:right w:val="none" w:sz="0" w:space="0" w:color="auto"/>
      </w:divBdr>
    </w:div>
    <w:div w:id="1635522075">
      <w:bodyDiv w:val="1"/>
      <w:marLeft w:val="0"/>
      <w:marRight w:val="0"/>
      <w:marTop w:val="0"/>
      <w:marBottom w:val="0"/>
      <w:divBdr>
        <w:top w:val="none" w:sz="0" w:space="0" w:color="auto"/>
        <w:left w:val="none" w:sz="0" w:space="0" w:color="auto"/>
        <w:bottom w:val="none" w:sz="0" w:space="0" w:color="auto"/>
        <w:right w:val="none" w:sz="0" w:space="0" w:color="auto"/>
      </w:divBdr>
    </w:div>
    <w:div w:id="1638292796">
      <w:bodyDiv w:val="1"/>
      <w:marLeft w:val="0"/>
      <w:marRight w:val="0"/>
      <w:marTop w:val="0"/>
      <w:marBottom w:val="0"/>
      <w:divBdr>
        <w:top w:val="none" w:sz="0" w:space="0" w:color="auto"/>
        <w:left w:val="none" w:sz="0" w:space="0" w:color="auto"/>
        <w:bottom w:val="none" w:sz="0" w:space="0" w:color="auto"/>
        <w:right w:val="none" w:sz="0" w:space="0" w:color="auto"/>
      </w:divBdr>
    </w:div>
    <w:div w:id="1671172785">
      <w:bodyDiv w:val="1"/>
      <w:marLeft w:val="0"/>
      <w:marRight w:val="0"/>
      <w:marTop w:val="0"/>
      <w:marBottom w:val="0"/>
      <w:divBdr>
        <w:top w:val="none" w:sz="0" w:space="0" w:color="auto"/>
        <w:left w:val="none" w:sz="0" w:space="0" w:color="auto"/>
        <w:bottom w:val="none" w:sz="0" w:space="0" w:color="auto"/>
        <w:right w:val="none" w:sz="0" w:space="0" w:color="auto"/>
      </w:divBdr>
    </w:div>
    <w:div w:id="1688749229">
      <w:bodyDiv w:val="1"/>
      <w:marLeft w:val="0"/>
      <w:marRight w:val="0"/>
      <w:marTop w:val="0"/>
      <w:marBottom w:val="0"/>
      <w:divBdr>
        <w:top w:val="none" w:sz="0" w:space="0" w:color="auto"/>
        <w:left w:val="none" w:sz="0" w:space="0" w:color="auto"/>
        <w:bottom w:val="none" w:sz="0" w:space="0" w:color="auto"/>
        <w:right w:val="none" w:sz="0" w:space="0" w:color="auto"/>
      </w:divBdr>
    </w:div>
    <w:div w:id="1713385120">
      <w:bodyDiv w:val="1"/>
      <w:marLeft w:val="0"/>
      <w:marRight w:val="0"/>
      <w:marTop w:val="0"/>
      <w:marBottom w:val="0"/>
      <w:divBdr>
        <w:top w:val="none" w:sz="0" w:space="0" w:color="auto"/>
        <w:left w:val="none" w:sz="0" w:space="0" w:color="auto"/>
        <w:bottom w:val="none" w:sz="0" w:space="0" w:color="auto"/>
        <w:right w:val="none" w:sz="0" w:space="0" w:color="auto"/>
      </w:divBdr>
    </w:div>
    <w:div w:id="1768696771">
      <w:bodyDiv w:val="1"/>
      <w:marLeft w:val="0"/>
      <w:marRight w:val="0"/>
      <w:marTop w:val="0"/>
      <w:marBottom w:val="0"/>
      <w:divBdr>
        <w:top w:val="none" w:sz="0" w:space="0" w:color="auto"/>
        <w:left w:val="none" w:sz="0" w:space="0" w:color="auto"/>
        <w:bottom w:val="none" w:sz="0" w:space="0" w:color="auto"/>
        <w:right w:val="none" w:sz="0" w:space="0" w:color="auto"/>
      </w:divBdr>
    </w:div>
    <w:div w:id="1806851472">
      <w:bodyDiv w:val="1"/>
      <w:marLeft w:val="0"/>
      <w:marRight w:val="0"/>
      <w:marTop w:val="0"/>
      <w:marBottom w:val="0"/>
      <w:divBdr>
        <w:top w:val="none" w:sz="0" w:space="0" w:color="auto"/>
        <w:left w:val="none" w:sz="0" w:space="0" w:color="auto"/>
        <w:bottom w:val="none" w:sz="0" w:space="0" w:color="auto"/>
        <w:right w:val="none" w:sz="0" w:space="0" w:color="auto"/>
      </w:divBdr>
    </w:div>
    <w:div w:id="1807627946">
      <w:bodyDiv w:val="1"/>
      <w:marLeft w:val="0"/>
      <w:marRight w:val="0"/>
      <w:marTop w:val="0"/>
      <w:marBottom w:val="0"/>
      <w:divBdr>
        <w:top w:val="none" w:sz="0" w:space="0" w:color="auto"/>
        <w:left w:val="none" w:sz="0" w:space="0" w:color="auto"/>
        <w:bottom w:val="none" w:sz="0" w:space="0" w:color="auto"/>
        <w:right w:val="none" w:sz="0" w:space="0" w:color="auto"/>
      </w:divBdr>
    </w:div>
    <w:div w:id="1807970261">
      <w:bodyDiv w:val="1"/>
      <w:marLeft w:val="0"/>
      <w:marRight w:val="0"/>
      <w:marTop w:val="0"/>
      <w:marBottom w:val="0"/>
      <w:divBdr>
        <w:top w:val="none" w:sz="0" w:space="0" w:color="auto"/>
        <w:left w:val="none" w:sz="0" w:space="0" w:color="auto"/>
        <w:bottom w:val="none" w:sz="0" w:space="0" w:color="auto"/>
        <w:right w:val="none" w:sz="0" w:space="0" w:color="auto"/>
      </w:divBdr>
    </w:div>
    <w:div w:id="1808235971">
      <w:bodyDiv w:val="1"/>
      <w:marLeft w:val="0"/>
      <w:marRight w:val="0"/>
      <w:marTop w:val="0"/>
      <w:marBottom w:val="0"/>
      <w:divBdr>
        <w:top w:val="none" w:sz="0" w:space="0" w:color="auto"/>
        <w:left w:val="none" w:sz="0" w:space="0" w:color="auto"/>
        <w:bottom w:val="none" w:sz="0" w:space="0" w:color="auto"/>
        <w:right w:val="none" w:sz="0" w:space="0" w:color="auto"/>
      </w:divBdr>
    </w:div>
    <w:div w:id="1887183846">
      <w:bodyDiv w:val="1"/>
      <w:marLeft w:val="0"/>
      <w:marRight w:val="0"/>
      <w:marTop w:val="0"/>
      <w:marBottom w:val="0"/>
      <w:divBdr>
        <w:top w:val="none" w:sz="0" w:space="0" w:color="auto"/>
        <w:left w:val="none" w:sz="0" w:space="0" w:color="auto"/>
        <w:bottom w:val="none" w:sz="0" w:space="0" w:color="auto"/>
        <w:right w:val="none" w:sz="0" w:space="0" w:color="auto"/>
      </w:divBdr>
    </w:div>
    <w:div w:id="1903059564">
      <w:bodyDiv w:val="1"/>
      <w:marLeft w:val="0"/>
      <w:marRight w:val="0"/>
      <w:marTop w:val="0"/>
      <w:marBottom w:val="0"/>
      <w:divBdr>
        <w:top w:val="none" w:sz="0" w:space="0" w:color="auto"/>
        <w:left w:val="none" w:sz="0" w:space="0" w:color="auto"/>
        <w:bottom w:val="none" w:sz="0" w:space="0" w:color="auto"/>
        <w:right w:val="none" w:sz="0" w:space="0" w:color="auto"/>
      </w:divBdr>
    </w:div>
    <w:div w:id="1915314369">
      <w:bodyDiv w:val="1"/>
      <w:marLeft w:val="0"/>
      <w:marRight w:val="0"/>
      <w:marTop w:val="0"/>
      <w:marBottom w:val="0"/>
      <w:divBdr>
        <w:top w:val="none" w:sz="0" w:space="0" w:color="auto"/>
        <w:left w:val="none" w:sz="0" w:space="0" w:color="auto"/>
        <w:bottom w:val="none" w:sz="0" w:space="0" w:color="auto"/>
        <w:right w:val="none" w:sz="0" w:space="0" w:color="auto"/>
      </w:divBdr>
    </w:div>
    <w:div w:id="1931037290">
      <w:bodyDiv w:val="1"/>
      <w:marLeft w:val="0"/>
      <w:marRight w:val="0"/>
      <w:marTop w:val="0"/>
      <w:marBottom w:val="0"/>
      <w:divBdr>
        <w:top w:val="none" w:sz="0" w:space="0" w:color="auto"/>
        <w:left w:val="none" w:sz="0" w:space="0" w:color="auto"/>
        <w:bottom w:val="none" w:sz="0" w:space="0" w:color="auto"/>
        <w:right w:val="none" w:sz="0" w:space="0" w:color="auto"/>
      </w:divBdr>
    </w:div>
    <w:div w:id="1935505469">
      <w:bodyDiv w:val="1"/>
      <w:marLeft w:val="0"/>
      <w:marRight w:val="0"/>
      <w:marTop w:val="0"/>
      <w:marBottom w:val="0"/>
      <w:divBdr>
        <w:top w:val="none" w:sz="0" w:space="0" w:color="auto"/>
        <w:left w:val="none" w:sz="0" w:space="0" w:color="auto"/>
        <w:bottom w:val="none" w:sz="0" w:space="0" w:color="auto"/>
        <w:right w:val="none" w:sz="0" w:space="0" w:color="auto"/>
      </w:divBdr>
    </w:div>
    <w:div w:id="1937327559">
      <w:bodyDiv w:val="1"/>
      <w:marLeft w:val="0"/>
      <w:marRight w:val="0"/>
      <w:marTop w:val="0"/>
      <w:marBottom w:val="0"/>
      <w:divBdr>
        <w:top w:val="none" w:sz="0" w:space="0" w:color="auto"/>
        <w:left w:val="none" w:sz="0" w:space="0" w:color="auto"/>
        <w:bottom w:val="none" w:sz="0" w:space="0" w:color="auto"/>
        <w:right w:val="none" w:sz="0" w:space="0" w:color="auto"/>
      </w:divBdr>
    </w:div>
    <w:div w:id="1947730965">
      <w:bodyDiv w:val="1"/>
      <w:marLeft w:val="0"/>
      <w:marRight w:val="0"/>
      <w:marTop w:val="0"/>
      <w:marBottom w:val="0"/>
      <w:divBdr>
        <w:top w:val="none" w:sz="0" w:space="0" w:color="auto"/>
        <w:left w:val="none" w:sz="0" w:space="0" w:color="auto"/>
        <w:bottom w:val="none" w:sz="0" w:space="0" w:color="auto"/>
        <w:right w:val="none" w:sz="0" w:space="0" w:color="auto"/>
      </w:divBdr>
    </w:div>
    <w:div w:id="1953516076">
      <w:bodyDiv w:val="1"/>
      <w:marLeft w:val="0"/>
      <w:marRight w:val="0"/>
      <w:marTop w:val="0"/>
      <w:marBottom w:val="0"/>
      <w:divBdr>
        <w:top w:val="none" w:sz="0" w:space="0" w:color="auto"/>
        <w:left w:val="none" w:sz="0" w:space="0" w:color="auto"/>
        <w:bottom w:val="none" w:sz="0" w:space="0" w:color="auto"/>
        <w:right w:val="none" w:sz="0" w:space="0" w:color="auto"/>
      </w:divBdr>
    </w:div>
    <w:div w:id="1961061143">
      <w:bodyDiv w:val="1"/>
      <w:marLeft w:val="0"/>
      <w:marRight w:val="0"/>
      <w:marTop w:val="0"/>
      <w:marBottom w:val="0"/>
      <w:divBdr>
        <w:top w:val="none" w:sz="0" w:space="0" w:color="auto"/>
        <w:left w:val="none" w:sz="0" w:space="0" w:color="auto"/>
        <w:bottom w:val="none" w:sz="0" w:space="0" w:color="auto"/>
        <w:right w:val="none" w:sz="0" w:space="0" w:color="auto"/>
      </w:divBdr>
    </w:div>
    <w:div w:id="1984112698">
      <w:bodyDiv w:val="1"/>
      <w:marLeft w:val="0"/>
      <w:marRight w:val="0"/>
      <w:marTop w:val="0"/>
      <w:marBottom w:val="0"/>
      <w:divBdr>
        <w:top w:val="none" w:sz="0" w:space="0" w:color="auto"/>
        <w:left w:val="none" w:sz="0" w:space="0" w:color="auto"/>
        <w:bottom w:val="none" w:sz="0" w:space="0" w:color="auto"/>
        <w:right w:val="none" w:sz="0" w:space="0" w:color="auto"/>
      </w:divBdr>
    </w:div>
    <w:div w:id="2014334142">
      <w:bodyDiv w:val="1"/>
      <w:marLeft w:val="0"/>
      <w:marRight w:val="0"/>
      <w:marTop w:val="0"/>
      <w:marBottom w:val="0"/>
      <w:divBdr>
        <w:top w:val="none" w:sz="0" w:space="0" w:color="auto"/>
        <w:left w:val="none" w:sz="0" w:space="0" w:color="auto"/>
        <w:bottom w:val="none" w:sz="0" w:space="0" w:color="auto"/>
        <w:right w:val="none" w:sz="0" w:space="0" w:color="auto"/>
      </w:divBdr>
    </w:div>
    <w:div w:id="2019651825">
      <w:bodyDiv w:val="1"/>
      <w:marLeft w:val="0"/>
      <w:marRight w:val="0"/>
      <w:marTop w:val="0"/>
      <w:marBottom w:val="0"/>
      <w:divBdr>
        <w:top w:val="none" w:sz="0" w:space="0" w:color="auto"/>
        <w:left w:val="none" w:sz="0" w:space="0" w:color="auto"/>
        <w:bottom w:val="none" w:sz="0" w:space="0" w:color="auto"/>
        <w:right w:val="none" w:sz="0" w:space="0" w:color="auto"/>
      </w:divBdr>
    </w:div>
    <w:div w:id="2025084249">
      <w:bodyDiv w:val="1"/>
      <w:marLeft w:val="0"/>
      <w:marRight w:val="0"/>
      <w:marTop w:val="0"/>
      <w:marBottom w:val="0"/>
      <w:divBdr>
        <w:top w:val="none" w:sz="0" w:space="0" w:color="auto"/>
        <w:left w:val="none" w:sz="0" w:space="0" w:color="auto"/>
        <w:bottom w:val="none" w:sz="0" w:space="0" w:color="auto"/>
        <w:right w:val="none" w:sz="0" w:space="0" w:color="auto"/>
      </w:divBdr>
    </w:div>
    <w:div w:id="2066180034">
      <w:bodyDiv w:val="1"/>
      <w:marLeft w:val="0"/>
      <w:marRight w:val="0"/>
      <w:marTop w:val="0"/>
      <w:marBottom w:val="0"/>
      <w:divBdr>
        <w:top w:val="none" w:sz="0" w:space="0" w:color="auto"/>
        <w:left w:val="none" w:sz="0" w:space="0" w:color="auto"/>
        <w:bottom w:val="none" w:sz="0" w:space="0" w:color="auto"/>
        <w:right w:val="none" w:sz="0" w:space="0" w:color="auto"/>
      </w:divBdr>
    </w:div>
    <w:div w:id="2080247868">
      <w:bodyDiv w:val="1"/>
      <w:marLeft w:val="0"/>
      <w:marRight w:val="0"/>
      <w:marTop w:val="0"/>
      <w:marBottom w:val="0"/>
      <w:divBdr>
        <w:top w:val="none" w:sz="0" w:space="0" w:color="auto"/>
        <w:left w:val="none" w:sz="0" w:space="0" w:color="auto"/>
        <w:bottom w:val="none" w:sz="0" w:space="0" w:color="auto"/>
        <w:right w:val="none" w:sz="0" w:space="0" w:color="auto"/>
      </w:divBdr>
    </w:div>
    <w:div w:id="2085058103">
      <w:bodyDiv w:val="1"/>
      <w:marLeft w:val="0"/>
      <w:marRight w:val="0"/>
      <w:marTop w:val="0"/>
      <w:marBottom w:val="0"/>
      <w:divBdr>
        <w:top w:val="none" w:sz="0" w:space="0" w:color="auto"/>
        <w:left w:val="none" w:sz="0" w:space="0" w:color="auto"/>
        <w:bottom w:val="none" w:sz="0" w:space="0" w:color="auto"/>
        <w:right w:val="none" w:sz="0" w:space="0" w:color="auto"/>
      </w:divBdr>
    </w:div>
    <w:div w:id="210845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4182C-0CF6-194B-9BE5-4998BF0CA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5</Pages>
  <Words>3213</Words>
  <Characters>18320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Pino</dc:creator>
  <cp:keywords/>
  <dc:description/>
  <cp:lastModifiedBy>Maria Pino</cp:lastModifiedBy>
  <cp:revision>107</cp:revision>
  <dcterms:created xsi:type="dcterms:W3CDTF">2025-05-02T23:01:00Z</dcterms:created>
  <dcterms:modified xsi:type="dcterms:W3CDTF">2025-05-03T18:03:00Z</dcterms:modified>
</cp:coreProperties>
</file>