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D6A409" w14:textId="2F30161D" w:rsidR="007A332B" w:rsidRPr="008A16EB" w:rsidRDefault="007A332B" w:rsidP="008A16EB">
      <w:pPr>
        <w:spacing w:line="360" w:lineRule="auto"/>
        <w:jc w:val="both"/>
        <w:rPr>
          <w:rFonts w:ascii="Arial" w:eastAsia="Arial Unicode MS" w:hAnsi="Arial" w:cs="Arial"/>
          <w:b/>
          <w:bCs/>
          <w:sz w:val="24"/>
          <w:szCs w:val="24"/>
          <w:lang w:val="en-GB"/>
        </w:rPr>
      </w:pPr>
      <w:bookmarkStart w:id="0" w:name="_Hlk67654728"/>
      <w:r w:rsidRPr="008A16EB">
        <w:rPr>
          <w:rFonts w:ascii="Arial" w:eastAsia="Arial Unicode MS" w:hAnsi="Arial" w:cs="Arial"/>
          <w:b/>
          <w:bCs/>
          <w:sz w:val="24"/>
          <w:szCs w:val="24"/>
          <w:lang w:val="en-GB"/>
        </w:rPr>
        <w:t>SUPPLEMENTARY METHODS</w:t>
      </w:r>
    </w:p>
    <w:bookmarkEnd w:id="0"/>
    <w:p w14:paraId="5D3C27B0" w14:textId="5C53E717" w:rsidR="00DC531D" w:rsidRPr="008A16EB" w:rsidRDefault="00DC531D" w:rsidP="008A16EB">
      <w:pPr>
        <w:pStyle w:val="Prrafodelista"/>
        <w:numPr>
          <w:ilvl w:val="0"/>
          <w:numId w:val="9"/>
        </w:numPr>
        <w:spacing w:line="360" w:lineRule="auto"/>
        <w:ind w:left="720" w:hanging="720"/>
        <w:jc w:val="both"/>
        <w:rPr>
          <w:rFonts w:ascii="Arial" w:hAnsi="Arial" w:cs="Arial"/>
          <w:b/>
          <w:bCs/>
          <w:sz w:val="24"/>
          <w:szCs w:val="24"/>
          <w:lang w:val="en-US"/>
        </w:rPr>
      </w:pPr>
      <w:r w:rsidRPr="008A16EB">
        <w:rPr>
          <w:rFonts w:ascii="Arial" w:hAnsi="Arial" w:cs="Arial"/>
          <w:b/>
          <w:bCs/>
          <w:sz w:val="24"/>
          <w:szCs w:val="24"/>
          <w:lang w:val="en-US"/>
        </w:rPr>
        <w:t>THC treatment</w:t>
      </w:r>
    </w:p>
    <w:p w14:paraId="75FDCC4E" w14:textId="31BF0C74" w:rsidR="008A16EB" w:rsidRDefault="00DC531D" w:rsidP="008A16EB">
      <w:pPr>
        <w:spacing w:line="360" w:lineRule="auto"/>
        <w:ind w:firstLine="708"/>
        <w:jc w:val="both"/>
        <w:rPr>
          <w:rFonts w:ascii="Arial" w:eastAsia="Arial Unicode MS" w:hAnsi="Arial" w:cs="Arial"/>
          <w:sz w:val="24"/>
          <w:szCs w:val="24"/>
          <w:lang w:val="en-US"/>
        </w:rPr>
      </w:pPr>
      <w:bookmarkStart w:id="1" w:name="_Hlk31971869"/>
      <w:r w:rsidRPr="008A16EB">
        <w:rPr>
          <w:rFonts w:ascii="Arial" w:eastAsia="Arial Unicode MS" w:hAnsi="Arial" w:cs="Arial"/>
          <w:sz w:val="24"/>
          <w:szCs w:val="24"/>
          <w:lang w:val="en-US"/>
        </w:rPr>
        <w:t>Δ</w:t>
      </w:r>
      <w:r w:rsidRPr="008A16EB">
        <w:rPr>
          <w:rFonts w:ascii="Arial" w:eastAsia="Arial Unicode MS" w:hAnsi="Arial" w:cs="Arial"/>
          <w:sz w:val="24"/>
          <w:szCs w:val="24"/>
          <w:vertAlign w:val="superscript"/>
          <w:lang w:val="en-US"/>
        </w:rPr>
        <w:t>9</w:t>
      </w:r>
      <w:r w:rsidRPr="008A16EB">
        <w:rPr>
          <w:rFonts w:ascii="Arial" w:eastAsia="Arial Unicode MS" w:hAnsi="Arial" w:cs="Arial"/>
          <w:sz w:val="24"/>
          <w:szCs w:val="24"/>
          <w:lang w:val="en-US"/>
        </w:rPr>
        <w:t xml:space="preserve">-Tetrahydrocannabinol </w:t>
      </w:r>
      <w:bookmarkEnd w:id="1"/>
      <w:r w:rsidRPr="008A16EB">
        <w:rPr>
          <w:rFonts w:ascii="Arial" w:eastAsia="Arial Unicode MS" w:hAnsi="Arial" w:cs="Arial"/>
          <w:sz w:val="24"/>
          <w:szCs w:val="24"/>
          <w:lang w:val="en-US"/>
        </w:rPr>
        <w:t xml:space="preserve">(THC) was purchased from </w:t>
      </w:r>
      <w:r w:rsidR="001D03AF">
        <w:rPr>
          <w:rFonts w:ascii="Arial" w:eastAsia="Arial Unicode MS" w:hAnsi="Arial" w:cs="Arial"/>
          <w:sz w:val="24"/>
          <w:szCs w:val="24"/>
          <w:lang w:val="en-US"/>
        </w:rPr>
        <w:t>THCPharm (</w:t>
      </w:r>
      <w:r w:rsidR="0059018C">
        <w:rPr>
          <w:rFonts w:ascii="Arial" w:eastAsia="Arial Unicode MS" w:hAnsi="Arial" w:cs="Arial"/>
          <w:sz w:val="24"/>
          <w:szCs w:val="24"/>
          <w:lang w:val="en-US"/>
        </w:rPr>
        <w:t xml:space="preserve">Frankfurt, Germany) </w:t>
      </w:r>
      <w:r w:rsidRPr="008A16EB">
        <w:rPr>
          <w:rFonts w:ascii="Arial" w:eastAsia="Arial Unicode MS" w:hAnsi="Arial" w:cs="Arial"/>
          <w:sz w:val="24"/>
          <w:szCs w:val="24"/>
          <w:lang w:val="en-US"/>
        </w:rPr>
        <w:t xml:space="preserve">as resin, dissolved in pure ethanol (Merck) and stored at -30ºC in 0.5 mL aliquots in siliconized vials </w:t>
      </w:r>
      <w:r w:rsidR="00A83185">
        <w:rPr>
          <w:rFonts w:ascii="Arial" w:eastAsia="Arial Unicode MS" w:hAnsi="Arial" w:cs="Arial"/>
          <w:sz w:val="24"/>
          <w:szCs w:val="24"/>
          <w:lang w:val="en-US"/>
        </w:rPr>
        <w:t>(</w:t>
      </w:r>
      <w:r w:rsidR="00A83185" w:rsidRPr="008A16EB">
        <w:rPr>
          <w:rFonts w:ascii="Arial" w:eastAsia="Arial Unicode MS" w:hAnsi="Arial" w:cs="Arial"/>
          <w:sz w:val="24"/>
          <w:szCs w:val="24"/>
          <w:lang w:val="en-US"/>
        </w:rPr>
        <w:t xml:space="preserve">siliconized </w:t>
      </w:r>
      <w:r w:rsidR="00A83185">
        <w:rPr>
          <w:rFonts w:ascii="Arial" w:eastAsia="Arial Unicode MS" w:hAnsi="Arial" w:cs="Arial"/>
          <w:sz w:val="24"/>
          <w:szCs w:val="24"/>
          <w:lang w:val="en-US"/>
        </w:rPr>
        <w:t xml:space="preserve">with </w:t>
      </w:r>
      <w:r w:rsidR="00621605" w:rsidRPr="008A16EB">
        <w:rPr>
          <w:rFonts w:ascii="Arial" w:eastAsia="Arial Unicode MS" w:hAnsi="Arial" w:cs="Arial"/>
          <w:sz w:val="24"/>
          <w:szCs w:val="24"/>
          <w:lang w:val="en-US"/>
        </w:rPr>
        <w:t xml:space="preserve">Sigmacote; Merck) </w:t>
      </w:r>
      <w:r w:rsidRPr="008A16EB">
        <w:rPr>
          <w:rFonts w:ascii="Arial" w:eastAsia="Arial Unicode MS" w:hAnsi="Arial" w:cs="Arial"/>
          <w:sz w:val="24"/>
          <w:szCs w:val="24"/>
          <w:lang w:val="en-US"/>
        </w:rPr>
        <w:t>with a nitrogen-saturated atmosphere, protected from the light. Vehicle</w:t>
      </w:r>
      <w:r w:rsidR="004C6D93">
        <w:rPr>
          <w:rFonts w:ascii="Arial" w:eastAsia="Arial Unicode MS" w:hAnsi="Arial" w:cs="Arial"/>
          <w:sz w:val="24"/>
          <w:szCs w:val="24"/>
          <w:lang w:val="en-US"/>
        </w:rPr>
        <w:t xml:space="preserve"> (VEH)</w:t>
      </w:r>
      <w:r w:rsidRPr="008A16EB">
        <w:rPr>
          <w:rFonts w:ascii="Arial" w:eastAsia="Arial Unicode MS" w:hAnsi="Arial" w:cs="Arial"/>
          <w:sz w:val="24"/>
          <w:szCs w:val="24"/>
          <w:lang w:val="en-US"/>
        </w:rPr>
        <w:t xml:space="preserve"> aliquots were treated in the same way, but no THC was added. Each day the final solution was prepared by adding to each aliquot, kolliphor (PEG-35 castor oil; Merk) and saline (0.9% NaCl solution; Vitulia, Spain), 1:1:18 proportion, to a final volume of 10 mL. </w:t>
      </w:r>
    </w:p>
    <w:p w14:paraId="2E6EB4A5" w14:textId="1A04394E" w:rsidR="008F2BC3" w:rsidRPr="00CE0CBD" w:rsidRDefault="008F2BC3" w:rsidP="008A16EB">
      <w:pPr>
        <w:spacing w:line="360" w:lineRule="auto"/>
        <w:ind w:firstLine="708"/>
        <w:contextualSpacing/>
        <w:jc w:val="both"/>
        <w:rPr>
          <w:rFonts w:ascii="Arial" w:eastAsia="Arial Unicode MS" w:hAnsi="Arial" w:cs="Arial"/>
          <w:sz w:val="24"/>
          <w:szCs w:val="24"/>
          <w:lang w:val="en-US"/>
        </w:rPr>
      </w:pPr>
      <w:bookmarkStart w:id="2" w:name="_Hlk79408718"/>
      <w:r w:rsidRPr="0098460B">
        <w:rPr>
          <w:rFonts w:ascii="Arial" w:eastAsia="Adobe Kaiti Std R" w:hAnsi="Arial" w:cs="Arial"/>
          <w:sz w:val="24"/>
          <w:szCs w:val="24"/>
          <w:lang w:val="en-US"/>
        </w:rPr>
        <w:t xml:space="preserve">The dose of THC employed is considered mild and non-aversive </w:t>
      </w:r>
      <w:r w:rsidR="0098460B">
        <w:rPr>
          <w:rFonts w:ascii="Arial" w:eastAsia="Adobe Kaiti Std R" w:hAnsi="Arial" w:cs="Arial"/>
          <w:sz w:val="24"/>
          <w:szCs w:val="24"/>
          <w:lang w:val="en-US"/>
        </w:rPr>
        <w:t xml:space="preserve">but able to </w:t>
      </w:r>
      <w:r w:rsidRPr="0098460B">
        <w:rPr>
          <w:rFonts w:ascii="Arial" w:eastAsia="Adobe Kaiti Std R" w:hAnsi="Arial" w:cs="Arial"/>
          <w:sz w:val="24"/>
          <w:szCs w:val="24"/>
          <w:lang w:val="en-US"/>
        </w:rPr>
        <w:t xml:space="preserve">produce neurochemical changes in synaptic plasticity in brain regions involved in reward learning </w:t>
      </w:r>
      <w:r w:rsidR="009213D9" w:rsidRPr="0098460B">
        <w:rPr>
          <w:rFonts w:ascii="Arial" w:eastAsia="Adobe Kaiti Std R" w:hAnsi="Arial" w:cs="Arial"/>
          <w:sz w:val="24"/>
          <w:szCs w:val="24"/>
          <w:lang w:val="en-US"/>
        </w:rPr>
        <w:fldChar w:fldCharType="begin" w:fldLock="1"/>
      </w:r>
      <w:r w:rsidR="0098460B" w:rsidRPr="0098460B">
        <w:rPr>
          <w:rFonts w:ascii="Arial" w:eastAsia="Adobe Kaiti Std R" w:hAnsi="Arial" w:cs="Arial"/>
          <w:sz w:val="24"/>
          <w:szCs w:val="24"/>
          <w:lang w:val="en-US"/>
        </w:rPr>
        <w:instrText>ADDIN CSL_CITATION {"citationItems":[{"id":"ITEM-1","itemData":{"DOI":"10.1038/nn1251","ISSN":"10976256","PMID":"15146190","abstract":"Endogenous cannabinoids (eCB) mediate synaptic plasticity in brain regions involved in learning and reward. Here we show that in mice, a single in-vivo exposure to Δ9-tetrahydrocannabinol (THC) abolishes the retrograde signaling that underlies eCB-mediated synaptic plasticity in both nucleus accumbens (NAc) and hippocampus in vitro. This effect is reversible within 3 days and is associated with a transient modification in the functional properties of cannabinoid receptors.","author":[{"dropping-particle":"","family":"Mato","given":"Susana","non-dropping-particle":"","parse-names":false,"suffix":""},{"dropping-particle":"","family":"Chevaleyre","given":"Vivien","non-dropping-particle":"","parse-names":false,"suffix":""},{"dropping-particle":"","family":"Robbe","given":"David","non-dropping-particle":"","parse-names":false,"suffix":""},{"dropping-particle":"","family":"Pazos","given":"Angel","non-dropping-particle":"","parse-names":false,"suffix":""},{"dropping-particle":"","family":"Castillo","given":"Pablo E.","non-dropping-particle":"","parse-names":false,"suffix":""},{"dropping-particle":"","family":"Manzoni","given":"Olivier J.","non-dropping-particle":"","parse-names":false,"suffix":""}],"container-title":"Nature Neuroscience","id":"ITEM-1","issue":"6","issued":{"date-parts":[["2004","6"]]},"page":"585-586","publisher":"Nat Neurosci","title":"A single in-vivo exposure to Δ9THC blocks endocannabinoid-mediated synaptic plasticity","type":"article-journal","volume":"7"},"uris":["http://www.mendeley.com/documents/?uuid=b6ef33fe-6e02-3a59-9e21-c16965899606","http://www.mendeley.com/documents/?uuid=70a0f21c-d3b5-44c9-9669-334fbf363969"]},{"id":"ITEM-2","itemData":{"DOI":"10.1523/JNEUROSCI.2294-05.2005","ISSN":"02706474","PMID":"16354920","abstract":"Alterations of long-term synaptic plasticity have been proposed to participate in the development of addiction. To preserve synaptic functions, homeostatic processes must be engaged after exposure to abused drugs. At the mouse cortico-accumbens synapses, a single in vivo injection of Δ9-tetrahydrocannabinol (THC) suppresses endocannabinoid- mediated long-term depression. Using biochemical and electrophysiological approaches, we now report that 1 week of repeated in vivo THC treatment reduces the coupling efficiency of cannabinoid CB1 receptors (CB1Rs) to Gi/o transduction proteins, as well as CB1R-mediated inhibition of excitatory synaptic transmission at the excitatory synapses between the prefrontal cortex and the nucleus accumbens (NAc). Nonetheless, we found that cortico-accumbens synapses unexpectedly express normal long-term depression because of a reversible switch in its underlying mechanisms. The present data show that, in THC-treated mice, long-term depression is expressed because a presynaptic mGluR2/3 (metabotropic glutamate receptor 2/3)-dependent mechanism replaces the impaired endocannabinoid system. Thus, in the NAc, a novel form of presynaptic homeostasis rescues synaptic plasticity from THC-induced deficits. Copyright © 2005 Society for Neuroscience.","author":[{"dropping-particle":"","family":"Mato","given":"Susana","non-dropping-particle":"","parse-names":false,"suffix":""},{"dropping-particle":"","family":"Robbe","given":"David","non-dropping-particle":"","parse-names":false,"suffix":""},{"dropping-particle":"","family":"Puente","given":"Nagore","non-dropping-particle":"","parse-names":false,"suffix":""},{"dropping-particle":"","family":"Grandes","given":"Pedro","non-dropping-particle":"","parse-names":false,"suffix":""},{"dropping-particle":"","family":"Manzoni","given":"Olivier J.","non-dropping-particle":"","parse-names":false,"suffix":""}],"container-title":"Journal of Neuroscience","id":"ITEM-2","issue":"50","issued":{"date-parts":[["2005","12"]]},"page":"11619-11627","publisher":"Society for Neuroscience","title":"Presynaptic homeostatic plasticity rescues long-term depression after chronic Δ9-tetrahydrocannabinol exposure","type":"article-journal","volume":"25"},"uris":["http://www.mendeley.com/documents/?uuid=240ed99e-9e6f-3c15-87cf-3e2e5758c2b1","http://www.mendeley.com/documents/?uuid=88db3ea2-c408-43e1-b8e9-66bc91a3a113"]}],"mendeley":{"formattedCitation":"(Mato et al., 2004, 2005)","plainTextFormattedCitation":"(Mato et al., 2004, 2005)","previouslyFormattedCitation":"(Mato et al., 2004, 2005)"},"properties":{"noteIndex":0},"schema":"https://github.com/citation-style-language/schema/raw/master/csl-citation.json"}</w:instrText>
      </w:r>
      <w:r w:rsidR="009213D9" w:rsidRPr="0098460B">
        <w:rPr>
          <w:rFonts w:ascii="Arial" w:eastAsia="Adobe Kaiti Std R" w:hAnsi="Arial" w:cs="Arial"/>
          <w:sz w:val="24"/>
          <w:szCs w:val="24"/>
          <w:lang w:val="en-US"/>
        </w:rPr>
        <w:fldChar w:fldCharType="separate"/>
      </w:r>
      <w:r w:rsidR="00EE42DD" w:rsidRPr="0098460B">
        <w:rPr>
          <w:rFonts w:ascii="Arial" w:eastAsia="Adobe Kaiti Std R" w:hAnsi="Arial" w:cs="Arial"/>
          <w:noProof/>
          <w:sz w:val="24"/>
          <w:szCs w:val="24"/>
          <w:lang w:val="en-US"/>
        </w:rPr>
        <w:t>(Mato et al., 2004, 2005)</w:t>
      </w:r>
      <w:r w:rsidR="009213D9" w:rsidRPr="0098460B">
        <w:rPr>
          <w:rFonts w:ascii="Arial" w:eastAsia="Adobe Kaiti Std R" w:hAnsi="Arial" w:cs="Arial"/>
          <w:sz w:val="24"/>
          <w:szCs w:val="24"/>
          <w:lang w:val="en-US"/>
        </w:rPr>
        <w:fldChar w:fldCharType="end"/>
      </w:r>
      <w:r w:rsidRPr="0098460B">
        <w:rPr>
          <w:rFonts w:ascii="Arial" w:eastAsia="Adobe Kaiti Std R" w:hAnsi="Arial" w:cs="Arial"/>
          <w:sz w:val="24"/>
          <w:szCs w:val="24"/>
          <w:lang w:val="en-US"/>
        </w:rPr>
        <w:fldChar w:fldCharType="begin" w:fldLock="1"/>
      </w:r>
      <w:r w:rsidR="0098460B" w:rsidRPr="0098460B">
        <w:rPr>
          <w:rFonts w:ascii="Arial" w:eastAsia="Adobe Kaiti Std R" w:hAnsi="Arial" w:cs="Arial"/>
          <w:sz w:val="24"/>
          <w:szCs w:val="24"/>
          <w:lang w:val="en-US"/>
        </w:rPr>
        <w:instrText>ADDIN CSL_CITATION {"citationItems":[{"id":"ITEM-1","itemData":{"DOI":"10.1038/nn1251","ISSN":"10976256","PMID":"15146190","abstract":"Endogenous cannabinoids (eCB) mediate synaptic plasticity in brain regions involved in learning and reward. Here we show that in mice, a single in-vivo exposure to Δ9-tetrahydrocannabinol (THC) abolishes the retrograde signaling that underlies eCB-mediated synaptic plasticity in both nucleus accumbens (NAc) and hippocampus in vitro. This effect is reversible within 3 days and is associated with a transient modification in the functional properties of cannabinoid receptors.","author":[{"dropping-particle":"","family":"Mato","given":"Susana","non-dropping-particle":"","parse-names":false,"suffix":""},{"dropping-particle":"","family":"Chevaleyre","given":"Vivien","non-dropping-particle":"","parse-names":false,"suffix":""},{"dropping-particle":"","family":"Robbe","given":"David","non-dropping-particle":"","parse-names":false,"suffix":""},{"dropping-particle":"","family":"Pazos","given":"Angel","non-dropping-particle":"","parse-names":false,"suffix":""},{"dropping-particle":"","family":"Castillo","given":"Pablo E.","non-dropping-particle":"","parse-names":false,"suffix":""},{"dropping-particle":"","family":"Manzoni","given":"Olivier J.","non-dropping-particle":"","parse-names":false,"suffix":""}],"container-title":"Nature Neuroscience","id":"ITEM-1","issue":"6","issued":{"date-parts":[["2004","6"]]},"page":"585-586","publisher":"Nat Neurosci","title":"A single in-vivo exposure to Δ9THC blocks endocannabinoid-mediated synaptic plasticity","type":"article-journal","volume":"7"},"uris":["http://www.mendeley.com/documents/?uuid=70a0f21c-d3b5-44c9-9669-334fbf363969","http://www.mendeley.com/documents/?uuid=b6ef33fe-6e02-3a59-9e21-c16965899606"]},{"id":"ITEM-2","itemData":{"DOI":"10.1523/JNEUROSCI.2294-05.2005","ISSN":"02706474","PMID":"16354920","abstract":"Alterations of long-term synaptic plasticity have been proposed to participate in the development of addiction. To preserve synaptic functions, homeostatic processes must be engaged after exposure to abused drugs. At the mouse cortico-accumbens synapses, a single in vivo injection of Δ9-tetrahydrocannabinol (THC) suppresses endocannabinoid- mediated long-term depression. Using biochemical and electrophysiological approaches, we now report that 1 week of repeated in vivo THC treatment reduces the coupling efficiency of cannabinoid CB1 receptors (CB1Rs) to Gi/o transduction proteins, as well as CB1R-mediated inhibition of excitatory synaptic transmission at the excitatory synapses between the prefrontal cortex and the nucleus accumbens (NAc). Nonetheless, we found that cortico-accumbens synapses unexpectedly express normal long-term depression because of a reversible switch in its underlying mechanisms. The present data show that, in THC-treated mice, long-term depression is expressed because a presynaptic mGluR2/3 (metabotropic glutamate receptor 2/3)-dependent mechanism replaces the impaired endocannabinoid system. Thus, in the NAc, a novel form of presynaptic homeostasis rescues synaptic plasticity from THC-induced deficits. Copyright © 2005 Society for Neuroscience.","author":[{"dropping-particle":"","family":"Mato","given":"Susana","non-dropping-particle":"","parse-names":false,"suffix":""},{"dropping-particle":"","family":"Robbe","given":"David","non-dropping-particle":"","parse-names":false,"suffix":""},{"dropping-particle":"","family":"Puente","given":"Nagore","non-dropping-particle":"","parse-names":false,"suffix":""},{"dropping-particle":"","family":"Grandes","given":"Pedro","non-dropping-particle":"","parse-names":false,"suffix":""},{"dropping-particle":"","family":"Manzoni","given":"Olivier J.","non-dropping-particle":"","parse-names":false,"suffix":""}],"container-title":"Journal of Neuroscience","id":"ITEM-2","issue":"50","issued":{"date-parts":[["2005","12"]]},"page":"11619-11627","publisher":"Society for Neuroscience","title":"Presynaptic homeostatic plasticity rescues long-term depression after chronic Δ9-tetrahydrocannabinol exposure","type":"article-journal","volume":"25"},"uris":["http://www.mendeley.com/documents/?uuid=88db3ea2-c408-43e1-b8e9-66bc91a3a113","http://www.mendeley.com/documents/?uuid=240ed99e-9e6f-3c15-87cf-3e2e5758c2b1","http://www.mendeley.com/documents/?uuid=096b5aa1-0759-4be2-8e54-1af8ba48a8b6"]}],"mendeley":{"formattedCitation":"(Mato et al., 2004, 2005)","plainTextFormattedCitation":"(Mato et al., 2004, 2005)","previouslyFormattedCitation":"(Mato et al., 2004, 2005)"},"properties":{"noteIndex":0},"schema":"https://github.com/citation-style-language/schema/raw/master/csl-citation.json"}</w:instrText>
      </w:r>
      <w:r w:rsidRPr="0098460B">
        <w:rPr>
          <w:rFonts w:ascii="Arial" w:eastAsia="Adobe Kaiti Std R" w:hAnsi="Arial" w:cs="Arial"/>
          <w:sz w:val="24"/>
          <w:szCs w:val="24"/>
          <w:lang w:val="en-US"/>
        </w:rPr>
        <w:fldChar w:fldCharType="end"/>
      </w:r>
      <w:r w:rsidR="00EF3A3F">
        <w:rPr>
          <w:rFonts w:ascii="Arial" w:eastAsia="Adobe Kaiti Std R" w:hAnsi="Arial" w:cs="Arial"/>
          <w:sz w:val="24"/>
          <w:szCs w:val="24"/>
          <w:lang w:val="en-US"/>
        </w:rPr>
        <w:t>.</w:t>
      </w:r>
      <w:r w:rsidR="00875242" w:rsidRPr="0098460B">
        <w:rPr>
          <w:rFonts w:ascii="Arial" w:eastAsia="Adobe Kaiti Std R" w:hAnsi="Arial" w:cs="Arial"/>
          <w:sz w:val="24"/>
          <w:szCs w:val="24"/>
          <w:lang w:val="en-US"/>
        </w:rPr>
        <w:t xml:space="preserve"> </w:t>
      </w:r>
      <w:bookmarkStart w:id="3" w:name="_Hlk79406168"/>
      <w:r w:rsidR="0098460B" w:rsidRPr="00FA54E7">
        <w:rPr>
          <w:rFonts w:ascii="Arial" w:hAnsi="Arial" w:cs="Arial"/>
          <w:sz w:val="24"/>
          <w:szCs w:val="24"/>
          <w:lang w:val="en-US"/>
        </w:rPr>
        <w:t>Moreover, a dose of 3</w:t>
      </w:r>
      <w:r w:rsidR="00E16CCE">
        <w:rPr>
          <w:rFonts w:ascii="Arial" w:hAnsi="Arial" w:cs="Arial"/>
          <w:sz w:val="24"/>
          <w:szCs w:val="24"/>
          <w:lang w:val="en-US"/>
        </w:rPr>
        <w:t xml:space="preserve"> </w:t>
      </w:r>
      <w:r w:rsidR="0098460B" w:rsidRPr="00FA54E7">
        <w:rPr>
          <w:rFonts w:ascii="Arial" w:hAnsi="Arial" w:cs="Arial"/>
          <w:sz w:val="24"/>
          <w:szCs w:val="24"/>
          <w:lang w:val="en-US"/>
        </w:rPr>
        <w:t>mg/kg i.p. has been shown to produce peak plasma levels near those which a human user would experience after inhalation of 34 mg of marijuana</w:t>
      </w:r>
      <w:r w:rsidR="00CE0CBD">
        <w:rPr>
          <w:rFonts w:ascii="Arial" w:hAnsi="Arial" w:cs="Arial"/>
          <w:sz w:val="24"/>
          <w:szCs w:val="24"/>
          <w:lang w:val="en-US"/>
        </w:rPr>
        <w:t xml:space="preserve"> </w:t>
      </w:r>
      <w:bookmarkStart w:id="4" w:name="_Hlk79408991"/>
      <w:r w:rsidR="00CE0CBD">
        <w:rPr>
          <w:rFonts w:ascii="Arial" w:hAnsi="Arial" w:cs="Arial"/>
          <w:sz w:val="24"/>
          <w:szCs w:val="24"/>
          <w:lang w:val="en-US"/>
        </w:rPr>
        <w:fldChar w:fldCharType="begin" w:fldLock="1"/>
      </w:r>
      <w:r w:rsidR="00EF3A3F">
        <w:rPr>
          <w:rFonts w:ascii="Arial" w:hAnsi="Arial" w:cs="Arial"/>
          <w:sz w:val="24"/>
          <w:szCs w:val="24"/>
          <w:lang w:val="en-US"/>
        </w:rPr>
        <w:instrText>ADDIN CSL_CITATION {"citationItems":[{"id":"ITEM-1","itemData":{"DOI":"10.1016/j.ntt.2016.02.005","ISSN":"08920362","PMID":"26898326","abstract":"Adolescents who use marijuana are more likely to exhibit anxiety, depression, and other mood disorders, including psychotic-like symptoms. Additionally, the age at onset of use and the stress history of the individual can affect responses to cannabis. To examine the effect of early life experience on adolescent Δ-9-tetrahydrocannabinol (THC) exposure, we exposed adolescent (postnatal day (P) 29-38) male and female rats, either shipped from a supplier or born in our vivarium, to once daily injections of 3mg/kg THC. Our findings suggest that males are more sensitive to the anxiolytic and antidepressant effects of THC, as measured by the elevated plus maze (EPM) and forced swim test (FST), respectively, than females. Exposure to the FST increased plasma corticosterone levels, regardless of drug treatment or origin and females had higher levels than males overall. Shipping increased THC responses in females (acoustic startle habituation) and in males (latency to immobility in FST). No significant effects of THC or shipping on pre-pulse inhibition were observed. Due to differences in timing of puberty in males and females during the P29-38 period of THC treatment, we also dosed female rats between P21-30 (pre-puberty) and male rats between P39-48 (puberty). Pre-pubertal animals showed reductions in anxiety on the EPM, an effect that was not seen in animals treated during puberty. These results suggest that both sexes are more susceptible to changes in emotional behavior when THC exposure occurs just prior to the onset of puberty. Within the animals dosed from P29-38, THC increased cannabinoid receptor 1 (CB1R) mRNA expression and tended to decrease CP55,940 stimulated [35S]GTPγS binding in the central amygdala only of females. Therefore, early stress enhances THC responses in males (in FST) and females (ASR habituation), THC alters CB1R expression and function in females only and prepubescent rats are generally more responsive to THC than pubertal rats. In summary, THC and stress interact with the developing endocannabinoid system in a sex specific manner during the peri-pubertal period.","author":[{"dropping-particle":"","family":"Silva","given":"Lindsay","non-dropping-particle":"","parse-names":false,"suffix":""},{"dropping-particle":"","family":"Black","given":"Rita","non-dropping-particle":"","parse-names":false,"suffix":""},{"dropping-particle":"","family":"Michaelides","given":"Michael","non-dropping-particle":"","parse-names":false,"suffix":""},{"dropping-particle":"","family":"Hurd","given":"Yasmin L.","non-dropping-particle":"","parse-names":false,"suffix":""},{"dropping-particle":"","family":"Dow-Edwards","given":"Diana","non-dropping-particle":"","parse-names":false,"suffix":""}],"container-title":"Neurotoxicology and Teratology","id":"ITEM-1","issued":{"date-parts":[["2016","11"]]},"page":"88-100","title":"Sex and age specific effects of delta-9-tetrahydrocannabinol during the periadolescent period in the rat: The unique susceptibility of the prepubescent animal","type":"article-journal","volume":"58"},"uris":["http://www.mendeley.com/documents/?uuid=aa3f6577-fb0e-4f40-8a0c-9f58056bee26"]},{"id":"ITEM-2","itemData":{"abstract":"Delta(9)-Tetrahydrocannabinol (THC) is the main source of the pharmacological effects caused by the consumption of cannabis, both the marijuana-like action and the medicinal benefits of the plant. However, its acid metabolite THC-COOH, the non-psychotropic cannabidiol (CBD), several cannabinoid analogues and newly discovered modulators of the endogenous cannabinoid system are also promising candidates for clinical research and therapeutic uses. Cannabinoids exert many effects through activation of G-protein-coupled cannabinoid receptors in the brain and peripheral tissues. Additionally, there is evidence for non-receptor-dependent mechanisms. Natural cannabis products and single cannabinoids are usually inhaled or taken orally; the rectal route, sublingual administration, transdermal delivery, eye drops and aerosols have only been used in a few studies and are of little relevance in practice today. The pharmacokinetics of THC vary as a function of its route of administration. Pulmonary assimilation of inhaled THC causes a maximum plasma concentration within minutes, psychotropic effects start within seconds to a few minutes, reach a maximum after 15-30 minutes, and taper off within 2-3 hours. Following oral ingestion, psychotropic effects set in with a delay of 30-90 minutes, reach their maximum after 2-3 hours and last for about 4-12 hours, depending on dose and specific effect. At doses exceeding the psychotropic threshold, ingestion of cannabis usually causes enhanced well-being and relaxation with an intensification of ordinary sensory experiences. The most important acute adverse effects caused by overdosing are anxiety and panic attacks, and with regard to somatic effects increased heart rate and changes in blood pressure. Regular use of cannabis may lead to dependency and to a mild withdrawal syndrome. The existence and the intensity of possible long-term adverse effects on psyche and cognition, immune system, fertility and pregnancy remain controversial. They are reported to be low in humans and do not preclude legitimate therapeutic use of cannabis-based drugs. Properties of cannabis that might be of therapeutic use include analgesia, muscle relaxation, immunosuppression, sedation, improvement of mood, stimulation of appetite, antiemesis, lowering of intraocular pressure, bronchodilation, neuroprotection and induction of apoptosis in cancer cells.","author":[{"dropping-particle":"","family":"Grotehermen","given":"Franjo","non-dropping-particle":"","parse-names":false,"suffix":""}],"container-title":"Clinical Pharmacokinetics","id":"ITEM-2","issue":"4","issued":{"date-parts":[["2003"]]},"page":"327-360","title":"Pharmacokinetics and pharmacodynamics of cannabinoids","type":"article-journal","volume":"42"},"uris":["http://www.mendeley.com/documents/?uuid=9ce8c5a2-a3fd-4bd1-bba2-6045fa486134"]},{"id":"ITEM-3","itemData":{"DOI":"10.1016/j.bbr.2012.02.048","ISSN":"1872-7549","PMID":"22421367","abstract":"Research suggests that the use and abuse of marijuana can be especially harmful if it occurs during adolescence, a period of vast developmental changes throughout the brain. Due to the localization of cannabinoid receptors within the limbic system and the established effects of cannabinoids on emotional states and anxiety levels of rats and humans, we studied the sex- and dose-related effects of Δ⁹-tetrahydrocannabinol (THC, the main psychoactive component in marijuana) on behavior and anxiety during spontaneous withdrawal. Male and female Sprague Dawley rats were administered 2, 7.5 or 15 mg/kg THC or vehicle from postnatal day 35-41 (approximating mid-adolescence in humans). Locomotor activity and anxiety-related behaviors were measured during drug administration and abstinence. THC caused significant dose-dependent locomotor depression during drug administration. Locomotor depression initially abated upon drug cessation, but re-emerged by the end of the abstinence period and was greater in female than male rats. We found sensitization to the locomotor-depressing effects of THC in middle- and high-dose rats and the subsequent development of tolerance in high-dose rats. The high dose of THC increased anxiety-like behaviors while the low dose decreased anxiety-like behaviors during drug administration, with females more sensitive to the anxiogenic effects of THC than males. During abstinence, females were again especially sensitive to the anxiogenic effects of THC. This study demonstrates sexually-dimorphic effects of THC on anxiety-related behaviors and locomotor activity during and after THC administration during adolescence. This information may be useful in the development of therapeutic approaches for the treatment of marijuana withdrawal in adolescents.","author":[{"dropping-particle":"","family":"Harte-Hargrove","given":"Lauren C","non-dropping-particle":"","parse-names":false,"suffix":""},{"dropping-particle":"","family":"Dow-Edwards","given":"Diana L","non-dropping-particle":"","parse-names":false,"suffix":""}],"container-title":"Behavioural brain research","id":"ITEM-3","issue":"1","issued":{"date-parts":[["2012","5","16"]]},"page":"48-59","publisher":"Elsevier B.V.","title":"Withdrawal from THC during adolescence: sex differences in locomotor activity and anxiety.","type":"article-journal","volume":"231"},"uris":["http://www.mendeley.com/documents/?uuid=6c3b0ecb-f30c-40ca-b7c2-8fc5556a695e"]},{"id":"ITEM-4","itemData":{"DOI":"10.1007/s00213-006-0508-y","ISSN":"0033-3158","PMID":"17019571","abstract":"RATIONALE: Cannabis is one of the most frequently used substances. Cannabis and its constituent cannabinoids are known to impair several aspects of cognitive function, with the most robust effects on short-term episodic and working memory in humans. A large body of the work in this area occurred in the 1970s before the discovery of cannabinoid receptors. Recent advances in the knowledge of cannabinoid receptors' function have rekindled interest in examining effects of exogenous cannabinoids on memory and in understanding the mechanism of these effects.\n\nOBJECTIVE: The literature about the acute effects of cannabinoids on memory tasks in humans is reviewed. The limitations of the human literature including issues of dose, route of administration, small sample sizes, sample selection, effects of other drug use, tolerance and dependence to cannabinoids, and the timing and sensitivity of psychological tests are discussed. Finally, the human literature is discussed against the backdrop of preclinical findings.\n\nRESULTS: Acute administration of Delta-9-THC transiently impairs immediate and delayed free recall of information presented after, but not before, drug administration in a dose- and delay-dependent manner. In particular, cannabinoids increase intrusion errors. These effects are more robust with the inhaled and intravenous route and correspond to peak drug levels.\n\nCONCLUSIONS: This profile of effects suggests that cannabinoids impair all stages of memory including encoding, consolidation, and retrieval. Several mechanisms, including effects on long-term potentiation and long-term depression and the inhibition of neurotransmitter (GABA, glutamate, acetyl choline, dopamine) release, have been implicated in the amnestic effects of cannabinoids. Future research in humans is necessary to characterize the neuroanatomical and neurochemical basis of the memory impairing effects of cannabinoids, to dissect out their effects on the various stages of memory and to bridge the expanding gap between the humans and preclinical literature.","author":[{"dropping-particle":"","family":"Ranganathan","given":"Mohini","non-dropping-particle":"","parse-names":false,"suffix":""},{"dropping-particle":"","family":"D'Souza","given":"Deepak Cyril","non-dropping-particle":"","parse-names":false,"suffix":""}],"container-title":"Psychopharmacology","id":"ITEM-4","issue":"4","issued":{"date-parts":[["2006","11"]]},"page":"425-44","title":"The acute effects of cannabinoids on memory in humans: a review.","type":"article-journal","volume":"188"},"uris":["http://www.mendeley.com/documents/?uuid=2d00d51b-82f9-488d-9fc9-51a43da743db"]}],"mendeley":{"formattedCitation":"(Grotehermen, 2003; Ranganathan and D’Souza, 2006; Harte-Hargrove and Dow-Edwards, 2012; Silva et al., 2016)","plainTextFormattedCitation":"(Grotehermen, 2003; Ranganathan and D’Souza, 2006; Harte-Hargrove and Dow-Edwards, 2012; Silva et al., 2016)","previouslyFormattedCitation":"(Grotehermen, 2003; Ranganathan and D’Souza, 2006; Harte-Hargrove and Dow-Edwards, 2012; Silva et al., 2016)"},"properties":{"noteIndex":0},"schema":"https://github.com/citation-style-language/schema/raw/master/csl-citation.json"}</w:instrText>
      </w:r>
      <w:r w:rsidR="00CE0CBD">
        <w:rPr>
          <w:rFonts w:ascii="Arial" w:hAnsi="Arial" w:cs="Arial"/>
          <w:sz w:val="24"/>
          <w:szCs w:val="24"/>
          <w:lang w:val="en-US"/>
        </w:rPr>
        <w:fldChar w:fldCharType="separate"/>
      </w:r>
      <w:r w:rsidR="00CE0CBD" w:rsidRPr="00CE0CBD">
        <w:rPr>
          <w:rFonts w:ascii="Arial" w:hAnsi="Arial" w:cs="Arial"/>
          <w:noProof/>
          <w:sz w:val="24"/>
          <w:szCs w:val="24"/>
          <w:lang w:val="en-US"/>
        </w:rPr>
        <w:t>(Grotehermen, 2003; Ranganathan and D’Souza, 2006; Harte-Hargrove and Dow-Edwards, 2012; Silva et al., 2016)</w:t>
      </w:r>
      <w:r w:rsidR="00CE0CBD">
        <w:rPr>
          <w:rFonts w:ascii="Arial" w:hAnsi="Arial" w:cs="Arial"/>
          <w:sz w:val="24"/>
          <w:szCs w:val="24"/>
          <w:lang w:val="en-US"/>
        </w:rPr>
        <w:fldChar w:fldCharType="end"/>
      </w:r>
      <w:bookmarkEnd w:id="4"/>
      <w:r w:rsidR="0098460B" w:rsidRPr="00FA54E7">
        <w:rPr>
          <w:rFonts w:ascii="Arial" w:hAnsi="Arial" w:cs="Arial"/>
          <w:sz w:val="24"/>
          <w:szCs w:val="24"/>
          <w:lang w:val="en-US"/>
        </w:rPr>
        <w:t>, a concentration that is not rare in clinical controlled settings</w:t>
      </w:r>
      <w:r w:rsidR="00EF3A3F">
        <w:rPr>
          <w:rFonts w:ascii="Arial" w:hAnsi="Arial" w:cs="Arial"/>
          <w:sz w:val="24"/>
          <w:szCs w:val="24"/>
          <w:lang w:val="en-US"/>
        </w:rPr>
        <w:t xml:space="preserve"> </w:t>
      </w:r>
      <w:r w:rsidR="00EF3A3F">
        <w:rPr>
          <w:rFonts w:ascii="Arial" w:hAnsi="Arial" w:cs="Arial"/>
          <w:sz w:val="24"/>
          <w:szCs w:val="24"/>
          <w:lang w:val="en-US"/>
        </w:rPr>
        <w:fldChar w:fldCharType="begin" w:fldLock="1"/>
      </w:r>
      <w:r w:rsidR="00EF3A3F">
        <w:rPr>
          <w:rFonts w:ascii="Arial" w:hAnsi="Arial" w:cs="Arial"/>
          <w:sz w:val="24"/>
          <w:szCs w:val="24"/>
          <w:lang w:val="en-US"/>
        </w:rPr>
        <w:instrText>ADDIN CSL_CITATION {"citationItems":[{"id":"ITEM-1","itemData":{"DOI":"10.1093/JAT/16.5.276","ISSN":"0146-4760","PMID":"1338215","abstract":"∆9-Tetrahydrocannabinol (THC), the primary psychoactive constituent of marijuana, is rapidly transferred from lungs to blood during smoking. Oxidative metabolism of THC yields the active metabolite, 11-hydroxy-∆9-tetrahydrocannabinol (11-OH- THC), and the inactive metabolite, 11-nor-9-carboxy-∆9- tetrahydrocannabinol (THCCOOH). Characterization of THC’s absorption phase is important because of the rapidity with which THC penetrates the central nervous system to produce psychoactive effects. This study incorporated a highly automated procedure to sample blood and to capture rapid drug level changes during and following smoking. Human subjects smoked one marijuana cigarette (placebo, 1.75%, or 3.55% THC) once a week according to a randomized, crossover, double-blind Latin square design. Samples were analyzed by GC/MS for THC, 11-OH THC, and THCCOOH. THC levels increased rapidly, peaked prior to the end of smoking, and quickly dissipated. Mean peak 11-OH-THC levels were substantially lower than THC levels and occurred immediately after the end of smoking. THCCOOH levels increased slowly and plateaued for an extended period. The mean peak time for THCCOOH was 113 min and a correspondingly longer time course of detection was observed. This study provides the first complete pharmacokinetic profile of the absorption of THC and appearance of metabolites during marijuana smoking. These findings have implications for understanding the mechanisms underlying the performance-impairing effects of marijuana, as well as for aiding forensic interpretation of cannabinoid blood levels. © 1992, Oxford University Press. All rights reserved.","author":[{"dropping-particle":"","family":"Huestis","given":"MA","non-dropping-particle":"","parse-names":false,"suffix":""},{"dropping-particle":"","family":"Henningfield","given":"JE","non-dropping-particle":"","parse-names":false,"suffix":""},{"dropping-particle":"","family":"Cone","given":"EJ","non-dropping-particle":"","parse-names":false,"suffix":""}],"container-title":"Journal of analytical toxicology","id":"ITEM-1","issue":"5","issued":{"date-parts":[["1992"]]},"page":"276-282","publisher":"J Anal Toxicol","title":"Blood cannabinoids. I. Absorption of THC and formation of 11-OH-THC and THCCOOH during and after smoking marijuana","type":"article-journal","volume":"16"},"uris":["http://www.mendeley.com/documents/?uuid=fd72f73f-9d35-3e5e-826c-8ca4faefdf69"]}],"mendeley":{"formattedCitation":"(Huestis et al., 1992)","plainTextFormattedCitation":"(Huestis et al., 1992)"},"properties":{"noteIndex":0},"schema":"https://github.com/citation-style-language/schema/raw/master/csl-citation.json"}</w:instrText>
      </w:r>
      <w:r w:rsidR="00EF3A3F">
        <w:rPr>
          <w:rFonts w:ascii="Arial" w:hAnsi="Arial" w:cs="Arial"/>
          <w:sz w:val="24"/>
          <w:szCs w:val="24"/>
          <w:lang w:val="en-US"/>
        </w:rPr>
        <w:fldChar w:fldCharType="separate"/>
      </w:r>
      <w:r w:rsidR="00EF3A3F" w:rsidRPr="00EF3A3F">
        <w:rPr>
          <w:rFonts w:ascii="Arial" w:hAnsi="Arial" w:cs="Arial"/>
          <w:noProof/>
          <w:sz w:val="24"/>
          <w:szCs w:val="24"/>
          <w:lang w:val="en-US"/>
        </w:rPr>
        <w:t>(Huestis et al., 1992)</w:t>
      </w:r>
      <w:r w:rsidR="00EF3A3F">
        <w:rPr>
          <w:rFonts w:ascii="Arial" w:hAnsi="Arial" w:cs="Arial"/>
          <w:sz w:val="24"/>
          <w:szCs w:val="24"/>
          <w:lang w:val="en-US"/>
        </w:rPr>
        <w:fldChar w:fldCharType="end"/>
      </w:r>
      <w:r w:rsidR="0098460B" w:rsidRPr="00FA54E7">
        <w:rPr>
          <w:rFonts w:ascii="Arial" w:hAnsi="Arial" w:cs="Arial"/>
          <w:sz w:val="24"/>
          <w:szCs w:val="24"/>
          <w:lang w:val="en-US"/>
        </w:rPr>
        <w:t xml:space="preserve">. </w:t>
      </w:r>
      <w:r w:rsidR="00EF3A3F">
        <w:rPr>
          <w:rFonts w:ascii="Arial" w:hAnsi="Arial" w:cs="Arial"/>
          <w:sz w:val="24"/>
          <w:szCs w:val="24"/>
          <w:lang w:val="en-US"/>
        </w:rPr>
        <w:t>In addition</w:t>
      </w:r>
      <w:r w:rsidR="0098460B">
        <w:rPr>
          <w:rFonts w:ascii="Arial" w:hAnsi="Arial" w:cs="Arial"/>
          <w:sz w:val="24"/>
          <w:szCs w:val="24"/>
          <w:lang w:val="en-US"/>
        </w:rPr>
        <w:t>, t</w:t>
      </w:r>
      <w:r w:rsidR="0098460B" w:rsidRPr="00FA54E7">
        <w:rPr>
          <w:rFonts w:ascii="Arial" w:hAnsi="Arial" w:cs="Arial"/>
          <w:sz w:val="24"/>
          <w:szCs w:val="24"/>
          <w:lang w:val="en-US"/>
        </w:rPr>
        <w:t>he 3 mg/kg dose of THC employed here is not likely to be aversive in adolescent rats</w:t>
      </w:r>
      <w:r w:rsidR="0098460B" w:rsidRPr="00FA54E7">
        <w:rPr>
          <w:rFonts w:ascii="Arial" w:eastAsia="Adobe Kaiti Std R" w:hAnsi="Arial" w:cs="Arial"/>
          <w:sz w:val="24"/>
          <w:szCs w:val="24"/>
          <w:lang w:val="en-GB"/>
        </w:rPr>
        <w:t xml:space="preserve">. This is concluded on the base of the experiments performed by Quinn and coworkers showing, in a place-conditioning paradigm, that while adult rats avoided a THC (5mg/kg i.p.) paired environment after either four or eight pairings, adolescent rats showed no significant place aversion </w:t>
      </w:r>
      <w:r w:rsidR="0098460B" w:rsidRPr="00FA54E7">
        <w:rPr>
          <w:rFonts w:ascii="Arial" w:eastAsia="Adobe Kaiti Std R" w:hAnsi="Arial" w:cs="Arial"/>
          <w:sz w:val="24"/>
          <w:szCs w:val="24"/>
          <w:lang w:val="en-GB"/>
        </w:rPr>
        <w:fldChar w:fldCharType="begin" w:fldLock="1"/>
      </w:r>
      <w:r w:rsidR="00CE0CBD">
        <w:rPr>
          <w:rFonts w:ascii="Arial" w:eastAsia="Adobe Kaiti Std R" w:hAnsi="Arial" w:cs="Arial"/>
          <w:sz w:val="24"/>
          <w:szCs w:val="24"/>
          <w:lang w:val="en-GB"/>
        </w:rPr>
        <w:instrText>ADDIN CSL_CITATION {"citationItems":[{"id":"ITEM-1","itemData":{"PMID":"17581536","abstract":"The current study examined whether adolescent rats are more vulnerable than adult rats to the lasting adverse effects of cannabinoid exposure on brain and behavior. Male Wistar rats were repeatedly exposed to Delta-9-tetrahydrocannabinol (Delta(9)-THC, 5 mg/kg i.p.) in a place-conditioning paradigm during either the adolescent (post-natal day 28+) or adult (post-natal day 60+) developmental stages. Adult rats avoided a Delta(9)-THC-paired environment after either four or eight pairings and this avoidance persisted for at least 16 days following the final Delta(9)-THC injection. In contrast, adolescent rats showed no significant place aversion. Adult Delta(9)-THC-treated rats produced more vocalizations than adolescent rats when handled during the intoxicated state, also suggesting greater drug-induced aversion. After a 10-15 day washout, both adult and adolescent Delta(9)-THC pretreated rats showed decreased social interaction, while only Delta(9)-THC pretreated adolescent rats showed significantly impaired object recognition memory. Seventeen days following their last Delta(9)-THC injection, rats were euthanased and hippocampal tissue processed using two-dimensional gel electrophoresis proteomics. There was no evidence of residual Delta(9)-THC being present in blood at this time. Proteomic analysis uncovered 27 proteins, many involved in regulating oxidative stress/mitochondrial functioning and cytoarchitecture, which were differentially expressed in adolescent Delta(9)-THC pretreated rats relative to adolescent controls. In adults, only 10 hippocampal proteins were differentially expressed in Delta(9)-THC compared to vehicle-pretreated controls. Overall these findings suggest that adolescent rats find repeated Delta(9)-THC exposure less aversive than adults, but that cannabinoid exposure causes greater lasting memory deficits and hippocampal alterations in adolescent than adult rats.","author":[{"dropping-particle":"","family":"Quinn","given":"H R","non-dropping-particle":"","parse-names":false,"suffix":""},{"dropping-particle":"","family":"Matsumoto","given":"I","non-dropping-particle":"","parse-names":false,"suffix":""},{"dropping-particle":"","family":"Callaghan","given":"P D","non-dropping-particle":"","parse-names":false,"suffix":""},{"dropping-particle":"","family":"Long","given":"L E","non-dropping-particle":"","parse-names":false,"suffix":""},{"dropping-particle":"","family":"Arnold","given":"J C","non-dropping-particle":"","parse-names":false,"suffix":""},{"dropping-particle":"","family":"Gunasekaran","given":"N","non-dropping-particle":"","parse-names":false,"suffix":""},{"dropping-particle":"","family":"Thompson","given":"M R","non-dropping-particle":"","parse-names":false,"suffix":""},{"dropping-particle":"","family":"Dawson","given":"B","non-dropping-particle":"","parse-names":false,"suffix":""},{"dropping-particle":"","family":"Mallet","given":"P E","non-dropping-particle":"","parse-names":false,"suffix":""},{"dropping-particle":"","family":"Kashem","given":"M A","non-dropping-particle":"","parse-names":false,"suffix":""},{"dropping-particle":"","family":"Matsuda-Matsumoto","given":"H","non-dropping-particle":"","parse-names":false,"suffix":""},{"dropping-particle":"","family":"Iwazaki","given":"T","non-dropping-particle":"","parse-names":false,"suffix":""},{"dropping-particle":"","family":"McGregor","given":"I S","non-dropping-particle":"","parse-names":false,"suffix":""}],"container-title":"Neuropsychopharmacology","id":"ITEM-1","issue":"5","issued":{"date-parts":[["2008"]]},"note":"0893-133X (Print)&lt;m:linebreak&gt;&lt;/m:linebreak&gt;Journal Article&lt;m:linebreak&gt;&lt;/m:linebreak&gt;Research Support, Non-U.S. Gov&amp;#039;t","page":"1113-1126","title":"Adolescent rats find repeated Delta(9)-THC less aversive than adult rats but display greater residual cognitive deficits and changes in hippocampal protein expression following exposure","type":"article-journal","volume":"33"},"uris":["http://www.mendeley.com/documents/?uuid=a1686086-1f0f-4096-947e-e887e9d4853c"]}],"mendeley":{"formattedCitation":"(Quinn et al., 2008)","plainTextFormattedCitation":"(Quinn et al., 2008)","previouslyFormattedCitation":"(Quinn et al., 2008)"},"properties":{"noteIndex":0},"schema":"https://github.com/citation-style-language/schema/raw/master/csl-citation.json"}</w:instrText>
      </w:r>
      <w:r w:rsidR="0098460B" w:rsidRPr="00FA54E7">
        <w:rPr>
          <w:rFonts w:ascii="Arial" w:eastAsia="Adobe Kaiti Std R" w:hAnsi="Arial" w:cs="Arial"/>
          <w:sz w:val="24"/>
          <w:szCs w:val="24"/>
          <w:lang w:val="en-GB"/>
        </w:rPr>
        <w:fldChar w:fldCharType="separate"/>
      </w:r>
      <w:r w:rsidR="0098460B" w:rsidRPr="00FA54E7">
        <w:rPr>
          <w:rFonts w:ascii="Arial" w:eastAsia="Adobe Kaiti Std R" w:hAnsi="Arial" w:cs="Arial"/>
          <w:noProof/>
          <w:sz w:val="24"/>
          <w:szCs w:val="24"/>
          <w:lang w:val="en-GB"/>
        </w:rPr>
        <w:t>(Quinn et al., 2008)</w:t>
      </w:r>
      <w:r w:rsidR="0098460B" w:rsidRPr="00FA54E7">
        <w:rPr>
          <w:rFonts w:ascii="Arial" w:eastAsia="Adobe Kaiti Std R" w:hAnsi="Arial" w:cs="Arial"/>
          <w:sz w:val="24"/>
          <w:szCs w:val="24"/>
          <w:lang w:val="en-GB"/>
        </w:rPr>
        <w:fldChar w:fldCharType="end"/>
      </w:r>
      <w:bookmarkEnd w:id="3"/>
      <w:r w:rsidR="0098460B" w:rsidRPr="00FA54E7">
        <w:rPr>
          <w:rFonts w:ascii="Arial" w:eastAsia="Adobe Kaiti Std R" w:hAnsi="Arial" w:cs="Arial"/>
          <w:sz w:val="24"/>
          <w:szCs w:val="24"/>
          <w:lang w:val="en-GB"/>
        </w:rPr>
        <w:t>.</w:t>
      </w:r>
      <w:r w:rsidR="0098460B" w:rsidRPr="00FA54E7">
        <w:rPr>
          <w:rFonts w:ascii="Arial" w:eastAsia="Adobe Kaiti Std R" w:hAnsi="Arial" w:cs="Arial"/>
          <w:b/>
          <w:bCs/>
          <w:sz w:val="24"/>
          <w:szCs w:val="24"/>
          <w:lang w:val="en-GB"/>
        </w:rPr>
        <w:t xml:space="preserve">  </w:t>
      </w:r>
      <w:r w:rsidR="0098460B" w:rsidRPr="00CE0CBD">
        <w:rPr>
          <w:rFonts w:ascii="Arial" w:eastAsia="Adobe Kaiti Std R" w:hAnsi="Arial" w:cs="Arial"/>
          <w:color w:val="FF0000"/>
          <w:sz w:val="24"/>
          <w:szCs w:val="24"/>
          <w:lang w:val="en-US"/>
        </w:rPr>
        <w:t xml:space="preserve"> </w:t>
      </w:r>
      <w:bookmarkEnd w:id="2"/>
      <w:r w:rsidRPr="00CE0CBD">
        <w:rPr>
          <w:rFonts w:ascii="Arial" w:eastAsia="Adobe Kaiti Std R" w:hAnsi="Arial" w:cs="Arial"/>
          <w:sz w:val="24"/>
          <w:szCs w:val="24"/>
          <w:lang w:val="en-US"/>
        </w:rPr>
        <w:t xml:space="preserve">The equivalency of this dose in human patterns of consumption would be similar to smoking one or two marihuana cigarettes (assuming a THC concentration </w:t>
      </w:r>
      <w:r w:rsidR="00C565E2" w:rsidRPr="00CE0CBD">
        <w:rPr>
          <w:rFonts w:ascii="Arial" w:eastAsia="Adobe Kaiti Std R" w:hAnsi="Arial" w:cs="Arial"/>
          <w:sz w:val="24"/>
          <w:szCs w:val="24"/>
          <w:lang w:val="en-US"/>
        </w:rPr>
        <w:t xml:space="preserve">of </w:t>
      </w:r>
      <w:r w:rsidRPr="00CE0CBD">
        <w:rPr>
          <w:rFonts w:ascii="Arial" w:eastAsia="Adobe Kaiti Std R" w:hAnsi="Arial" w:cs="Arial"/>
          <w:sz w:val="24"/>
          <w:szCs w:val="24"/>
          <w:lang w:val="en-US"/>
        </w:rPr>
        <w:t>around 8%).</w:t>
      </w:r>
      <w:r w:rsidR="0098460B" w:rsidRPr="00FA54E7">
        <w:rPr>
          <w:rFonts w:ascii="Arial" w:hAnsi="Arial" w:cs="Arial"/>
          <w:b/>
          <w:bCs/>
          <w:sz w:val="24"/>
          <w:szCs w:val="24"/>
          <w:lang w:val="en-US"/>
        </w:rPr>
        <w:t xml:space="preserve"> </w:t>
      </w:r>
      <w:r w:rsidRPr="0098460B">
        <w:rPr>
          <w:rFonts w:ascii="Arial" w:eastAsia="Adobe Kaiti Std R" w:hAnsi="Arial" w:cs="Arial"/>
          <w:sz w:val="24"/>
          <w:szCs w:val="24"/>
          <w:lang w:val="en-US"/>
        </w:rPr>
        <w:t xml:space="preserve">Regarding the ethanol exposure, in both the THC and </w:t>
      </w:r>
      <w:r w:rsidR="004C6D93" w:rsidRPr="0098460B">
        <w:rPr>
          <w:rFonts w:ascii="Arial" w:eastAsia="Adobe Kaiti Std R" w:hAnsi="Arial" w:cs="Arial"/>
          <w:sz w:val="24"/>
          <w:szCs w:val="24"/>
          <w:lang w:val="en-US"/>
        </w:rPr>
        <w:t>VEH</w:t>
      </w:r>
      <w:r w:rsidRPr="0098460B">
        <w:rPr>
          <w:rFonts w:ascii="Arial" w:eastAsia="Adobe Kaiti Std R" w:hAnsi="Arial" w:cs="Arial"/>
          <w:sz w:val="24"/>
          <w:szCs w:val="24"/>
          <w:lang w:val="en-US"/>
        </w:rPr>
        <w:t xml:space="preserve"> solutions, the concentration in the total volume is 5%, thus animals received a dose of approximately 0.0789 gr/kg that does not induce significant behavioral effects</w:t>
      </w:r>
      <w:r w:rsidR="004D15F6" w:rsidRPr="0098460B">
        <w:rPr>
          <w:rFonts w:ascii="Arial" w:eastAsia="Adobe Kaiti Std R" w:hAnsi="Arial" w:cs="Arial"/>
          <w:sz w:val="24"/>
          <w:szCs w:val="24"/>
          <w:lang w:val="en-US"/>
        </w:rPr>
        <w:t xml:space="preserve"> </w:t>
      </w:r>
      <w:r w:rsidRPr="00CE0CBD">
        <w:rPr>
          <w:rFonts w:ascii="Arial" w:eastAsia="Arial Unicode MS" w:hAnsi="Arial" w:cs="Arial"/>
          <w:sz w:val="24"/>
          <w:szCs w:val="24"/>
          <w:lang w:val="en-US"/>
        </w:rPr>
        <w:fldChar w:fldCharType="begin" w:fldLock="1"/>
      </w:r>
      <w:r w:rsidR="0098460B" w:rsidRPr="0098460B">
        <w:rPr>
          <w:rFonts w:ascii="Arial" w:eastAsia="Arial Unicode MS" w:hAnsi="Arial" w:cs="Arial"/>
          <w:sz w:val="24"/>
          <w:szCs w:val="24"/>
          <w:lang w:val="en-US"/>
        </w:rPr>
        <w:instrText>ADDIN CSL_CITATION {"citationItems":[{"id":"ITEM-1","itemData":{"DOI":"10.1007/BF00435856","ISSN":"00333158","PMID":"6803283","abstract":"The locomotor activity of groups of three CD-1 female mice was increased by 1.0 and 2.0 g/kg ethanol, IP, was decreased during the first hour and increased during the second hour by 3.0 and 4.0 g/kg, and was decreased by 5.0 g/kg. The dose (2.0 g/kg) that caused the greatest increase in locomotor activity did not impair motor coordination, measured by the height of aerial righting in mice. Tests after oral administration of ethanol showed that the increase in locomotor activity of mice was not due to peritoneal irritation. The same dose (2.0 g/kg) did not increase the locomotor activity of C57BL/6J mice. Ethanol (0.1 to 3.0 g/kg) had no effect or decreased the locomotor activity of individual male Sprague-Dawley rats. These findings suggest that biological differences in strains and species of laboratory rodents contribute to the apparent variability of locomotor stimulation caused by ethanol. The presence or absence of an ethanol-induced increase in locomotor activity was not dependent on the sex or number of mice or rats tested. Intertrial-interval crossing by rats acquiring or performing an active avoidance task in a shuttle box was increased by ethanol. This action was dependent on the presentation of electric foot shock. Apomorphine (0.25 and 2.5 mg/kg) and fenmetozole (7.5 and 15.0 mg/kg) failed to inhibit the ethanolinduced increase in intertrial-interval crossing by rats, although these drugs have been shown previously to antagonize the ethanol-induced increase in the activity of mice ethanol treatment. The ethanol-induced increases in the spontaneous locomotor activity of CD-1 mice in photocell activity monitors and in intertrial-interval crosses in rats in a shuttle box task thus do not appear to share a common mechanism. © 1981 Springer-Verlag.","author":[{"dropping-particle":"","family":"Frye","given":"Gerald D.","non-dropping-particle":"","parse-names":false,"suffix":""},{"dropping-particle":"","family":"Breese","given":"George R.","non-dropping-particle":"","parse-names":false,"suffix":""}],"container-title":"Psychopharmacology","id":"ITEM-1","issue":"4","issued":{"date-parts":[["1981","12"]]},"page":"372-379","publisher":"Springer-Verlag","title":"An evaluation of the locomotor stimulating action of ethanol in rats and mice","type":"article-journal","volume":"75"},"uris":["http://www.mendeley.com/documents/?uuid=b680ac49-a2c6-3040-a68d-33bf9ea29c97","http://www.mendeley.com/documents/?uuid=25a4de9a-b136-46c3-8029-cad981596b78"]}],"mendeley":{"formattedCitation":"(Frye and Breese, 1981)","plainTextFormattedCitation":"(Frye and Breese, 1981)","previouslyFormattedCitation":"(Frye and Breese, 1981)"},"properties":{"noteIndex":0},"schema":"https://github.com/citation-style-language/schema/raw/master/csl-citation.json"}</w:instrText>
      </w:r>
      <w:r w:rsidRPr="00FA54E7">
        <w:rPr>
          <w:rFonts w:ascii="Arial" w:eastAsia="Arial Unicode MS" w:hAnsi="Arial" w:cs="Arial"/>
          <w:sz w:val="24"/>
          <w:szCs w:val="24"/>
          <w:lang w:val="en-US"/>
        </w:rPr>
        <w:fldChar w:fldCharType="separate"/>
      </w:r>
      <w:r w:rsidR="00EE42DD" w:rsidRPr="00CE0CBD">
        <w:rPr>
          <w:rFonts w:ascii="Arial" w:eastAsia="Arial Unicode MS" w:hAnsi="Arial" w:cs="Arial"/>
          <w:noProof/>
          <w:sz w:val="24"/>
          <w:szCs w:val="24"/>
          <w:lang w:val="en-US"/>
        </w:rPr>
        <w:t>(Frye and Breese, 1981)</w:t>
      </w:r>
      <w:r w:rsidRPr="00CE0CBD">
        <w:rPr>
          <w:rFonts w:ascii="Arial" w:eastAsia="Arial Unicode MS" w:hAnsi="Arial" w:cs="Arial"/>
          <w:sz w:val="24"/>
          <w:szCs w:val="24"/>
          <w:lang w:val="en-US"/>
        </w:rPr>
        <w:fldChar w:fldCharType="end"/>
      </w:r>
      <w:r w:rsidRPr="00CE0CBD">
        <w:rPr>
          <w:rFonts w:ascii="Arial" w:eastAsia="Arial Unicode MS" w:hAnsi="Arial" w:cs="Arial"/>
          <w:sz w:val="24"/>
          <w:szCs w:val="24"/>
          <w:lang w:val="en-US"/>
        </w:rPr>
        <w:t>.</w:t>
      </w:r>
    </w:p>
    <w:p w14:paraId="5C960DDC" w14:textId="4426F7C8" w:rsidR="00BF4AAE" w:rsidRPr="00E00255" w:rsidRDefault="00DC531D" w:rsidP="008A16EB">
      <w:pPr>
        <w:pStyle w:val="Prrafodelista"/>
        <w:numPr>
          <w:ilvl w:val="0"/>
          <w:numId w:val="9"/>
        </w:numPr>
        <w:spacing w:line="360" w:lineRule="auto"/>
        <w:ind w:left="720" w:hanging="720"/>
        <w:jc w:val="both"/>
        <w:rPr>
          <w:rFonts w:ascii="Arial" w:hAnsi="Arial" w:cs="Arial"/>
          <w:b/>
          <w:sz w:val="24"/>
          <w:szCs w:val="24"/>
          <w:lang w:val="en-US"/>
        </w:rPr>
      </w:pPr>
      <w:r w:rsidRPr="00E00255">
        <w:rPr>
          <w:rFonts w:ascii="Arial" w:eastAsia="Arial Unicode MS" w:hAnsi="Arial" w:cs="Arial"/>
          <w:b/>
          <w:sz w:val="24"/>
          <w:szCs w:val="24"/>
          <w:lang w:val="en-US"/>
        </w:rPr>
        <w:t>Apparatus</w:t>
      </w:r>
    </w:p>
    <w:p w14:paraId="2D02DACE" w14:textId="5C1DD66F" w:rsidR="00DC531D" w:rsidRPr="008A16EB" w:rsidRDefault="00DC531D" w:rsidP="008A16EB">
      <w:pPr>
        <w:spacing w:line="360" w:lineRule="auto"/>
        <w:ind w:firstLine="708"/>
        <w:jc w:val="both"/>
        <w:rPr>
          <w:rFonts w:ascii="Arial" w:eastAsia="Arial Unicode MS" w:hAnsi="Arial" w:cs="Arial"/>
          <w:sz w:val="24"/>
          <w:szCs w:val="24"/>
          <w:lang w:val="en-US"/>
        </w:rPr>
      </w:pPr>
      <w:r w:rsidRPr="008A16EB">
        <w:rPr>
          <w:rFonts w:ascii="Arial" w:eastAsia="Arial Unicode MS" w:hAnsi="Arial" w:cs="Arial"/>
          <w:sz w:val="24"/>
          <w:szCs w:val="24"/>
          <w:lang w:val="en-US"/>
        </w:rPr>
        <w:t>All the behavioral procedures (</w:t>
      </w:r>
      <w:r w:rsidR="00C565E2">
        <w:rPr>
          <w:rFonts w:ascii="Arial" w:eastAsia="Arial Unicode MS" w:hAnsi="Arial" w:cs="Arial"/>
          <w:sz w:val="24"/>
          <w:szCs w:val="24"/>
          <w:lang w:val="en-US"/>
        </w:rPr>
        <w:t>except for</w:t>
      </w:r>
      <w:r w:rsidRPr="008A16EB">
        <w:rPr>
          <w:rFonts w:ascii="Arial" w:eastAsia="Arial Unicode MS" w:hAnsi="Arial" w:cs="Arial"/>
          <w:sz w:val="24"/>
          <w:szCs w:val="24"/>
          <w:lang w:val="en-US"/>
        </w:rPr>
        <w:t xml:space="preserve"> cocaine self-administration) were performed </w:t>
      </w:r>
      <w:bookmarkStart w:id="5" w:name="_Hlk8916849"/>
      <w:r w:rsidRPr="008A16EB">
        <w:rPr>
          <w:rFonts w:ascii="Arial" w:eastAsia="Arial Unicode MS" w:hAnsi="Arial" w:cs="Arial"/>
          <w:sz w:val="24"/>
          <w:szCs w:val="24"/>
          <w:lang w:val="en-US"/>
        </w:rPr>
        <w:t>in Med-Associates operant boxes</w:t>
      </w:r>
      <w:bookmarkEnd w:id="5"/>
      <w:r w:rsidRPr="008A16EB">
        <w:rPr>
          <w:rFonts w:ascii="Arial" w:eastAsia="Arial Unicode MS" w:hAnsi="Arial" w:cs="Arial"/>
          <w:sz w:val="24"/>
          <w:szCs w:val="24"/>
          <w:lang w:val="en-US"/>
        </w:rPr>
        <w:t xml:space="preserve"> (29.53 L x 24.84 W x 18.67 H cm) placed inside a sound-attenuating chamber equipped with a fan, a tone </w:t>
      </w:r>
      <w:r w:rsidR="00920110" w:rsidRPr="008A16EB">
        <w:rPr>
          <w:rFonts w:ascii="Arial" w:eastAsia="Arial Unicode MS" w:hAnsi="Arial" w:cs="Arial"/>
          <w:sz w:val="24"/>
          <w:szCs w:val="24"/>
          <w:lang w:val="en-US"/>
        </w:rPr>
        <w:lastRenderedPageBreak/>
        <w:t>generator,</w:t>
      </w:r>
      <w:r w:rsidRPr="008A16EB">
        <w:rPr>
          <w:rFonts w:ascii="Arial" w:eastAsia="Arial Unicode MS" w:hAnsi="Arial" w:cs="Arial"/>
          <w:sz w:val="24"/>
          <w:szCs w:val="24"/>
          <w:lang w:val="en-US"/>
        </w:rPr>
        <w:t xml:space="preserve"> and a clicker. Rewards were food pellets (Noyes pellets; Test</w:t>
      </w:r>
      <w:r w:rsidR="004D15F6">
        <w:rPr>
          <w:rFonts w:ascii="Arial" w:eastAsia="Arial Unicode MS" w:hAnsi="Arial" w:cs="Arial"/>
          <w:sz w:val="24"/>
          <w:szCs w:val="24"/>
          <w:lang w:val="en-US"/>
        </w:rPr>
        <w:t xml:space="preserve"> </w:t>
      </w:r>
      <w:r w:rsidRPr="008A16EB">
        <w:rPr>
          <w:rFonts w:ascii="Arial" w:eastAsia="Arial Unicode MS" w:hAnsi="Arial" w:cs="Arial"/>
          <w:sz w:val="24"/>
          <w:szCs w:val="24"/>
          <w:lang w:val="en-US"/>
        </w:rPr>
        <w:t xml:space="preserve">diets). The food magazine placed </w:t>
      </w:r>
      <w:r w:rsidR="00C565E2">
        <w:rPr>
          <w:rFonts w:ascii="Arial" w:eastAsia="Arial Unicode MS" w:hAnsi="Arial" w:cs="Arial"/>
          <w:sz w:val="24"/>
          <w:szCs w:val="24"/>
          <w:lang w:val="en-US"/>
        </w:rPr>
        <w:t>o</w:t>
      </w:r>
      <w:r w:rsidRPr="008A16EB">
        <w:rPr>
          <w:rFonts w:ascii="Arial" w:eastAsia="Arial Unicode MS" w:hAnsi="Arial" w:cs="Arial"/>
          <w:sz w:val="24"/>
          <w:szCs w:val="24"/>
          <w:lang w:val="en-US"/>
        </w:rPr>
        <w:t xml:space="preserve">n one of the walls was connected to a pellet dispenser located outside the box. All conditioning boxes were equipped with two retractable levers with cue lights above them </w:t>
      </w:r>
      <w:r w:rsidR="000D3C06">
        <w:rPr>
          <w:rFonts w:ascii="Arial" w:eastAsia="Arial Unicode MS" w:hAnsi="Arial" w:cs="Arial"/>
          <w:sz w:val="24"/>
          <w:szCs w:val="24"/>
          <w:lang w:val="en-US"/>
        </w:rPr>
        <w:t>o</w:t>
      </w:r>
      <w:r w:rsidRPr="008A16EB">
        <w:rPr>
          <w:rFonts w:ascii="Arial" w:eastAsia="Arial Unicode MS" w:hAnsi="Arial" w:cs="Arial"/>
          <w:sz w:val="24"/>
          <w:szCs w:val="24"/>
          <w:lang w:val="en-US"/>
        </w:rPr>
        <w:t>n the right and left side of the food magazine.</w:t>
      </w:r>
    </w:p>
    <w:p w14:paraId="7CAF8929" w14:textId="393C7552" w:rsidR="00DC531D" w:rsidRPr="008A16EB" w:rsidRDefault="00DC531D" w:rsidP="008A16EB">
      <w:pPr>
        <w:spacing w:line="360" w:lineRule="auto"/>
        <w:ind w:firstLine="708"/>
        <w:jc w:val="both"/>
        <w:rPr>
          <w:rFonts w:ascii="Arial" w:eastAsia="Arial Unicode MS" w:hAnsi="Arial" w:cs="Arial"/>
          <w:sz w:val="24"/>
          <w:szCs w:val="24"/>
          <w:lang w:val="en-US"/>
        </w:rPr>
      </w:pPr>
      <w:r w:rsidRPr="008A16EB">
        <w:rPr>
          <w:rFonts w:ascii="Arial" w:eastAsia="Arial Unicode MS" w:hAnsi="Arial" w:cs="Arial"/>
          <w:sz w:val="24"/>
          <w:szCs w:val="24"/>
          <w:lang w:val="en-US"/>
        </w:rPr>
        <w:t xml:space="preserve">Cocaine self-administration was performed in Coulbourn Instruments operant boxes (30 L x 25, 4 W x 30 H cm). These boxes were equipped with two levers in one of the walls, with a LED light cue over each of them and </w:t>
      </w:r>
      <w:r w:rsidR="000D3C06">
        <w:rPr>
          <w:rFonts w:ascii="Arial" w:eastAsia="Arial Unicode MS" w:hAnsi="Arial" w:cs="Arial"/>
          <w:sz w:val="24"/>
          <w:szCs w:val="24"/>
          <w:lang w:val="en-US"/>
        </w:rPr>
        <w:t xml:space="preserve">a </w:t>
      </w:r>
      <w:r w:rsidRPr="008A16EB">
        <w:rPr>
          <w:rFonts w:ascii="Arial" w:eastAsia="Arial Unicode MS" w:hAnsi="Arial" w:cs="Arial"/>
          <w:sz w:val="24"/>
          <w:szCs w:val="24"/>
          <w:lang w:val="en-US"/>
        </w:rPr>
        <w:t xml:space="preserve">stainless-steel grid floor connected to a shock generator (Coulbourn) for the study of compulsivity. Every box was placed inside a sound-attenuating chamber and equipped with a pump (Harvard apparatus) outside of the chamber that delivered a programmed volume of the cocaine solution to the animal. </w:t>
      </w:r>
    </w:p>
    <w:p w14:paraId="2D1A3929" w14:textId="691A7C97" w:rsidR="008A16EB" w:rsidRDefault="008A16EB" w:rsidP="000B6074">
      <w:pPr>
        <w:pStyle w:val="Prrafodelista"/>
        <w:numPr>
          <w:ilvl w:val="0"/>
          <w:numId w:val="9"/>
        </w:numPr>
        <w:spacing w:line="360" w:lineRule="auto"/>
        <w:ind w:left="720" w:hanging="720"/>
        <w:jc w:val="both"/>
        <w:rPr>
          <w:rFonts w:ascii="Arial" w:hAnsi="Arial" w:cs="Arial"/>
          <w:b/>
          <w:bCs/>
          <w:sz w:val="24"/>
          <w:szCs w:val="24"/>
          <w:lang w:val="en-US"/>
        </w:rPr>
      </w:pPr>
      <w:r w:rsidRPr="008A16EB">
        <w:rPr>
          <w:rFonts w:ascii="Arial" w:hAnsi="Arial" w:cs="Arial"/>
          <w:b/>
          <w:bCs/>
          <w:sz w:val="24"/>
          <w:szCs w:val="24"/>
          <w:lang w:val="en-US"/>
        </w:rPr>
        <w:t>Reward-related psychological alterations</w:t>
      </w:r>
      <w:r w:rsidR="000B6074">
        <w:rPr>
          <w:rFonts w:ascii="Arial" w:hAnsi="Arial" w:cs="Arial"/>
          <w:b/>
          <w:bCs/>
          <w:sz w:val="24"/>
          <w:szCs w:val="24"/>
          <w:lang w:val="en-US"/>
        </w:rPr>
        <w:t>.</w:t>
      </w:r>
    </w:p>
    <w:p w14:paraId="6F29EFEC" w14:textId="3C7383C3" w:rsidR="00700357" w:rsidRPr="008A16EB" w:rsidRDefault="00700357" w:rsidP="00700357">
      <w:pPr>
        <w:spacing w:line="360" w:lineRule="auto"/>
        <w:ind w:firstLine="708"/>
        <w:jc w:val="both"/>
        <w:rPr>
          <w:rFonts w:ascii="Arial" w:hAnsi="Arial" w:cs="Arial"/>
          <w:bCs/>
          <w:color w:val="FF0000"/>
          <w:sz w:val="24"/>
          <w:szCs w:val="24"/>
          <w:lang w:val="en-US"/>
        </w:rPr>
      </w:pPr>
      <w:r w:rsidRPr="008A16EB">
        <w:rPr>
          <w:rFonts w:ascii="Arial" w:hAnsi="Arial" w:cs="Arial"/>
          <w:sz w:val="24"/>
          <w:szCs w:val="24"/>
          <w:lang w:val="en-US"/>
        </w:rPr>
        <w:t>During food</w:t>
      </w:r>
      <w:r w:rsidR="000D3C06">
        <w:rPr>
          <w:rFonts w:ascii="Arial" w:hAnsi="Arial" w:cs="Arial"/>
          <w:sz w:val="24"/>
          <w:szCs w:val="24"/>
          <w:lang w:val="en-US"/>
        </w:rPr>
        <w:t xml:space="preserve"> </w:t>
      </w:r>
      <w:r w:rsidRPr="008A16EB">
        <w:rPr>
          <w:rFonts w:ascii="Arial" w:hAnsi="Arial" w:cs="Arial"/>
          <w:sz w:val="24"/>
          <w:szCs w:val="24"/>
          <w:lang w:val="en-US"/>
        </w:rPr>
        <w:t>restriction</w:t>
      </w:r>
      <w:r w:rsidR="000D3C06">
        <w:rPr>
          <w:rFonts w:ascii="Arial" w:hAnsi="Arial" w:cs="Arial"/>
          <w:sz w:val="24"/>
          <w:szCs w:val="24"/>
          <w:lang w:val="en-US"/>
        </w:rPr>
        <w:t>,</w:t>
      </w:r>
      <w:r w:rsidRPr="008A16EB">
        <w:rPr>
          <w:rFonts w:ascii="Arial" w:hAnsi="Arial" w:cs="Arial"/>
          <w:sz w:val="24"/>
          <w:szCs w:val="24"/>
          <w:lang w:val="en-US"/>
        </w:rPr>
        <w:t xml:space="preserve"> the weight gain </w:t>
      </w:r>
      <w:r w:rsidR="00764192">
        <w:rPr>
          <w:rFonts w:ascii="Arial" w:hAnsi="Arial" w:cs="Arial"/>
          <w:sz w:val="24"/>
          <w:szCs w:val="24"/>
          <w:lang w:val="en-US"/>
        </w:rPr>
        <w:t xml:space="preserve">associated to </w:t>
      </w:r>
      <w:r w:rsidRPr="008A16EB">
        <w:rPr>
          <w:rFonts w:ascii="Arial" w:hAnsi="Arial" w:cs="Arial"/>
          <w:sz w:val="24"/>
          <w:szCs w:val="24"/>
          <w:lang w:val="en-US"/>
        </w:rPr>
        <w:t>the normal development of these animals without dietary restrictions was taken as the reference for the calculation of the food regime and the weight range in which they had to be maintained. Animals received their daily food after the experimental sessions.</w:t>
      </w:r>
    </w:p>
    <w:p w14:paraId="669D9532" w14:textId="66A268A2" w:rsidR="004D15F6" w:rsidRDefault="00E00255" w:rsidP="000B6074">
      <w:pPr>
        <w:pStyle w:val="Prrafodelista"/>
        <w:numPr>
          <w:ilvl w:val="1"/>
          <w:numId w:val="9"/>
        </w:numPr>
        <w:spacing w:line="360" w:lineRule="auto"/>
        <w:ind w:left="720" w:hanging="720"/>
        <w:jc w:val="both"/>
        <w:rPr>
          <w:rFonts w:ascii="Arial" w:hAnsi="Arial" w:cs="Arial"/>
          <w:b/>
          <w:bCs/>
          <w:sz w:val="24"/>
          <w:szCs w:val="24"/>
          <w:lang w:val="en-US"/>
        </w:rPr>
      </w:pPr>
      <w:r>
        <w:rPr>
          <w:rFonts w:ascii="Arial" w:hAnsi="Arial" w:cs="Arial"/>
          <w:b/>
          <w:bCs/>
          <w:sz w:val="24"/>
          <w:szCs w:val="24"/>
          <w:lang w:val="en-US"/>
        </w:rPr>
        <w:t xml:space="preserve">Experiment </w:t>
      </w:r>
      <w:r w:rsidR="008A16EB" w:rsidRPr="008A16EB">
        <w:rPr>
          <w:rFonts w:ascii="Arial" w:hAnsi="Arial" w:cs="Arial"/>
          <w:b/>
          <w:bCs/>
          <w:sz w:val="24"/>
          <w:szCs w:val="24"/>
          <w:lang w:val="en-US"/>
        </w:rPr>
        <w:t>1.</w:t>
      </w:r>
    </w:p>
    <w:p w14:paraId="620FA246" w14:textId="0A76B2D1" w:rsidR="008A16EB" w:rsidRPr="004D15F6" w:rsidRDefault="008A16EB" w:rsidP="004D15F6">
      <w:pPr>
        <w:pStyle w:val="Prrafodelista"/>
        <w:numPr>
          <w:ilvl w:val="2"/>
          <w:numId w:val="9"/>
        </w:numPr>
        <w:spacing w:line="360" w:lineRule="auto"/>
        <w:ind w:left="720" w:hanging="720"/>
        <w:jc w:val="both"/>
        <w:rPr>
          <w:rFonts w:ascii="Arial" w:hAnsi="Arial" w:cs="Arial"/>
          <w:b/>
          <w:bCs/>
          <w:sz w:val="24"/>
          <w:szCs w:val="24"/>
          <w:lang w:val="en-US"/>
        </w:rPr>
      </w:pPr>
      <w:r w:rsidRPr="004D15F6">
        <w:rPr>
          <w:rFonts w:ascii="Arial" w:hAnsi="Arial" w:cs="Arial"/>
          <w:b/>
          <w:bCs/>
          <w:sz w:val="24"/>
          <w:szCs w:val="24"/>
          <w:lang w:val="en-US"/>
        </w:rPr>
        <w:t>Pavlovian conditioned approach</w:t>
      </w:r>
      <w:r w:rsidR="00E16CCE">
        <w:rPr>
          <w:rFonts w:ascii="Arial" w:hAnsi="Arial" w:cs="Arial"/>
          <w:b/>
          <w:bCs/>
          <w:sz w:val="24"/>
          <w:szCs w:val="24"/>
          <w:lang w:val="en-US"/>
        </w:rPr>
        <w:t xml:space="preserve"> (PCA)</w:t>
      </w:r>
      <w:r w:rsidR="00700357">
        <w:rPr>
          <w:rFonts w:ascii="Arial" w:hAnsi="Arial" w:cs="Arial"/>
          <w:b/>
          <w:bCs/>
          <w:sz w:val="24"/>
          <w:szCs w:val="24"/>
          <w:lang w:val="en-US"/>
        </w:rPr>
        <w:t>.</w:t>
      </w:r>
    </w:p>
    <w:p w14:paraId="7FBD24E4" w14:textId="069708B2" w:rsidR="008A16EB" w:rsidRPr="008A16EB" w:rsidRDefault="00D649E7" w:rsidP="008A16EB">
      <w:pPr>
        <w:spacing w:line="360" w:lineRule="auto"/>
        <w:ind w:firstLine="708"/>
        <w:jc w:val="both"/>
        <w:rPr>
          <w:rFonts w:ascii="Arial" w:hAnsi="Arial" w:cs="Arial"/>
          <w:bCs/>
          <w:color w:val="FF0000"/>
          <w:sz w:val="24"/>
          <w:szCs w:val="24"/>
          <w:lang w:val="en-US"/>
        </w:rPr>
      </w:pPr>
      <w:r w:rsidRPr="008A16EB">
        <w:rPr>
          <w:rFonts w:ascii="Arial" w:hAnsi="Arial" w:cs="Arial"/>
          <w:sz w:val="24"/>
          <w:szCs w:val="24"/>
          <w:lang w:val="en-US"/>
        </w:rPr>
        <w:t>The PCA protocol, session set-up and PCA index calculation w</w:t>
      </w:r>
      <w:r w:rsidR="000D3C06">
        <w:rPr>
          <w:rFonts w:ascii="Arial" w:hAnsi="Arial" w:cs="Arial"/>
          <w:sz w:val="24"/>
          <w:szCs w:val="24"/>
          <w:lang w:val="en-US"/>
        </w:rPr>
        <w:t>ere</w:t>
      </w:r>
      <w:r w:rsidRPr="008A16EB">
        <w:rPr>
          <w:rFonts w:ascii="Arial" w:hAnsi="Arial" w:cs="Arial"/>
          <w:sz w:val="24"/>
          <w:szCs w:val="24"/>
          <w:lang w:val="en-US"/>
        </w:rPr>
        <w:t xml:space="preserve"> implemented according to previous literature </w:t>
      </w:r>
      <w:r w:rsidR="005C1F05">
        <w:rPr>
          <w:rFonts w:ascii="Arial" w:hAnsi="Arial" w:cs="Arial"/>
          <w:sz w:val="24"/>
          <w:szCs w:val="24"/>
          <w:lang w:val="en-US"/>
        </w:rPr>
        <w:fldChar w:fldCharType="begin" w:fldLock="1"/>
      </w:r>
      <w:r w:rsidR="0098460B">
        <w:rPr>
          <w:rFonts w:ascii="Arial" w:hAnsi="Arial" w:cs="Arial"/>
          <w:sz w:val="24"/>
          <w:szCs w:val="24"/>
          <w:lang w:val="en-US"/>
        </w:rPr>
        <w:instrText>ADDIN CSL_CITATION {"citationItems":[{"id":"ITEM-1","itemData":{"DOI":"10.3791/53580","ISBN":"1940-087X (Electronic)\\r1940-087X (Linking)","ISSN":"1940-087X","PMID":"26890678","abstract":"Cues that are contingently paired with unconditioned, rewarding stimuli can acquire rewarding properties themselves through a process known as the attribution of incentive salience, or the transformation of neutral stimuli into attractive, \"wanted' stimuli capable of motivating behavior. Pavlovian conditioned approach (PCA) develops after the response-independent presentation of a conditioned stimulus (CS; e.g., a lever) that predicts the delivery of an unconditioned stimulus (US; e.g., a food pellet) and can be used to measure incentive salience. During training, three patterns of conditioned responses (CRs) can develop: sign-tracking behavior (CS-directed CR), goal-tracking behavior (US-directed CR), and an intermediate response (both CRs). Sign-trackers attribute incentive salience to reward-related cues and are more vulnerable to cue-induced reinstatement of drug-seeking as well as other addiction-related behaviors, making PCA a potentially valuable procedure for studying addiction vulnerability. Here, we describe materials and methods used to elicit PCA behavior from rats as well as analyze and interpret PCA behavior in individual experiments.","author":[{"dropping-particle":"","family":"Fitzpatrick","given":"Christopher J","non-dropping-particle":"","parse-names":false,"suffix":""},{"dropping-particle":"","family":"Morrow","given":"Jonathan D","non-dropping-particle":"","parse-names":false,"suffix":""}],"container-title":"Journal of visualized experiments : JoVE","id":"ITEM-1","issue":"108","issued":{"date-parts":[["2016"]]},"page":"e53580","title":"Pavlovian Conditioned Approach Training in Rats.","type":"article-journal","volume":"2016"},"uris":["http://www.mendeley.com/documents/?uuid=cf27b6ea-77d4-4aba-9d9e-df83152004dd"]}],"mendeley":{"formattedCitation":"(Fitzpatrick and Morrow, 2016)","plainTextFormattedCitation":"(Fitzpatrick and Morrow, 2016)","previouslyFormattedCitation":"(Fitzpatrick and Morrow, 2016)"},"properties":{"noteIndex":0},"schema":"https://github.com/citation-style-language/schema/raw/master/csl-citation.json"}</w:instrText>
      </w:r>
      <w:r w:rsidR="005C1F05">
        <w:rPr>
          <w:rFonts w:ascii="Arial" w:hAnsi="Arial" w:cs="Arial"/>
          <w:sz w:val="24"/>
          <w:szCs w:val="24"/>
          <w:lang w:val="en-US"/>
        </w:rPr>
        <w:fldChar w:fldCharType="separate"/>
      </w:r>
      <w:r w:rsidR="00EE42DD" w:rsidRPr="00EE42DD">
        <w:rPr>
          <w:rFonts w:ascii="Arial" w:hAnsi="Arial" w:cs="Arial"/>
          <w:noProof/>
          <w:sz w:val="24"/>
          <w:szCs w:val="24"/>
          <w:lang w:val="en-US"/>
        </w:rPr>
        <w:t>(Fitzpatrick and Morrow, 2016)</w:t>
      </w:r>
      <w:r w:rsidR="005C1F05">
        <w:rPr>
          <w:rFonts w:ascii="Arial" w:hAnsi="Arial" w:cs="Arial"/>
          <w:sz w:val="24"/>
          <w:szCs w:val="24"/>
          <w:lang w:val="en-US"/>
        </w:rPr>
        <w:fldChar w:fldCharType="end"/>
      </w:r>
      <w:r w:rsidR="005C1F05" w:rsidRPr="005C1F05">
        <w:rPr>
          <w:rFonts w:ascii="Arial" w:hAnsi="Arial" w:cs="Arial"/>
          <w:bCs/>
          <w:color w:val="000000" w:themeColor="text1"/>
          <w:sz w:val="24"/>
          <w:szCs w:val="24"/>
          <w:lang w:val="en-US"/>
        </w:rPr>
        <w:t>.</w:t>
      </w:r>
    </w:p>
    <w:p w14:paraId="167489D5" w14:textId="261F0A93" w:rsidR="008F6AF8" w:rsidRPr="008A16EB" w:rsidRDefault="00AE0E28" w:rsidP="008A16EB">
      <w:pPr>
        <w:spacing w:line="360" w:lineRule="auto"/>
        <w:ind w:firstLine="708"/>
        <w:jc w:val="both"/>
        <w:rPr>
          <w:rFonts w:ascii="Arial" w:hAnsi="Arial" w:cs="Arial"/>
          <w:sz w:val="24"/>
          <w:szCs w:val="24"/>
          <w:lang w:val="en-US"/>
        </w:rPr>
      </w:pPr>
      <w:r>
        <w:rPr>
          <w:rFonts w:ascii="Arial" w:hAnsi="Arial" w:cs="Arial"/>
          <w:sz w:val="24"/>
          <w:szCs w:val="24"/>
          <w:lang w:val="en-US"/>
        </w:rPr>
        <w:t>A</w:t>
      </w:r>
      <w:r w:rsidRPr="00AE0E28">
        <w:rPr>
          <w:rFonts w:ascii="Arial" w:hAnsi="Arial" w:cs="Arial"/>
          <w:sz w:val="24"/>
          <w:szCs w:val="24"/>
          <w:lang w:val="en-US"/>
        </w:rPr>
        <w:t>t approximately</w:t>
      </w:r>
      <w:r w:rsidR="00E16CCE">
        <w:rPr>
          <w:rFonts w:ascii="Arial" w:hAnsi="Arial" w:cs="Arial"/>
          <w:sz w:val="24"/>
          <w:szCs w:val="24"/>
          <w:lang w:val="en-US"/>
        </w:rPr>
        <w:t xml:space="preserve"> postnatal day</w:t>
      </w:r>
      <w:r w:rsidRPr="00AE0E28">
        <w:rPr>
          <w:rFonts w:ascii="Arial" w:hAnsi="Arial" w:cs="Arial"/>
          <w:sz w:val="24"/>
          <w:szCs w:val="24"/>
          <w:lang w:val="en-US"/>
        </w:rPr>
        <w:t xml:space="preserve"> </w:t>
      </w:r>
      <w:r w:rsidR="00E16CCE">
        <w:rPr>
          <w:rFonts w:ascii="Arial" w:hAnsi="Arial" w:cs="Arial"/>
          <w:sz w:val="24"/>
          <w:szCs w:val="24"/>
          <w:lang w:val="en-US"/>
        </w:rPr>
        <w:t>(</w:t>
      </w:r>
      <w:r w:rsidRPr="00AE0E28">
        <w:rPr>
          <w:rFonts w:ascii="Arial" w:hAnsi="Arial" w:cs="Arial"/>
          <w:sz w:val="24"/>
          <w:szCs w:val="24"/>
          <w:lang w:val="en-US"/>
        </w:rPr>
        <w:t>PND</w:t>
      </w:r>
      <w:r w:rsidR="00E16CCE">
        <w:rPr>
          <w:rFonts w:ascii="Arial" w:hAnsi="Arial" w:cs="Arial"/>
          <w:sz w:val="24"/>
          <w:szCs w:val="24"/>
          <w:lang w:val="en-US"/>
        </w:rPr>
        <w:t>)</w:t>
      </w:r>
      <w:r w:rsidRPr="00AE0E28">
        <w:rPr>
          <w:rFonts w:ascii="Arial" w:hAnsi="Arial" w:cs="Arial"/>
          <w:sz w:val="24"/>
          <w:szCs w:val="24"/>
          <w:lang w:val="en-US"/>
        </w:rPr>
        <w:t xml:space="preserve"> 90, animals were </w:t>
      </w:r>
      <w:bookmarkStart w:id="6" w:name="_Hlk67655435"/>
      <w:r w:rsidRPr="00AE0E28">
        <w:rPr>
          <w:rFonts w:ascii="Arial" w:hAnsi="Arial" w:cs="Arial"/>
          <w:sz w:val="24"/>
          <w:szCs w:val="24"/>
          <w:lang w:val="en-US"/>
        </w:rPr>
        <w:t>food-restricted</w:t>
      </w:r>
      <w:bookmarkEnd w:id="6"/>
      <w:r w:rsidRPr="00AE0E28">
        <w:rPr>
          <w:rFonts w:ascii="Arial" w:hAnsi="Arial" w:cs="Arial"/>
          <w:sz w:val="24"/>
          <w:szCs w:val="24"/>
          <w:lang w:val="en-US"/>
        </w:rPr>
        <w:t xml:space="preserve">, and their weight kept between 90-95% of the original in the free-feeding state. Two days later, after reaching the desired body weight, animals underwent a single magazine training session. During this </w:t>
      </w:r>
      <w:r w:rsidR="00E16CCE" w:rsidRPr="00AE0E28">
        <w:rPr>
          <w:rFonts w:ascii="Arial" w:hAnsi="Arial" w:cs="Arial"/>
          <w:sz w:val="24"/>
          <w:szCs w:val="24"/>
          <w:lang w:val="en-US"/>
        </w:rPr>
        <w:t xml:space="preserve">session </w:t>
      </w:r>
      <w:r w:rsidR="00E16CCE" w:rsidRPr="008A16EB">
        <w:rPr>
          <w:rFonts w:ascii="Arial" w:hAnsi="Arial" w:cs="Arial"/>
          <w:sz w:val="24"/>
          <w:szCs w:val="24"/>
          <w:lang w:val="en-US"/>
        </w:rPr>
        <w:t>the</w:t>
      </w:r>
      <w:r w:rsidR="00DC531D" w:rsidRPr="008A16EB">
        <w:rPr>
          <w:rFonts w:ascii="Arial" w:hAnsi="Arial" w:cs="Arial"/>
          <w:sz w:val="24"/>
          <w:szCs w:val="24"/>
          <w:lang w:val="en-US"/>
        </w:rPr>
        <w:t xml:space="preserve"> feeder dispensed 25 food pellets, under a variable interval of 90 s program.</w:t>
      </w:r>
    </w:p>
    <w:p w14:paraId="364B3D1D" w14:textId="341D5C6C" w:rsidR="00F92DAC" w:rsidRPr="008A16EB" w:rsidRDefault="00D649E7" w:rsidP="008A16EB">
      <w:pPr>
        <w:spacing w:line="360" w:lineRule="auto"/>
        <w:ind w:firstLine="708"/>
        <w:jc w:val="both"/>
        <w:rPr>
          <w:rFonts w:ascii="Arial" w:hAnsi="Arial" w:cs="Arial"/>
          <w:sz w:val="24"/>
          <w:szCs w:val="24"/>
          <w:lang w:val="en-US"/>
        </w:rPr>
      </w:pPr>
      <w:r w:rsidRPr="008A16EB">
        <w:rPr>
          <w:rFonts w:ascii="Arial" w:hAnsi="Arial" w:cs="Arial"/>
          <w:sz w:val="24"/>
          <w:szCs w:val="24"/>
          <w:lang w:val="en-US"/>
        </w:rPr>
        <w:t>During PCA sessions the i</w:t>
      </w:r>
      <w:r w:rsidR="00DC531D" w:rsidRPr="008A16EB">
        <w:rPr>
          <w:rFonts w:ascii="Arial" w:hAnsi="Arial" w:cs="Arial"/>
          <w:sz w:val="24"/>
          <w:szCs w:val="24"/>
          <w:lang w:val="en-US"/>
        </w:rPr>
        <w:t>nteraction with the</w:t>
      </w:r>
      <w:r w:rsidR="00CF5EF7">
        <w:rPr>
          <w:rFonts w:ascii="Arial" w:hAnsi="Arial" w:cs="Arial"/>
          <w:sz w:val="24"/>
          <w:szCs w:val="24"/>
          <w:lang w:val="en-US"/>
        </w:rPr>
        <w:t xml:space="preserve"> conditioned stimulus</w:t>
      </w:r>
      <w:r w:rsidR="00DC531D" w:rsidRPr="008A16EB">
        <w:rPr>
          <w:rFonts w:ascii="Arial" w:hAnsi="Arial" w:cs="Arial"/>
          <w:sz w:val="24"/>
          <w:szCs w:val="24"/>
          <w:lang w:val="en-US"/>
        </w:rPr>
        <w:t xml:space="preserve"> </w:t>
      </w:r>
      <w:r w:rsidR="00CF5EF7">
        <w:rPr>
          <w:rFonts w:ascii="Arial" w:hAnsi="Arial" w:cs="Arial"/>
          <w:sz w:val="24"/>
          <w:szCs w:val="24"/>
          <w:lang w:val="en-US"/>
        </w:rPr>
        <w:t>(</w:t>
      </w:r>
      <w:r w:rsidR="00DC531D" w:rsidRPr="008A16EB">
        <w:rPr>
          <w:rFonts w:ascii="Arial" w:hAnsi="Arial" w:cs="Arial"/>
          <w:sz w:val="24"/>
          <w:szCs w:val="24"/>
          <w:lang w:val="en-US"/>
        </w:rPr>
        <w:t>CS</w:t>
      </w:r>
      <w:r w:rsidR="00CF5EF7">
        <w:rPr>
          <w:rFonts w:ascii="Arial" w:hAnsi="Arial" w:cs="Arial"/>
          <w:sz w:val="24"/>
          <w:szCs w:val="24"/>
          <w:lang w:val="en-US"/>
        </w:rPr>
        <w:t>)</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lever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LPs), presses in the inactive lever in between each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(ILPs) or during the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ILPs), </w:t>
      </w:r>
      <w:r w:rsidR="00F92DAC" w:rsidRPr="008A16EB">
        <w:rPr>
          <w:rFonts w:ascii="Arial" w:hAnsi="Arial" w:cs="Arial"/>
          <w:sz w:val="24"/>
          <w:szCs w:val="24"/>
          <w:lang w:val="en-US"/>
        </w:rPr>
        <w:t xml:space="preserve">Head Entries (HE) </w:t>
      </w:r>
      <w:r w:rsidR="00DC531D" w:rsidRPr="008A16EB">
        <w:rPr>
          <w:rFonts w:ascii="Arial" w:hAnsi="Arial" w:cs="Arial"/>
          <w:sz w:val="24"/>
          <w:szCs w:val="24"/>
          <w:lang w:val="en-US"/>
        </w:rPr>
        <w:t>in between each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presentation and during the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(CS</w:t>
      </w:r>
      <w:r w:rsidR="00DC531D" w:rsidRPr="008A16EB">
        <w:rPr>
          <w:rFonts w:ascii="Arial" w:hAnsi="Arial" w:cs="Arial"/>
          <w:sz w:val="24"/>
          <w:szCs w:val="24"/>
          <w:vertAlign w:val="superscript"/>
          <w:lang w:val="en-US"/>
        </w:rPr>
        <w:t>+</w:t>
      </w:r>
      <w:r w:rsidR="00DC531D" w:rsidRPr="008A16EB">
        <w:rPr>
          <w:rFonts w:ascii="Arial" w:hAnsi="Arial" w:cs="Arial"/>
          <w:sz w:val="24"/>
          <w:szCs w:val="24"/>
          <w:lang w:val="en-US"/>
        </w:rPr>
        <w:t xml:space="preserve"> HE) </w:t>
      </w:r>
      <w:r w:rsidR="00F92DAC" w:rsidRPr="008A16EB">
        <w:rPr>
          <w:rFonts w:ascii="Arial" w:hAnsi="Arial" w:cs="Arial"/>
          <w:sz w:val="24"/>
          <w:szCs w:val="24"/>
          <w:lang w:val="en-US"/>
        </w:rPr>
        <w:t>were</w:t>
      </w:r>
      <w:r w:rsidR="00DC531D" w:rsidRPr="008A16EB">
        <w:rPr>
          <w:rFonts w:ascii="Arial" w:hAnsi="Arial" w:cs="Arial"/>
          <w:sz w:val="24"/>
          <w:szCs w:val="24"/>
          <w:lang w:val="en-US"/>
        </w:rPr>
        <w:t xml:space="preserve"> recorded.</w:t>
      </w:r>
    </w:p>
    <w:p w14:paraId="3937D70A" w14:textId="6AF9AA26" w:rsidR="00DC531D" w:rsidRPr="008A16EB" w:rsidRDefault="00DC531D" w:rsidP="008A16EB">
      <w:pPr>
        <w:spacing w:line="360" w:lineRule="auto"/>
        <w:ind w:firstLine="708"/>
        <w:jc w:val="both"/>
        <w:rPr>
          <w:rFonts w:ascii="Arial" w:hAnsi="Arial" w:cs="Arial"/>
          <w:sz w:val="24"/>
          <w:szCs w:val="24"/>
          <w:lang w:val="en-US"/>
        </w:rPr>
      </w:pPr>
      <w:r w:rsidRPr="008A16EB">
        <w:rPr>
          <w:rFonts w:ascii="Arial" w:hAnsi="Arial" w:cs="Arial"/>
          <w:sz w:val="24"/>
          <w:szCs w:val="24"/>
          <w:lang w:val="en-US"/>
        </w:rPr>
        <w:lastRenderedPageBreak/>
        <w:t>The main PCA index was calculated each day as the mean of three other indexes:</w:t>
      </w:r>
    </w:p>
    <w:p w14:paraId="523C0ECB" w14:textId="68F22B11" w:rsidR="00DC531D" w:rsidRPr="00700357" w:rsidRDefault="00DC531D" w:rsidP="00700357">
      <w:pPr>
        <w:pStyle w:val="Prrafodelista"/>
        <w:numPr>
          <w:ilvl w:val="0"/>
          <w:numId w:val="10"/>
        </w:numPr>
        <w:spacing w:line="360" w:lineRule="auto"/>
        <w:jc w:val="both"/>
        <w:rPr>
          <w:rFonts w:ascii="Arial" w:hAnsi="Arial" w:cs="Arial"/>
          <w:sz w:val="24"/>
          <w:szCs w:val="24"/>
          <w:lang w:val="en-US"/>
        </w:rPr>
      </w:pPr>
      <w:r w:rsidRPr="008A16EB">
        <w:rPr>
          <w:rFonts w:ascii="Arial" w:hAnsi="Arial" w:cs="Arial"/>
          <w:sz w:val="24"/>
          <w:szCs w:val="24"/>
          <w:lang w:val="en-US"/>
        </w:rPr>
        <w:t xml:space="preserve">Response bias, i.e., ratio of the total number of </w:t>
      </w:r>
      <w:r w:rsidR="00C1128F" w:rsidRPr="008A16EB">
        <w:rPr>
          <w:rFonts w:ascii="Arial" w:hAnsi="Arial" w:cs="Arial"/>
          <w:sz w:val="24"/>
          <w:szCs w:val="24"/>
          <w:lang w:val="en-US"/>
        </w:rPr>
        <w:t>LP</w:t>
      </w:r>
      <w:r w:rsidRPr="008A16EB">
        <w:rPr>
          <w:rFonts w:ascii="Arial" w:hAnsi="Arial" w:cs="Arial"/>
          <w:sz w:val="24"/>
          <w:szCs w:val="24"/>
          <w:lang w:val="en-US"/>
        </w:rPr>
        <w:t xml:space="preserve"> and </w:t>
      </w:r>
      <w:r w:rsidR="00C1128F" w:rsidRPr="008A16EB">
        <w:rPr>
          <w:rFonts w:ascii="Arial" w:hAnsi="Arial" w:cs="Arial"/>
          <w:sz w:val="24"/>
          <w:szCs w:val="24"/>
          <w:lang w:val="en-US"/>
        </w:rPr>
        <w:t xml:space="preserve">HE </w:t>
      </w:r>
      <w:r w:rsidRPr="008A16EB">
        <w:rPr>
          <w:rFonts w:ascii="Arial" w:hAnsi="Arial" w:cs="Arial"/>
          <w:sz w:val="24"/>
          <w:szCs w:val="24"/>
          <w:lang w:val="en-US"/>
        </w:rPr>
        <w:t xml:space="preserve">for a session during the CS+ presentations: </w:t>
      </w:r>
      <w:r w:rsidR="00FA1629" w:rsidRPr="00700357">
        <w:rPr>
          <w:rFonts w:ascii="Arial" w:hAnsi="Arial" w:cs="Arial"/>
          <w:sz w:val="24"/>
          <w:szCs w:val="24"/>
          <w:lang w:val="en-US"/>
        </w:rPr>
        <w:t>(</w:t>
      </w:r>
      <w:r w:rsidR="0037798D" w:rsidRPr="00700357">
        <w:rPr>
          <w:rFonts w:ascii="Arial" w:hAnsi="Arial" w:cs="Arial"/>
          <w:sz w:val="24"/>
          <w:szCs w:val="24"/>
          <w:lang w:val="en-US"/>
        </w:rPr>
        <w:t>CS</w:t>
      </w:r>
      <w:r w:rsidR="00FA1629" w:rsidRPr="00700357">
        <w:rPr>
          <w:rFonts w:ascii="Arial" w:hAnsi="Arial" w:cs="Arial"/>
          <w:sz w:val="24"/>
          <w:szCs w:val="24"/>
          <w:vertAlign w:val="superscript"/>
          <w:lang w:val="en-US"/>
        </w:rPr>
        <w:t>+</w:t>
      </w:r>
      <w:r w:rsidR="0037798D" w:rsidRPr="00700357">
        <w:rPr>
          <w:rFonts w:ascii="Arial" w:hAnsi="Arial" w:cs="Arial"/>
          <w:sz w:val="24"/>
          <w:szCs w:val="24"/>
          <w:lang w:val="en-US"/>
        </w:rPr>
        <w:t>LPs</w:t>
      </w:r>
      <w:r w:rsidR="00FA1629" w:rsidRPr="00700357">
        <w:rPr>
          <w:rFonts w:ascii="Arial" w:hAnsi="Arial" w:cs="Arial"/>
          <w:sz w:val="24"/>
          <w:szCs w:val="24"/>
          <w:lang w:val="en-US"/>
        </w:rPr>
        <w:t xml:space="preserve"> - CS</w:t>
      </w:r>
      <w:r w:rsidR="00FA1629" w:rsidRPr="00700357">
        <w:rPr>
          <w:rFonts w:ascii="Arial" w:hAnsi="Arial" w:cs="Arial"/>
          <w:sz w:val="24"/>
          <w:szCs w:val="24"/>
          <w:vertAlign w:val="superscript"/>
          <w:lang w:val="en-US"/>
        </w:rPr>
        <w:t>+</w:t>
      </w:r>
      <w:r w:rsidR="0037798D" w:rsidRPr="00700357">
        <w:rPr>
          <w:rFonts w:ascii="Arial" w:hAnsi="Arial" w:cs="Arial"/>
          <w:sz w:val="24"/>
          <w:szCs w:val="24"/>
          <w:lang w:val="en-US"/>
        </w:rPr>
        <w:t>HEs)</w:t>
      </w:r>
      <w:r w:rsidR="00FA1629" w:rsidRPr="00700357">
        <w:rPr>
          <w:rFonts w:ascii="Arial" w:hAnsi="Arial" w:cs="Arial"/>
          <w:sz w:val="24"/>
          <w:szCs w:val="24"/>
          <w:lang w:val="en-US"/>
        </w:rPr>
        <w:t xml:space="preserve"> </w:t>
      </w:r>
      <w:r w:rsidR="0037798D" w:rsidRPr="00700357">
        <w:rPr>
          <w:rFonts w:ascii="Arial" w:hAnsi="Arial" w:cs="Arial"/>
          <w:sz w:val="24"/>
          <w:szCs w:val="24"/>
          <w:lang w:val="en-US"/>
        </w:rPr>
        <w:t>/</w:t>
      </w:r>
      <w:r w:rsidR="00FA1629" w:rsidRPr="00700357">
        <w:rPr>
          <w:rFonts w:ascii="Arial" w:hAnsi="Arial" w:cs="Arial"/>
          <w:sz w:val="24"/>
          <w:szCs w:val="24"/>
          <w:lang w:val="en-US"/>
        </w:rPr>
        <w:t xml:space="preserve"> </w:t>
      </w:r>
      <w:r w:rsidR="0037798D" w:rsidRPr="00700357">
        <w:rPr>
          <w:rFonts w:ascii="Arial" w:hAnsi="Arial" w:cs="Arial"/>
          <w:sz w:val="24"/>
          <w:szCs w:val="24"/>
          <w:lang w:val="en-US"/>
        </w:rPr>
        <w:t>(CS</w:t>
      </w:r>
      <w:r w:rsidR="0037798D" w:rsidRPr="00700357">
        <w:rPr>
          <w:rFonts w:ascii="Arial" w:hAnsi="Arial" w:cs="Arial"/>
          <w:sz w:val="24"/>
          <w:szCs w:val="24"/>
          <w:vertAlign w:val="superscript"/>
          <w:lang w:val="en-US"/>
        </w:rPr>
        <w:t>+</w:t>
      </w:r>
      <w:r w:rsidR="0037798D" w:rsidRPr="00700357">
        <w:rPr>
          <w:rFonts w:ascii="Arial" w:hAnsi="Arial" w:cs="Arial"/>
          <w:sz w:val="24"/>
          <w:szCs w:val="24"/>
          <w:lang w:val="en-US"/>
        </w:rPr>
        <w:t xml:space="preserve"> LPs</w:t>
      </w:r>
      <w:r w:rsidR="00FA1629" w:rsidRPr="00700357">
        <w:rPr>
          <w:rFonts w:ascii="Arial" w:hAnsi="Arial" w:cs="Arial"/>
          <w:sz w:val="24"/>
          <w:szCs w:val="24"/>
          <w:lang w:val="en-US"/>
        </w:rPr>
        <w:t xml:space="preserve"> </w:t>
      </w:r>
      <w:r w:rsidR="0037798D" w:rsidRPr="00700357">
        <w:rPr>
          <w:rFonts w:ascii="Arial" w:hAnsi="Arial" w:cs="Arial"/>
          <w:sz w:val="24"/>
          <w:szCs w:val="24"/>
          <w:lang w:val="en-US"/>
        </w:rPr>
        <w:t xml:space="preserve">+ </w:t>
      </w:r>
      <w:r w:rsidR="00FA1629" w:rsidRPr="00700357">
        <w:rPr>
          <w:rFonts w:ascii="Arial" w:hAnsi="Arial" w:cs="Arial"/>
          <w:sz w:val="24"/>
          <w:szCs w:val="24"/>
          <w:lang w:val="en-US"/>
        </w:rPr>
        <w:t>CS</w:t>
      </w:r>
      <w:r w:rsidR="00FA1629" w:rsidRPr="00700357">
        <w:rPr>
          <w:rFonts w:ascii="Arial" w:hAnsi="Arial" w:cs="Arial"/>
          <w:sz w:val="24"/>
          <w:szCs w:val="24"/>
          <w:vertAlign w:val="superscript"/>
          <w:lang w:val="en-US"/>
        </w:rPr>
        <w:t>+</w:t>
      </w:r>
      <w:r w:rsidR="0037798D" w:rsidRPr="00700357">
        <w:rPr>
          <w:rFonts w:ascii="Arial" w:hAnsi="Arial" w:cs="Arial"/>
          <w:sz w:val="24"/>
          <w:szCs w:val="24"/>
          <w:lang w:val="en-US"/>
        </w:rPr>
        <w:t>HEs)</w:t>
      </w:r>
    </w:p>
    <w:p w14:paraId="387B0A4B" w14:textId="5FF541D1" w:rsidR="00FA1629" w:rsidRPr="008A16EB" w:rsidRDefault="00DC531D" w:rsidP="008A16EB">
      <w:pPr>
        <w:pStyle w:val="Prrafodelista"/>
        <w:numPr>
          <w:ilvl w:val="0"/>
          <w:numId w:val="10"/>
        </w:numPr>
        <w:spacing w:line="360" w:lineRule="auto"/>
        <w:jc w:val="both"/>
        <w:rPr>
          <w:rFonts w:ascii="Arial" w:hAnsi="Arial" w:cs="Arial"/>
          <w:sz w:val="24"/>
          <w:szCs w:val="24"/>
          <w:lang w:val="en-US"/>
        </w:rPr>
      </w:pPr>
      <w:r w:rsidRPr="008A16EB">
        <w:rPr>
          <w:rFonts w:ascii="Arial" w:hAnsi="Arial" w:cs="Arial"/>
          <w:sz w:val="24"/>
          <w:szCs w:val="24"/>
          <w:lang w:val="en-US"/>
        </w:rPr>
        <w:t xml:space="preserve">Latency score, i.e., average latency to perform a </w:t>
      </w:r>
      <w:r w:rsidR="00C1128F" w:rsidRPr="008A16EB">
        <w:rPr>
          <w:rFonts w:ascii="Arial" w:hAnsi="Arial" w:cs="Arial"/>
          <w:sz w:val="24"/>
          <w:szCs w:val="24"/>
          <w:lang w:val="en-US"/>
        </w:rPr>
        <w:t xml:space="preserve">LP </w:t>
      </w:r>
      <w:r w:rsidRPr="008A16EB">
        <w:rPr>
          <w:rFonts w:ascii="Arial" w:hAnsi="Arial" w:cs="Arial"/>
          <w:sz w:val="24"/>
          <w:szCs w:val="24"/>
          <w:lang w:val="en-US"/>
        </w:rPr>
        <w:t xml:space="preserve">or </w:t>
      </w:r>
      <w:r w:rsidR="00C1128F" w:rsidRPr="008A16EB">
        <w:rPr>
          <w:rFonts w:ascii="Arial" w:hAnsi="Arial" w:cs="Arial"/>
          <w:sz w:val="24"/>
          <w:szCs w:val="24"/>
          <w:lang w:val="en-US"/>
        </w:rPr>
        <w:t>HE</w:t>
      </w:r>
      <w:r w:rsidRPr="008A16EB">
        <w:rPr>
          <w:rFonts w:ascii="Arial" w:hAnsi="Arial" w:cs="Arial"/>
          <w:sz w:val="24"/>
          <w:szCs w:val="24"/>
          <w:lang w:val="en-US"/>
        </w:rPr>
        <w:t xml:space="preserve"> during the 8 s of CS+ presentation: </w:t>
      </w:r>
      <w:r w:rsidR="00FA1629" w:rsidRPr="008A16EB">
        <w:rPr>
          <w:rFonts w:ascii="Arial" w:hAnsi="Arial" w:cs="Arial"/>
          <w:sz w:val="24"/>
          <w:szCs w:val="24"/>
          <w:lang w:val="en-US"/>
        </w:rPr>
        <w:t>(Mean HEs latency</w:t>
      </w:r>
      <w:r w:rsidR="00C1128F" w:rsidRPr="008A16EB">
        <w:rPr>
          <w:rFonts w:ascii="Arial" w:hAnsi="Arial" w:cs="Arial"/>
          <w:sz w:val="24"/>
          <w:szCs w:val="24"/>
          <w:lang w:val="en-US"/>
        </w:rPr>
        <w:t xml:space="preserve"> </w:t>
      </w:r>
      <w:r w:rsidR="00FA1629" w:rsidRPr="008A16EB">
        <w:rPr>
          <w:rFonts w:ascii="Arial" w:hAnsi="Arial" w:cs="Arial"/>
          <w:sz w:val="24"/>
          <w:szCs w:val="24"/>
          <w:lang w:val="en-US"/>
        </w:rPr>
        <w:t>- Mean LP latency)/8</w:t>
      </w:r>
    </w:p>
    <w:p w14:paraId="0DD3D639" w14:textId="7366735E" w:rsidR="000B6074" w:rsidRPr="000B6074" w:rsidRDefault="00DC531D" w:rsidP="000B6074">
      <w:pPr>
        <w:pStyle w:val="Prrafodelista"/>
        <w:numPr>
          <w:ilvl w:val="0"/>
          <w:numId w:val="10"/>
        </w:numPr>
        <w:spacing w:before="240" w:line="360" w:lineRule="auto"/>
        <w:jc w:val="both"/>
        <w:rPr>
          <w:rFonts w:ascii="Arial" w:hAnsi="Arial" w:cs="Arial"/>
          <w:sz w:val="24"/>
          <w:szCs w:val="24"/>
          <w:lang w:val="en-US"/>
        </w:rPr>
      </w:pPr>
      <w:r w:rsidRPr="008A16EB">
        <w:rPr>
          <w:rFonts w:ascii="Arial" w:hAnsi="Arial" w:cs="Arial"/>
          <w:sz w:val="24"/>
          <w:szCs w:val="24"/>
          <w:lang w:val="en-US"/>
        </w:rPr>
        <w:t>Probability difference, i.e., the probability of performing a HE during the CS</w:t>
      </w:r>
      <w:r w:rsidRPr="008A16EB">
        <w:rPr>
          <w:rFonts w:ascii="Arial" w:hAnsi="Arial" w:cs="Arial"/>
          <w:sz w:val="24"/>
          <w:szCs w:val="24"/>
          <w:vertAlign w:val="superscript"/>
          <w:lang w:val="en-US"/>
        </w:rPr>
        <w:t>+</w:t>
      </w:r>
      <w:r w:rsidRPr="008A16EB">
        <w:rPr>
          <w:rFonts w:ascii="Arial" w:hAnsi="Arial" w:cs="Arial"/>
          <w:sz w:val="24"/>
          <w:szCs w:val="24"/>
          <w:lang w:val="en-US"/>
        </w:rPr>
        <w:t xml:space="preserve"> presentations minus the probability of performing a LP during the CS</w:t>
      </w:r>
      <w:r w:rsidRPr="008A16EB">
        <w:rPr>
          <w:rFonts w:ascii="Arial" w:hAnsi="Arial" w:cs="Arial"/>
          <w:sz w:val="24"/>
          <w:szCs w:val="24"/>
          <w:vertAlign w:val="superscript"/>
          <w:lang w:val="en-US"/>
        </w:rPr>
        <w:t xml:space="preserve">+ </w:t>
      </w:r>
      <w:r w:rsidRPr="008A16EB">
        <w:rPr>
          <w:rFonts w:ascii="Arial" w:hAnsi="Arial" w:cs="Arial"/>
          <w:sz w:val="24"/>
          <w:szCs w:val="24"/>
          <w:lang w:val="en-US"/>
        </w:rPr>
        <w:t>presentation:</w:t>
      </w:r>
      <w:r w:rsidR="00F92DAC" w:rsidRPr="008A16EB">
        <w:rPr>
          <w:rFonts w:ascii="Arial" w:hAnsi="Arial" w:cs="Arial"/>
          <w:sz w:val="24"/>
          <w:szCs w:val="24"/>
          <w:lang w:val="en-US"/>
        </w:rPr>
        <w:t xml:space="preserve"> </w:t>
      </w:r>
      <w:r w:rsidR="00C1128F" w:rsidRPr="008A16EB">
        <w:rPr>
          <w:rFonts w:ascii="Arial" w:hAnsi="Arial" w:cs="Arial"/>
          <w:sz w:val="24"/>
          <w:szCs w:val="24"/>
          <w:lang w:val="en-US"/>
        </w:rPr>
        <w:t>P(LP) -</w:t>
      </w:r>
      <w:r w:rsidR="005F0D15" w:rsidRPr="008A16EB">
        <w:rPr>
          <w:rFonts w:ascii="Arial" w:hAnsi="Arial" w:cs="Arial"/>
          <w:sz w:val="24"/>
          <w:szCs w:val="24"/>
          <w:lang w:val="en-US"/>
        </w:rPr>
        <w:t xml:space="preserve"> </w:t>
      </w:r>
      <w:r w:rsidR="00C1128F" w:rsidRPr="008A16EB">
        <w:rPr>
          <w:rFonts w:ascii="Arial" w:hAnsi="Arial" w:cs="Arial"/>
          <w:sz w:val="24"/>
          <w:szCs w:val="24"/>
          <w:lang w:val="en-US"/>
        </w:rPr>
        <w:t>P(HE)</w:t>
      </w:r>
    </w:p>
    <w:p w14:paraId="008AF2C2" w14:textId="1A8556D2" w:rsidR="008F2BC3" w:rsidRDefault="00DC531D" w:rsidP="004D15F6">
      <w:pPr>
        <w:spacing w:line="360" w:lineRule="auto"/>
        <w:ind w:firstLine="708"/>
        <w:jc w:val="both"/>
        <w:rPr>
          <w:rFonts w:ascii="Arial" w:hAnsi="Arial" w:cs="Arial"/>
          <w:sz w:val="24"/>
          <w:szCs w:val="24"/>
          <w:lang w:val="en-US"/>
        </w:rPr>
      </w:pPr>
      <w:r w:rsidRPr="008A16EB">
        <w:rPr>
          <w:rFonts w:ascii="Arial" w:hAnsi="Arial" w:cs="Arial"/>
          <w:sz w:val="24"/>
          <w:szCs w:val="24"/>
          <w:lang w:val="en-US"/>
        </w:rPr>
        <w:t>Every index score ranged from 1 (absolute sign-tracking) to -1 (absolute goal-tracking). Animals with a PCA score higher than 0.5 were classified as sign-trackers, whereas animals with a PCA lower than -0.5 were categorized as goal-trackers.</w:t>
      </w:r>
      <w:r w:rsidR="00F92DAC" w:rsidRPr="008A16EB">
        <w:rPr>
          <w:rFonts w:ascii="Arial" w:hAnsi="Arial" w:cs="Arial"/>
          <w:sz w:val="24"/>
          <w:szCs w:val="24"/>
          <w:lang w:val="en-US"/>
        </w:rPr>
        <w:t xml:space="preserve"> </w:t>
      </w:r>
      <w:r w:rsidR="00274752" w:rsidRPr="008A16EB">
        <w:rPr>
          <w:rFonts w:ascii="Arial" w:hAnsi="Arial" w:cs="Arial"/>
          <w:sz w:val="24"/>
          <w:szCs w:val="24"/>
          <w:lang w:val="en-US"/>
        </w:rPr>
        <w:t xml:space="preserve">Scores from 0.5 to -0.5 are considered an intermediate phenotype </w:t>
      </w:r>
      <w:r w:rsidR="00F92DAC" w:rsidRPr="008A16EB">
        <w:rPr>
          <w:rFonts w:ascii="Arial" w:hAnsi="Arial" w:cs="Arial"/>
          <w:sz w:val="24"/>
          <w:szCs w:val="24"/>
          <w:lang w:val="en-US"/>
        </w:rPr>
        <w:t xml:space="preserve">with no </w:t>
      </w:r>
      <w:r w:rsidR="00274752" w:rsidRPr="008A16EB">
        <w:rPr>
          <w:rFonts w:ascii="Arial" w:hAnsi="Arial" w:cs="Arial"/>
          <w:sz w:val="24"/>
          <w:szCs w:val="24"/>
          <w:lang w:val="en-US"/>
        </w:rPr>
        <w:t xml:space="preserve">clear </w:t>
      </w:r>
      <w:r w:rsidR="00F92DAC" w:rsidRPr="008A16EB">
        <w:rPr>
          <w:rFonts w:ascii="Arial" w:hAnsi="Arial" w:cs="Arial"/>
          <w:sz w:val="24"/>
          <w:szCs w:val="24"/>
          <w:lang w:val="en-US"/>
        </w:rPr>
        <w:t>preference bias</w:t>
      </w:r>
      <w:r w:rsidR="00274752" w:rsidRPr="008A16EB">
        <w:rPr>
          <w:rFonts w:ascii="Arial" w:hAnsi="Arial" w:cs="Arial"/>
          <w:sz w:val="24"/>
          <w:szCs w:val="24"/>
          <w:lang w:val="en-US"/>
        </w:rPr>
        <w:t>.</w:t>
      </w:r>
    </w:p>
    <w:p w14:paraId="3A3DCFB5" w14:textId="5224BD35" w:rsidR="008F2BC3" w:rsidRPr="008A16EB" w:rsidRDefault="00DC531D" w:rsidP="004D15F6">
      <w:pPr>
        <w:pStyle w:val="Prrafodelista"/>
        <w:numPr>
          <w:ilvl w:val="2"/>
          <w:numId w:val="9"/>
        </w:numPr>
        <w:spacing w:line="360" w:lineRule="auto"/>
        <w:ind w:left="720" w:hanging="720"/>
        <w:jc w:val="both"/>
        <w:rPr>
          <w:rFonts w:ascii="Arial" w:hAnsi="Arial" w:cs="Arial"/>
          <w:sz w:val="24"/>
          <w:szCs w:val="24"/>
          <w:lang w:val="en-US"/>
        </w:rPr>
      </w:pPr>
      <w:r w:rsidRPr="008A16EB">
        <w:rPr>
          <w:rFonts w:ascii="Arial" w:hAnsi="Arial" w:cs="Arial"/>
          <w:b/>
          <w:bCs/>
          <w:sz w:val="24"/>
          <w:szCs w:val="24"/>
          <w:lang w:val="en-US"/>
        </w:rPr>
        <w:t>Habit formation studies:</w:t>
      </w:r>
    </w:p>
    <w:p w14:paraId="072FAD11" w14:textId="0FE57981" w:rsidR="005D1704" w:rsidRPr="005D1704" w:rsidRDefault="005D1704" w:rsidP="000B6074">
      <w:pPr>
        <w:spacing w:line="360" w:lineRule="auto"/>
        <w:ind w:firstLine="708"/>
        <w:jc w:val="both"/>
        <w:rPr>
          <w:rFonts w:ascii="Arial" w:hAnsi="Arial" w:cs="Arial"/>
          <w:sz w:val="28"/>
          <w:szCs w:val="28"/>
          <w:lang w:val="en-US"/>
        </w:rPr>
      </w:pPr>
      <w:r>
        <w:rPr>
          <w:rFonts w:ascii="Arial" w:hAnsi="Arial" w:cs="Arial"/>
          <w:sz w:val="24"/>
          <w:szCs w:val="24"/>
          <w:lang w:val="en-US"/>
        </w:rPr>
        <w:t>T</w:t>
      </w:r>
      <w:r w:rsidRPr="005D1704">
        <w:rPr>
          <w:rFonts w:ascii="Arial" w:hAnsi="Arial" w:cs="Arial"/>
          <w:sz w:val="24"/>
          <w:szCs w:val="24"/>
          <w:lang w:val="en-US"/>
        </w:rPr>
        <w:t>en days after the final PCA session animals began</w:t>
      </w:r>
      <w:r w:rsidRPr="005D1704">
        <w:rPr>
          <w:rFonts w:ascii="Arial" w:hAnsi="Arial" w:cs="Arial"/>
          <w:b/>
          <w:sz w:val="24"/>
          <w:szCs w:val="24"/>
          <w:lang w:val="en-US"/>
        </w:rPr>
        <w:t xml:space="preserve"> </w:t>
      </w:r>
      <w:r w:rsidRPr="005D1704">
        <w:rPr>
          <w:rFonts w:ascii="Arial" w:hAnsi="Arial" w:cs="Arial"/>
          <w:bCs/>
          <w:sz w:val="24"/>
          <w:szCs w:val="24"/>
          <w:lang w:val="en-US"/>
        </w:rPr>
        <w:t>the habit training protocol</w:t>
      </w:r>
      <w:r w:rsidRPr="005D1704">
        <w:rPr>
          <w:rFonts w:ascii="Arial" w:hAnsi="Arial" w:cs="Arial"/>
          <w:sz w:val="24"/>
          <w:szCs w:val="24"/>
          <w:lang w:val="en-US"/>
        </w:rPr>
        <w:t xml:space="preserve">. The rats performed a brief, in principle non-habit-forming, training, and an extended training scheme (supposed to induce habit-like responding). The brief training consisted of 5 consecutive daily sessions: one </w:t>
      </w:r>
      <w:r w:rsidR="008976EB">
        <w:rPr>
          <w:rFonts w:ascii="Arial" w:hAnsi="Arial" w:cs="Arial"/>
          <w:sz w:val="24"/>
          <w:szCs w:val="24"/>
          <w:lang w:val="en-US"/>
        </w:rPr>
        <w:t xml:space="preserve">fixed ratio -FR- </w:t>
      </w:r>
      <w:r w:rsidRPr="005D1704">
        <w:rPr>
          <w:rFonts w:ascii="Arial" w:hAnsi="Arial" w:cs="Arial"/>
          <w:bCs/>
          <w:sz w:val="24"/>
          <w:szCs w:val="24"/>
          <w:lang w:val="en-US"/>
        </w:rPr>
        <w:t>1 session</w:t>
      </w:r>
      <w:r w:rsidRPr="005D1704">
        <w:rPr>
          <w:rFonts w:ascii="Arial" w:hAnsi="Arial" w:cs="Arial"/>
          <w:sz w:val="24"/>
          <w:szCs w:val="24"/>
          <w:lang w:val="en-US"/>
        </w:rPr>
        <w:t xml:space="preserve">, two variable-interval (VI) 30 s sessions and two VI 60 s sessions. Every session was implemented with a single lever protracted inside the operant box and limited to 30 pellets. After the training sessions, we subjected the animals to two counterbalanced, </w:t>
      </w:r>
      <w:r w:rsidRPr="005D1704">
        <w:rPr>
          <w:rFonts w:ascii="Arial" w:hAnsi="Arial" w:cs="Arial"/>
          <w:bCs/>
          <w:sz w:val="24"/>
          <w:szCs w:val="24"/>
          <w:lang w:val="en-US"/>
        </w:rPr>
        <w:t>sensory-specific satiety-based, devaluation tests</w:t>
      </w:r>
      <w:r w:rsidRPr="005D1704">
        <w:rPr>
          <w:rFonts w:ascii="Arial" w:hAnsi="Arial" w:cs="Arial"/>
          <w:b/>
          <w:sz w:val="24"/>
          <w:szCs w:val="24"/>
          <w:lang w:val="en-US"/>
        </w:rPr>
        <w:t xml:space="preserve">. </w:t>
      </w:r>
      <w:r w:rsidRPr="005D1704">
        <w:rPr>
          <w:rFonts w:ascii="Arial" w:hAnsi="Arial" w:cs="Arial"/>
          <w:sz w:val="24"/>
          <w:szCs w:val="24"/>
          <w:lang w:val="en-US"/>
        </w:rPr>
        <w:t xml:space="preserve">In these tests, the rats were allowed to eat pellets or chow food freely for one hour before undergoing an extinction test. This test was a brief extinction session of 5 minutes with two levers present, the one presented during training and a new one. This allowed us to discriminate reinforcer seeking from locomotor activity. Both levers had no programmed consequences. On the day after the first test, the animals were retrained under a regular VI60 session and, on the next day, another devaluation session was carried out with the other type of food (pellets or regular </w:t>
      </w:r>
      <w:r w:rsidRPr="005D1704">
        <w:rPr>
          <w:rFonts w:ascii="Arial" w:hAnsi="Arial" w:cs="Arial"/>
          <w:sz w:val="24"/>
          <w:szCs w:val="24"/>
          <w:lang w:val="en-US"/>
        </w:rPr>
        <w:lastRenderedPageBreak/>
        <w:t xml:space="preserve">chow). </w:t>
      </w:r>
      <w:r w:rsidRPr="005D1704">
        <w:rPr>
          <w:rFonts w:ascii="Arial" w:hAnsi="Arial" w:cs="Arial"/>
          <w:color w:val="000000" w:themeColor="text1"/>
          <w:sz w:val="24"/>
          <w:szCs w:val="24"/>
          <w:lang w:val="en-US"/>
        </w:rPr>
        <w:t>For extended training, animals performed another 10 sessions (VI60) and then animals underwent the same counterbalanced devaluation tests as described before. Male VEH n</w:t>
      </w:r>
      <w:r w:rsidRPr="005D1704">
        <w:rPr>
          <w:rFonts w:ascii="Arial" w:eastAsiaTheme="minorEastAsia" w:hAnsi="Arial" w:cs="Arial"/>
          <w:color w:val="000000" w:themeColor="text1"/>
          <w:kern w:val="24"/>
          <w:sz w:val="24"/>
          <w:szCs w:val="24"/>
          <w:lang w:val="en-US"/>
        </w:rPr>
        <w:t xml:space="preserve">=10; </w:t>
      </w:r>
      <w:r w:rsidRPr="005D1704">
        <w:rPr>
          <w:rFonts w:ascii="Arial" w:hAnsi="Arial" w:cs="Arial"/>
          <w:color w:val="000000" w:themeColor="text1"/>
          <w:sz w:val="24"/>
          <w:szCs w:val="24"/>
          <w:lang w:val="en-US"/>
        </w:rPr>
        <w:t>Male THC n=10; Female VEH n=10; Female THC n=10</w:t>
      </w:r>
    </w:p>
    <w:p w14:paraId="0B1E84D9" w14:textId="6E95E2EE" w:rsidR="001805A3" w:rsidRPr="000B6074" w:rsidRDefault="00477B7A" w:rsidP="000B6074">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Due to </w:t>
      </w:r>
      <w:r w:rsidR="008E3E89">
        <w:rPr>
          <w:rFonts w:ascii="Arial" w:hAnsi="Arial" w:cs="Arial"/>
          <w:sz w:val="24"/>
          <w:szCs w:val="24"/>
          <w:lang w:val="en-US"/>
        </w:rPr>
        <w:t xml:space="preserve">the </w:t>
      </w:r>
      <w:r w:rsidRPr="008A16EB">
        <w:rPr>
          <w:rFonts w:ascii="Arial" w:hAnsi="Arial" w:cs="Arial"/>
          <w:sz w:val="24"/>
          <w:szCs w:val="24"/>
          <w:lang w:val="en-US"/>
        </w:rPr>
        <w:t>higher rate of LP in the THC-female group compared to all other groups we calculated</w:t>
      </w:r>
      <w:r w:rsidR="005D2444" w:rsidRPr="008A16EB">
        <w:rPr>
          <w:rFonts w:ascii="Arial" w:hAnsi="Arial" w:cs="Arial"/>
          <w:sz w:val="24"/>
          <w:szCs w:val="24"/>
          <w:lang w:val="en-US"/>
        </w:rPr>
        <w:t xml:space="preserve"> </w:t>
      </w:r>
      <w:r w:rsidRPr="008A16EB">
        <w:rPr>
          <w:rFonts w:ascii="Arial" w:hAnsi="Arial" w:cs="Arial"/>
          <w:sz w:val="24"/>
          <w:szCs w:val="24"/>
          <w:lang w:val="en-US"/>
        </w:rPr>
        <w:t xml:space="preserve">a non-biased </w:t>
      </w:r>
      <w:r w:rsidR="007B6DFF" w:rsidRPr="008A16EB">
        <w:rPr>
          <w:rFonts w:ascii="Arial" w:hAnsi="Arial" w:cs="Arial"/>
          <w:sz w:val="24"/>
          <w:szCs w:val="24"/>
          <w:lang w:val="en-US"/>
        </w:rPr>
        <w:t>Habit Formation Index</w:t>
      </w:r>
      <w:r w:rsidR="000B0BD2" w:rsidRPr="008A16EB">
        <w:rPr>
          <w:rFonts w:ascii="Arial" w:hAnsi="Arial" w:cs="Arial"/>
          <w:sz w:val="24"/>
          <w:szCs w:val="24"/>
          <w:lang w:val="en-US"/>
        </w:rPr>
        <w:t xml:space="preserve">, </w:t>
      </w:r>
      <w:r w:rsidRPr="008A16EB">
        <w:rPr>
          <w:rFonts w:ascii="Arial" w:hAnsi="Arial" w:cs="Arial"/>
          <w:sz w:val="24"/>
          <w:szCs w:val="24"/>
          <w:lang w:val="en-US"/>
        </w:rPr>
        <w:t>i</w:t>
      </w:r>
      <w:r w:rsidR="005D2444" w:rsidRPr="008A16EB">
        <w:rPr>
          <w:rFonts w:ascii="Arial" w:hAnsi="Arial" w:cs="Arial"/>
          <w:sz w:val="24"/>
          <w:szCs w:val="24"/>
          <w:lang w:val="en-US"/>
        </w:rPr>
        <w:t>n addition to the raw number of LP</w:t>
      </w:r>
      <w:r w:rsidRPr="008A16EB">
        <w:rPr>
          <w:rFonts w:ascii="Arial" w:hAnsi="Arial" w:cs="Arial"/>
          <w:sz w:val="24"/>
          <w:szCs w:val="24"/>
          <w:lang w:val="en-US"/>
        </w:rPr>
        <w:t xml:space="preserve">, </w:t>
      </w:r>
      <w:r w:rsidR="005D2444" w:rsidRPr="008A16EB">
        <w:rPr>
          <w:rFonts w:ascii="Arial" w:hAnsi="Arial" w:cs="Arial"/>
          <w:sz w:val="24"/>
          <w:szCs w:val="24"/>
          <w:lang w:val="en-US"/>
        </w:rPr>
        <w:t>applying</w:t>
      </w:r>
      <w:r w:rsidR="001805A3" w:rsidRPr="008A16EB">
        <w:rPr>
          <w:rFonts w:ascii="Arial" w:hAnsi="Arial" w:cs="Arial"/>
          <w:sz w:val="24"/>
          <w:szCs w:val="24"/>
          <w:lang w:val="en-US"/>
        </w:rPr>
        <w:t xml:space="preserve"> the following formula</w:t>
      </w:r>
      <w:r w:rsidRPr="008A16EB">
        <w:rPr>
          <w:rFonts w:ascii="Arial" w:hAnsi="Arial" w:cs="Arial"/>
          <w:sz w:val="24"/>
          <w:szCs w:val="24"/>
          <w:lang w:val="en-US"/>
        </w:rPr>
        <w:t>:</w:t>
      </w:r>
      <w:r w:rsidR="000B0BD2" w:rsidRPr="008A16EB">
        <w:rPr>
          <w:rFonts w:ascii="Arial" w:hAnsi="Arial" w:cs="Arial"/>
          <w:sz w:val="24"/>
          <w:szCs w:val="24"/>
          <w:lang w:val="en-US"/>
        </w:rPr>
        <w:t xml:space="preserve"> LP</w:t>
      </w:r>
      <w:r w:rsidR="000B0BD2" w:rsidRPr="008A16EB">
        <w:rPr>
          <w:rFonts w:ascii="Arial" w:hAnsi="Arial" w:cs="Arial"/>
          <w:sz w:val="24"/>
          <w:szCs w:val="24"/>
          <w:vertAlign w:val="subscript"/>
          <w:lang w:val="en-US"/>
        </w:rPr>
        <w:t xml:space="preserve">Devalued </w:t>
      </w:r>
      <w:r w:rsidR="000B0BD2" w:rsidRPr="008A16EB">
        <w:rPr>
          <w:rFonts w:ascii="Arial" w:hAnsi="Arial" w:cs="Arial"/>
          <w:sz w:val="24"/>
          <w:szCs w:val="24"/>
          <w:lang w:val="en-US"/>
        </w:rPr>
        <w:t>/(</w:t>
      </w:r>
      <w:proofErr w:type="spellStart"/>
      <w:r w:rsidR="000B0BD2" w:rsidRPr="008A16EB">
        <w:rPr>
          <w:rFonts w:ascii="Arial" w:hAnsi="Arial" w:cs="Arial"/>
          <w:sz w:val="24"/>
          <w:szCs w:val="24"/>
          <w:lang w:val="en-US"/>
        </w:rPr>
        <w:t>LP</w:t>
      </w:r>
      <w:r w:rsidR="000B0BD2" w:rsidRPr="008A16EB">
        <w:rPr>
          <w:rFonts w:ascii="Arial" w:hAnsi="Arial" w:cs="Arial"/>
          <w:sz w:val="24"/>
          <w:szCs w:val="24"/>
          <w:vertAlign w:val="subscript"/>
          <w:lang w:val="en-US"/>
        </w:rPr>
        <w:t>Devalued</w:t>
      </w:r>
      <w:r w:rsidR="000B0BD2" w:rsidRPr="008A16EB">
        <w:rPr>
          <w:rFonts w:ascii="Arial" w:hAnsi="Arial" w:cs="Arial"/>
          <w:sz w:val="24"/>
          <w:szCs w:val="24"/>
          <w:lang w:val="en-US"/>
        </w:rPr>
        <w:t>+LP</w:t>
      </w:r>
      <w:r w:rsidR="000B0BD2" w:rsidRPr="008A16EB">
        <w:rPr>
          <w:rFonts w:ascii="Arial" w:hAnsi="Arial" w:cs="Arial"/>
          <w:sz w:val="24"/>
          <w:szCs w:val="24"/>
          <w:vertAlign w:val="subscript"/>
          <w:lang w:val="en-US"/>
        </w:rPr>
        <w:t>NonDevalued</w:t>
      </w:r>
      <w:proofErr w:type="spellEnd"/>
      <w:r w:rsidR="000B0BD2" w:rsidRPr="008A16EB">
        <w:rPr>
          <w:rFonts w:ascii="Arial" w:hAnsi="Arial" w:cs="Arial"/>
          <w:sz w:val="24"/>
          <w:szCs w:val="24"/>
          <w:lang w:val="en-US"/>
        </w:rPr>
        <w:t>)</w:t>
      </w:r>
    </w:p>
    <w:p w14:paraId="18D28B5D" w14:textId="0FE15058" w:rsidR="008F2BC3" w:rsidRDefault="000B0BD2" w:rsidP="004D15F6">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After the short and long training </w:t>
      </w:r>
      <w:r w:rsidR="00DC531D" w:rsidRPr="008A16EB">
        <w:rPr>
          <w:rFonts w:ascii="Arial" w:hAnsi="Arial" w:cs="Arial"/>
          <w:sz w:val="24"/>
          <w:szCs w:val="24"/>
          <w:lang w:val="en-US"/>
        </w:rPr>
        <w:t>devaluation test</w:t>
      </w:r>
      <w:r w:rsidR="00A03908" w:rsidRPr="008A16EB">
        <w:rPr>
          <w:rFonts w:ascii="Arial" w:hAnsi="Arial" w:cs="Arial"/>
          <w:sz w:val="24"/>
          <w:szCs w:val="24"/>
          <w:lang w:val="en-US"/>
        </w:rPr>
        <w:t>ing</w:t>
      </w:r>
      <w:r w:rsidRPr="008A16EB">
        <w:rPr>
          <w:rFonts w:ascii="Arial" w:hAnsi="Arial" w:cs="Arial"/>
          <w:sz w:val="24"/>
          <w:szCs w:val="24"/>
          <w:lang w:val="en-US"/>
        </w:rPr>
        <w:t xml:space="preserve"> sessions</w:t>
      </w:r>
      <w:r w:rsidR="00DC531D" w:rsidRPr="008A16EB">
        <w:rPr>
          <w:rFonts w:ascii="Arial" w:hAnsi="Arial" w:cs="Arial"/>
          <w:sz w:val="24"/>
          <w:szCs w:val="24"/>
          <w:lang w:val="en-US"/>
        </w:rPr>
        <w:t>, animals were retrained on a VI60s session and performed an omission test</w:t>
      </w:r>
      <w:r w:rsidR="00A03908" w:rsidRPr="008A16EB">
        <w:rPr>
          <w:rFonts w:ascii="Arial" w:hAnsi="Arial" w:cs="Arial"/>
          <w:sz w:val="24"/>
          <w:szCs w:val="24"/>
          <w:lang w:val="en-US"/>
        </w:rPr>
        <w:t xml:space="preserve"> to assess their performance during contingency degradation. During this session, </w:t>
      </w:r>
      <w:r w:rsidR="00DC531D" w:rsidRPr="008A16EB">
        <w:rPr>
          <w:rFonts w:ascii="Arial" w:hAnsi="Arial" w:cs="Arial"/>
          <w:sz w:val="24"/>
          <w:szCs w:val="24"/>
          <w:lang w:val="en-US"/>
        </w:rPr>
        <w:t>the omission of the response was rewarded</w:t>
      </w:r>
      <w:r w:rsidR="00A03908" w:rsidRPr="008A16EB">
        <w:rPr>
          <w:rFonts w:ascii="Arial" w:hAnsi="Arial" w:cs="Arial"/>
          <w:sz w:val="24"/>
          <w:szCs w:val="24"/>
          <w:lang w:val="en-US"/>
        </w:rPr>
        <w:t xml:space="preserve"> </w:t>
      </w:r>
      <w:r w:rsidR="00DD408C" w:rsidRPr="008A16EB">
        <w:rPr>
          <w:rFonts w:ascii="Arial" w:hAnsi="Arial" w:cs="Arial"/>
          <w:sz w:val="24"/>
          <w:szCs w:val="24"/>
          <w:lang w:val="en-US"/>
        </w:rPr>
        <w:t>but</w:t>
      </w:r>
      <w:r w:rsidR="00DC531D" w:rsidRPr="008A16EB">
        <w:rPr>
          <w:rFonts w:ascii="Arial" w:hAnsi="Arial" w:cs="Arial"/>
          <w:sz w:val="24"/>
          <w:szCs w:val="24"/>
          <w:lang w:val="en-US"/>
        </w:rPr>
        <w:t xml:space="preserve"> every LP reset the clock that delivered the reward every 30 s.</w:t>
      </w:r>
    </w:p>
    <w:p w14:paraId="4B6F283C" w14:textId="43DE650B" w:rsidR="004D15F6" w:rsidRPr="004D15F6" w:rsidRDefault="004D15F6" w:rsidP="004D15F6">
      <w:pPr>
        <w:pStyle w:val="Prrafodelista"/>
        <w:numPr>
          <w:ilvl w:val="1"/>
          <w:numId w:val="9"/>
        </w:numPr>
        <w:spacing w:after="0" w:line="360" w:lineRule="auto"/>
        <w:ind w:left="720" w:hanging="720"/>
        <w:jc w:val="both"/>
        <w:rPr>
          <w:rFonts w:ascii="Arial" w:hAnsi="Arial" w:cs="Arial"/>
          <w:b/>
          <w:bCs/>
          <w:sz w:val="24"/>
          <w:szCs w:val="24"/>
          <w:lang w:val="en-US"/>
        </w:rPr>
      </w:pPr>
      <w:r w:rsidRPr="004D15F6">
        <w:rPr>
          <w:rFonts w:ascii="Arial" w:hAnsi="Arial" w:cs="Arial"/>
          <w:b/>
          <w:bCs/>
          <w:sz w:val="24"/>
          <w:szCs w:val="24"/>
          <w:lang w:val="en-US"/>
        </w:rPr>
        <w:t>Experiment 2</w:t>
      </w:r>
      <w:r w:rsidR="00700357">
        <w:rPr>
          <w:rFonts w:ascii="Arial" w:hAnsi="Arial" w:cs="Arial"/>
          <w:b/>
          <w:bCs/>
          <w:sz w:val="24"/>
          <w:szCs w:val="24"/>
          <w:lang w:val="en-US"/>
        </w:rPr>
        <w:t>.</w:t>
      </w:r>
    </w:p>
    <w:p w14:paraId="6BAF4A38" w14:textId="00F7329D" w:rsidR="00DC531D" w:rsidRPr="004D15F6" w:rsidRDefault="00DC531D" w:rsidP="004D15F6">
      <w:pPr>
        <w:pStyle w:val="Prrafodelista"/>
        <w:numPr>
          <w:ilvl w:val="2"/>
          <w:numId w:val="9"/>
        </w:numPr>
        <w:spacing w:before="240" w:line="360" w:lineRule="auto"/>
        <w:ind w:left="720" w:hanging="720"/>
        <w:jc w:val="both"/>
        <w:rPr>
          <w:rFonts w:ascii="Arial" w:hAnsi="Arial" w:cs="Arial"/>
          <w:b/>
          <w:bCs/>
          <w:sz w:val="24"/>
          <w:szCs w:val="24"/>
          <w:lang w:val="en-US"/>
        </w:rPr>
      </w:pPr>
      <w:r w:rsidRPr="004D15F6">
        <w:rPr>
          <w:rFonts w:ascii="Arial" w:hAnsi="Arial" w:cs="Arial"/>
          <w:b/>
          <w:bCs/>
          <w:sz w:val="24"/>
          <w:szCs w:val="24"/>
          <w:lang w:val="en-US"/>
        </w:rPr>
        <w:t>Pavlovian to Instrumental Transfer</w:t>
      </w:r>
      <w:r w:rsidR="00094C82">
        <w:rPr>
          <w:rFonts w:ascii="Arial" w:hAnsi="Arial" w:cs="Arial"/>
          <w:b/>
          <w:bCs/>
          <w:sz w:val="24"/>
          <w:szCs w:val="24"/>
          <w:lang w:val="en-US"/>
        </w:rPr>
        <w:t xml:space="preserve"> (PIT)</w:t>
      </w:r>
      <w:r w:rsidR="00700357">
        <w:rPr>
          <w:rFonts w:ascii="Arial" w:hAnsi="Arial" w:cs="Arial"/>
          <w:b/>
          <w:bCs/>
          <w:sz w:val="24"/>
          <w:szCs w:val="24"/>
          <w:lang w:val="en-US"/>
        </w:rPr>
        <w:t>:</w:t>
      </w:r>
    </w:p>
    <w:p w14:paraId="711B505C" w14:textId="0B5160CB" w:rsidR="00DC531D" w:rsidRPr="008A16EB" w:rsidRDefault="00DC531D" w:rsidP="004D15F6">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Before starting each behavioral protocol (at around PND 90), animals followed the same food restriction regime as the one described above. </w:t>
      </w:r>
      <w:r w:rsidR="00431B13">
        <w:rPr>
          <w:rFonts w:ascii="Arial" w:hAnsi="Arial" w:cs="Arial"/>
          <w:sz w:val="24"/>
          <w:szCs w:val="24"/>
          <w:lang w:val="en-US"/>
        </w:rPr>
        <w:t>The PIT</w:t>
      </w:r>
      <w:r w:rsidR="00431B13" w:rsidRPr="008A16EB">
        <w:rPr>
          <w:rFonts w:ascii="Arial" w:hAnsi="Arial" w:cs="Arial"/>
          <w:sz w:val="24"/>
          <w:szCs w:val="24"/>
          <w:lang w:val="en-US"/>
        </w:rPr>
        <w:t xml:space="preserve"> protocol was designed considering the factors that modulate the expression of the PIT phenomenon </w:t>
      </w:r>
      <w:r w:rsidR="00431B13" w:rsidRPr="008A16EB">
        <w:rPr>
          <w:rFonts w:ascii="Arial" w:hAnsi="Arial" w:cs="Arial"/>
          <w:sz w:val="24"/>
          <w:szCs w:val="24"/>
          <w:lang w:val="en-US"/>
        </w:rPr>
        <w:fldChar w:fldCharType="begin" w:fldLock="1"/>
      </w:r>
      <w:r w:rsidR="0098460B">
        <w:rPr>
          <w:rFonts w:ascii="Arial" w:hAnsi="Arial" w:cs="Arial"/>
          <w:sz w:val="24"/>
          <w:szCs w:val="24"/>
          <w:lang w:val="en-US"/>
        </w:rPr>
        <w:instrText>ADDIN CSL_CITATION {"citationItems":[{"id":"ITEM-1","itemData":{"DOI":"10.1016/j.neubiorev.2010.03.007","ISBN":"1873-7528 (Electronic)\\r0149-7634 (Linking)","ISSN":"01497634","PMID":"20385164","abstract":"Pavlovian-to-instrumental transfer (PIT) is a key concept in developing our understanding of cue-controlled behaviours. Here we have reviewed the literature on behavioural and neurobiological factors that influence PIT. Meta-analyses of the data for individual groups in PIT studies revealed that PIT is related to both the order and amounts of instrumental and Pavlovian training, and that it is critically determined by competition between instrumental and Pavlovian responses. We directly addressed the role of response competition in PIT in two experiments which showed that extensive Pavlovian conditioning produced more Pavlovian magazine visits and weaker PIT than moderate Pavlovian conditioning (Experiment 1); and that PIT lost after extensive Pavlovian conditioning was restored by Pavlovian extinction training (Experiment 2). These findings confirm that response competition is indeed an important determinant of PIT. This has significant implications for lesion and inactivation studies that assess the neurobiological substrates of PIT, as well as attempts to demonstrate PIT in the drug self-administration paradigm where the effect is yet to be reliably shown. © 2010 Elsevier Ltd.","author":[{"dropping-particle":"","family":"Holmes","given":"Nathan M.","non-dropping-particle":"","parse-names":false,"suffix":""},{"dropping-particle":"","family":"Marchand","given":"Alain R.","non-dropping-particle":"","parse-names":false,"suffix":""},{"dropping-particle":"","family":"Coutureau","given":"Etienne","non-dropping-particle":"","parse-names":false,"suffix":""}],"container-title":"Neuroscience and Biobehavioral Reviews","id":"ITEM-1","issue":"8","issued":{"date-parts":[["2010"]]},"page":"1277-1295","publisher":"Elsevier Ltd","title":"Pavlovian to instrumental transfer: A neurobehavioural perspective","type":"article-journal","volume":"34"},"uris":["http://www.mendeley.com/documents/?uuid=b1620d45-a889-4001-ade6-b65325bc1295"]}],"mendeley":{"formattedCitation":"(Holmes et al., 2010)","plainTextFormattedCitation":"(Holmes et al., 2010)","previouslyFormattedCitation":"(Holmes et al., 2010)"},"properties":{"noteIndex":0},"schema":"https://github.com/citation-style-language/schema/raw/master/csl-citation.json"}</w:instrText>
      </w:r>
      <w:r w:rsidR="00431B13" w:rsidRPr="008A16EB">
        <w:rPr>
          <w:rFonts w:ascii="Arial" w:hAnsi="Arial" w:cs="Arial"/>
          <w:sz w:val="24"/>
          <w:szCs w:val="24"/>
          <w:lang w:val="en-US"/>
        </w:rPr>
        <w:fldChar w:fldCharType="separate"/>
      </w:r>
      <w:r w:rsidR="00EE42DD" w:rsidRPr="00EE42DD">
        <w:rPr>
          <w:rFonts w:ascii="Arial" w:hAnsi="Arial" w:cs="Arial"/>
          <w:noProof/>
          <w:sz w:val="24"/>
          <w:szCs w:val="24"/>
          <w:lang w:val="en-US"/>
        </w:rPr>
        <w:t>(Holmes et al., 2010)</w:t>
      </w:r>
      <w:r w:rsidR="00431B13" w:rsidRPr="008A16EB">
        <w:rPr>
          <w:rFonts w:ascii="Arial" w:hAnsi="Arial" w:cs="Arial"/>
          <w:sz w:val="24"/>
          <w:szCs w:val="24"/>
          <w:lang w:val="en-US"/>
        </w:rPr>
        <w:fldChar w:fldCharType="end"/>
      </w:r>
      <w:r w:rsidR="00431B13" w:rsidRPr="008A16EB">
        <w:rPr>
          <w:rFonts w:ascii="Arial" w:hAnsi="Arial" w:cs="Arial"/>
          <w:sz w:val="24"/>
          <w:szCs w:val="24"/>
          <w:lang w:val="en-US"/>
        </w:rPr>
        <w:t xml:space="preserve"> and based on preliminary tests conducted in our laboratory.</w:t>
      </w:r>
      <w:r w:rsidR="00431B13">
        <w:rPr>
          <w:rFonts w:ascii="Arial" w:hAnsi="Arial" w:cs="Arial"/>
          <w:sz w:val="24"/>
          <w:szCs w:val="24"/>
          <w:lang w:val="en-US"/>
        </w:rPr>
        <w:t xml:space="preserve"> </w:t>
      </w:r>
      <w:r w:rsidR="004D15F6">
        <w:rPr>
          <w:rFonts w:ascii="Arial" w:hAnsi="Arial" w:cs="Arial"/>
          <w:sz w:val="24"/>
          <w:szCs w:val="24"/>
          <w:lang w:val="en-US"/>
        </w:rPr>
        <w:t>Th</w:t>
      </w:r>
      <w:r w:rsidR="00431B13">
        <w:rPr>
          <w:rFonts w:ascii="Arial" w:hAnsi="Arial" w:cs="Arial"/>
          <w:sz w:val="24"/>
          <w:szCs w:val="24"/>
          <w:lang w:val="en-US"/>
        </w:rPr>
        <w:t>e</w:t>
      </w:r>
      <w:r w:rsidR="004D15F6">
        <w:rPr>
          <w:rFonts w:ascii="Arial" w:hAnsi="Arial" w:cs="Arial"/>
          <w:sz w:val="24"/>
          <w:szCs w:val="24"/>
          <w:lang w:val="en-US"/>
        </w:rPr>
        <w:t xml:space="preserve"> </w:t>
      </w:r>
      <w:r w:rsidRPr="008A16EB">
        <w:rPr>
          <w:rFonts w:ascii="Arial" w:hAnsi="Arial" w:cs="Arial"/>
          <w:sz w:val="24"/>
          <w:szCs w:val="24"/>
          <w:lang w:val="en-US"/>
        </w:rPr>
        <w:t xml:space="preserve">PIT protocol consisted of </w:t>
      </w:r>
      <w:r w:rsidR="004F5A80">
        <w:rPr>
          <w:rFonts w:ascii="Arial" w:hAnsi="Arial" w:cs="Arial"/>
          <w:sz w:val="24"/>
          <w:szCs w:val="24"/>
          <w:lang w:val="en-US"/>
        </w:rPr>
        <w:t>f</w:t>
      </w:r>
      <w:r w:rsidRPr="008A16EB">
        <w:rPr>
          <w:rFonts w:ascii="Arial" w:hAnsi="Arial" w:cs="Arial"/>
          <w:sz w:val="24"/>
          <w:szCs w:val="24"/>
          <w:lang w:val="en-US"/>
        </w:rPr>
        <w:t xml:space="preserve">our consecutive phases: </w:t>
      </w:r>
    </w:p>
    <w:p w14:paraId="09E26681" w14:textId="77777777" w:rsidR="00431B13" w:rsidRDefault="00DC531D" w:rsidP="00431B13">
      <w:pPr>
        <w:spacing w:line="360" w:lineRule="auto"/>
        <w:ind w:firstLine="708"/>
        <w:jc w:val="both"/>
        <w:rPr>
          <w:rFonts w:ascii="Arial" w:hAnsi="Arial" w:cs="Arial"/>
          <w:sz w:val="24"/>
          <w:szCs w:val="24"/>
          <w:lang w:val="en-US"/>
        </w:rPr>
      </w:pPr>
      <w:r w:rsidRPr="008A16EB">
        <w:rPr>
          <w:rFonts w:ascii="Arial" w:hAnsi="Arial" w:cs="Arial"/>
          <w:sz w:val="24"/>
          <w:szCs w:val="24"/>
          <w:lang w:val="en-US"/>
        </w:rPr>
        <w:t>(1) Pavlovian training: 10 sessions of 4 cycles composed of a) 2 minutes under a variable interval of 30 s (VI30) schedule of reinforcement where they were exposed to a reward-associated conditioned stimulus (clicker or homeobox light, counterbalanced) or CS</w:t>
      </w:r>
      <w:r w:rsidRPr="008A16EB">
        <w:rPr>
          <w:rFonts w:ascii="Arial" w:hAnsi="Arial" w:cs="Arial"/>
          <w:sz w:val="24"/>
          <w:szCs w:val="24"/>
          <w:vertAlign w:val="superscript"/>
          <w:lang w:val="en-US"/>
        </w:rPr>
        <w:t>+</w:t>
      </w:r>
      <w:r w:rsidRPr="008A16EB">
        <w:rPr>
          <w:rFonts w:ascii="Arial" w:hAnsi="Arial" w:cs="Arial"/>
          <w:sz w:val="24"/>
          <w:szCs w:val="24"/>
          <w:lang w:val="en-US"/>
        </w:rPr>
        <w:t>; b) 1-minute trials without conditioned stimulus (</w:t>
      </w:r>
      <w:r w:rsidR="00431B13" w:rsidRPr="008A16EB">
        <w:rPr>
          <w:rFonts w:ascii="Arial" w:hAnsi="Arial" w:cs="Arial"/>
          <w:sz w:val="24"/>
          <w:szCs w:val="24"/>
          <w:lang w:val="en-US"/>
        </w:rPr>
        <w:t>No Stimuli Interval</w:t>
      </w:r>
      <w:r w:rsidRPr="008A16EB">
        <w:rPr>
          <w:rFonts w:ascii="Arial" w:hAnsi="Arial" w:cs="Arial"/>
          <w:sz w:val="24"/>
          <w:szCs w:val="24"/>
          <w:lang w:val="en-US"/>
        </w:rPr>
        <w:t xml:space="preserve"> or </w:t>
      </w:r>
      <w:r w:rsidR="00431B13">
        <w:rPr>
          <w:rFonts w:ascii="Arial" w:hAnsi="Arial" w:cs="Arial"/>
          <w:sz w:val="24"/>
          <w:szCs w:val="24"/>
          <w:lang w:val="en-US"/>
        </w:rPr>
        <w:t>N</w:t>
      </w:r>
      <w:r w:rsidRPr="008A16EB">
        <w:rPr>
          <w:rFonts w:ascii="Arial" w:hAnsi="Arial" w:cs="Arial"/>
          <w:sz w:val="24"/>
          <w:szCs w:val="24"/>
          <w:lang w:val="en-US"/>
        </w:rPr>
        <w:t>SI), where no stimuli or programmed contingencies were administered; and c) a 2-minute trial where the animals were exposed to a non-rewarded stimulus or CS</w:t>
      </w:r>
      <w:r w:rsidRPr="008A16EB">
        <w:rPr>
          <w:rFonts w:ascii="Arial" w:hAnsi="Arial" w:cs="Arial"/>
          <w:sz w:val="24"/>
          <w:szCs w:val="24"/>
          <w:vertAlign w:val="superscript"/>
          <w:lang w:val="en-US"/>
        </w:rPr>
        <w:t>-</w:t>
      </w:r>
      <w:r w:rsidRPr="008A16EB">
        <w:rPr>
          <w:rFonts w:ascii="Arial" w:hAnsi="Arial" w:cs="Arial"/>
          <w:sz w:val="24"/>
          <w:szCs w:val="24"/>
          <w:lang w:val="en-US"/>
        </w:rPr>
        <w:t xml:space="preserve"> (tone or clicker, counterbalanced). This is summarized as follows:</w:t>
      </w:r>
    </w:p>
    <w:p w14:paraId="40F2A664" w14:textId="340A42FE" w:rsidR="00DC531D" w:rsidRPr="008A16EB" w:rsidRDefault="00DC531D" w:rsidP="007B6DFF">
      <w:pPr>
        <w:spacing w:line="360" w:lineRule="auto"/>
        <w:jc w:val="center"/>
        <w:rPr>
          <w:rFonts w:ascii="Arial" w:hAnsi="Arial" w:cs="Arial"/>
          <w:sz w:val="24"/>
          <w:szCs w:val="24"/>
          <w:lang w:val="en-US"/>
        </w:rPr>
      </w:pPr>
      <w:r w:rsidRPr="008A16EB">
        <w:rPr>
          <w:rFonts w:ascii="Arial" w:hAnsi="Arial" w:cs="Arial"/>
          <w:sz w:val="24"/>
          <w:szCs w:val="24"/>
          <w:lang w:val="en-US"/>
        </w:rPr>
        <w:t>[</w:t>
      </w:r>
      <w:r w:rsidR="00431B13">
        <w:rPr>
          <w:rFonts w:ascii="Arial" w:hAnsi="Arial" w:cs="Arial"/>
          <w:sz w:val="24"/>
          <w:szCs w:val="24"/>
          <w:lang w:val="en-US"/>
        </w:rPr>
        <w:t>N</w:t>
      </w:r>
      <w:r w:rsidR="00431B13" w:rsidRPr="008A16EB">
        <w:rPr>
          <w:rFonts w:ascii="Arial" w:hAnsi="Arial" w:cs="Arial"/>
          <w:sz w:val="24"/>
          <w:szCs w:val="24"/>
          <w:lang w:val="en-US"/>
        </w:rPr>
        <w:t xml:space="preserve">SI </w:t>
      </w:r>
      <w:r w:rsidRPr="008A16EB">
        <w:rPr>
          <w:rFonts w:ascii="Arial" w:hAnsi="Arial" w:cs="Arial"/>
          <w:sz w:val="24"/>
          <w:szCs w:val="24"/>
          <w:lang w:val="en-US"/>
        </w:rPr>
        <w:t>→ CS</w:t>
      </w:r>
      <w:r w:rsidRPr="008A16EB">
        <w:rPr>
          <w:rFonts w:ascii="Arial" w:hAnsi="Arial" w:cs="Arial"/>
          <w:sz w:val="24"/>
          <w:szCs w:val="24"/>
          <w:vertAlign w:val="superscript"/>
          <w:lang w:val="en-US"/>
        </w:rPr>
        <w:t>+/-</w:t>
      </w:r>
      <w:r w:rsidRPr="008A16EB">
        <w:rPr>
          <w:rFonts w:ascii="Arial" w:hAnsi="Arial" w:cs="Arial"/>
          <w:sz w:val="24"/>
          <w:szCs w:val="24"/>
          <w:lang w:val="en-US"/>
        </w:rPr>
        <w:t xml:space="preserve"> → </w:t>
      </w:r>
      <w:r w:rsidR="00431B13">
        <w:rPr>
          <w:rFonts w:ascii="Arial" w:hAnsi="Arial" w:cs="Arial"/>
          <w:sz w:val="24"/>
          <w:szCs w:val="24"/>
          <w:lang w:val="en-US"/>
        </w:rPr>
        <w:t>N</w:t>
      </w:r>
      <w:r w:rsidR="00431B13" w:rsidRPr="008A16EB">
        <w:rPr>
          <w:rFonts w:ascii="Arial" w:hAnsi="Arial" w:cs="Arial"/>
          <w:sz w:val="24"/>
          <w:szCs w:val="24"/>
          <w:lang w:val="en-US"/>
        </w:rPr>
        <w:t xml:space="preserve">SI </w:t>
      </w:r>
      <w:r w:rsidRPr="008A16EB">
        <w:rPr>
          <w:rFonts w:ascii="Arial" w:hAnsi="Arial" w:cs="Arial"/>
          <w:sz w:val="24"/>
          <w:szCs w:val="24"/>
          <w:lang w:val="en-US"/>
        </w:rPr>
        <w:t>→ CS</w:t>
      </w:r>
      <w:r w:rsidRPr="008A16EB">
        <w:rPr>
          <w:rFonts w:ascii="Arial" w:hAnsi="Arial" w:cs="Arial"/>
          <w:sz w:val="24"/>
          <w:szCs w:val="24"/>
          <w:vertAlign w:val="superscript"/>
          <w:lang w:val="en-US"/>
        </w:rPr>
        <w:t>-/+</w:t>
      </w:r>
      <w:r w:rsidRPr="008A16EB">
        <w:rPr>
          <w:rFonts w:ascii="Arial" w:hAnsi="Arial" w:cs="Arial"/>
          <w:sz w:val="24"/>
          <w:szCs w:val="24"/>
          <w:lang w:val="en-US"/>
        </w:rPr>
        <w:t>] * 4times</w:t>
      </w:r>
    </w:p>
    <w:p w14:paraId="13A70DE7" w14:textId="30A66B4F" w:rsidR="000B6074" w:rsidRPr="000B6074" w:rsidRDefault="00DC531D" w:rsidP="007B6DFF">
      <w:pPr>
        <w:spacing w:line="360" w:lineRule="auto"/>
        <w:ind w:firstLine="708"/>
        <w:jc w:val="both"/>
        <w:rPr>
          <w:rFonts w:ascii="Arial" w:hAnsi="Arial" w:cs="Arial"/>
          <w:sz w:val="24"/>
          <w:szCs w:val="24"/>
          <w:lang w:val="en-US"/>
        </w:rPr>
      </w:pPr>
      <w:r w:rsidRPr="008A16EB">
        <w:rPr>
          <w:rFonts w:ascii="Arial" w:hAnsi="Arial" w:cs="Arial"/>
          <w:sz w:val="24"/>
          <w:szCs w:val="24"/>
          <w:lang w:val="en-US"/>
        </w:rPr>
        <w:lastRenderedPageBreak/>
        <w:t xml:space="preserve">During the Pavlovian training sessions of the PIT protocol, the number of head entries (HE) into the magazine under each stimulus condition was recorded, and a </w:t>
      </w:r>
      <w:r w:rsidRPr="008A16EB">
        <w:rPr>
          <w:rFonts w:ascii="Arial" w:hAnsi="Arial" w:cs="Arial"/>
          <w:bCs/>
          <w:sz w:val="24"/>
          <w:szCs w:val="24"/>
          <w:lang w:val="en-US"/>
        </w:rPr>
        <w:t>CS</w:t>
      </w:r>
      <w:r w:rsidRPr="008A16EB">
        <w:rPr>
          <w:rFonts w:ascii="Arial" w:hAnsi="Arial" w:cs="Arial"/>
          <w:bCs/>
          <w:sz w:val="24"/>
          <w:szCs w:val="24"/>
          <w:vertAlign w:val="superscript"/>
          <w:lang w:val="en-US"/>
        </w:rPr>
        <w:t>+</w:t>
      </w:r>
      <w:r w:rsidR="000B6074">
        <w:rPr>
          <w:rFonts w:ascii="Arial" w:hAnsi="Arial" w:cs="Arial"/>
          <w:bCs/>
          <w:sz w:val="24"/>
          <w:szCs w:val="24"/>
          <w:vertAlign w:val="superscript"/>
          <w:lang w:val="en-US"/>
        </w:rPr>
        <w:t xml:space="preserve"> </w:t>
      </w:r>
      <w:proofErr w:type="gramStart"/>
      <w:r w:rsidRPr="008A16EB">
        <w:rPr>
          <w:rFonts w:ascii="Arial" w:hAnsi="Arial" w:cs="Arial"/>
          <w:bCs/>
          <w:sz w:val="24"/>
          <w:szCs w:val="24"/>
          <w:lang w:val="en-US"/>
        </w:rPr>
        <w:t>HE</w:t>
      </w:r>
      <w:proofErr w:type="gramEnd"/>
      <w:r w:rsidRPr="008A16EB">
        <w:rPr>
          <w:rFonts w:ascii="Arial" w:hAnsi="Arial" w:cs="Arial"/>
          <w:bCs/>
          <w:sz w:val="24"/>
          <w:szCs w:val="24"/>
          <w:lang w:val="en-US"/>
        </w:rPr>
        <w:t xml:space="preserve"> ratio </w:t>
      </w:r>
      <w:r w:rsidRPr="008A16EB">
        <w:rPr>
          <w:rFonts w:ascii="Arial" w:hAnsi="Arial" w:cs="Arial"/>
          <w:sz w:val="24"/>
          <w:szCs w:val="24"/>
          <w:lang w:val="en-US"/>
        </w:rPr>
        <w:t>was calculated as</w:t>
      </w:r>
      <w:r w:rsidR="000B6074">
        <w:rPr>
          <w:rFonts w:ascii="Arial" w:hAnsi="Arial" w:cs="Arial"/>
          <w:bCs/>
          <w:sz w:val="24"/>
          <w:szCs w:val="24"/>
          <w:lang w:val="en-US"/>
        </w:rPr>
        <w:t xml:space="preserve"> </w:t>
      </w:r>
      <w:r w:rsidR="000B6074">
        <w:rPr>
          <w:rFonts w:ascii="Arial" w:hAnsi="Arial" w:cs="Arial"/>
          <w:sz w:val="24"/>
          <w:szCs w:val="24"/>
          <w:lang w:val="en-US"/>
        </w:rPr>
        <w:t>(</w:t>
      </w:r>
      <w:r w:rsidR="000B6074" w:rsidRPr="000B6074">
        <w:rPr>
          <w:rFonts w:ascii="Arial" w:hAnsi="Arial" w:cs="Arial"/>
          <w:sz w:val="24"/>
          <w:szCs w:val="24"/>
          <w:lang w:val="en-US"/>
        </w:rPr>
        <w:t>C</w:t>
      </w:r>
      <w:r w:rsidR="000B6074">
        <w:rPr>
          <w:rFonts w:ascii="Arial" w:hAnsi="Arial" w:cs="Arial"/>
          <w:sz w:val="24"/>
          <w:szCs w:val="24"/>
          <w:lang w:val="en-US"/>
        </w:rPr>
        <w:t>S</w:t>
      </w:r>
      <w:r w:rsidR="000B6074" w:rsidRPr="000B6074">
        <w:rPr>
          <w:rFonts w:ascii="Arial" w:hAnsi="Arial" w:cs="Arial"/>
          <w:sz w:val="24"/>
          <w:szCs w:val="24"/>
          <w:vertAlign w:val="superscript"/>
          <w:lang w:val="en-US"/>
        </w:rPr>
        <w:t>+</w:t>
      </w:r>
      <w:r w:rsidR="000B6074" w:rsidRPr="000B6074">
        <w:rPr>
          <w:rFonts w:ascii="Arial" w:hAnsi="Arial" w:cs="Arial"/>
          <w:sz w:val="24"/>
          <w:szCs w:val="24"/>
          <w:lang w:val="en-US"/>
        </w:rPr>
        <w:t xml:space="preserve"> HEs)</w:t>
      </w:r>
      <w:r w:rsidR="00700357">
        <w:rPr>
          <w:rFonts w:ascii="Arial" w:hAnsi="Arial" w:cs="Arial"/>
          <w:sz w:val="24"/>
          <w:szCs w:val="24"/>
          <w:lang w:val="en-US"/>
        </w:rPr>
        <w:t xml:space="preserve"> </w:t>
      </w:r>
      <w:r w:rsidR="000B6074" w:rsidRPr="000B6074">
        <w:rPr>
          <w:rFonts w:ascii="Arial" w:hAnsi="Arial" w:cs="Arial"/>
          <w:sz w:val="24"/>
          <w:szCs w:val="24"/>
          <w:lang w:val="en-US"/>
        </w:rPr>
        <w:t>/</w:t>
      </w:r>
      <w:r w:rsidR="00700357">
        <w:rPr>
          <w:rFonts w:ascii="Arial" w:hAnsi="Arial" w:cs="Arial"/>
          <w:sz w:val="24"/>
          <w:szCs w:val="24"/>
          <w:lang w:val="en-US"/>
        </w:rPr>
        <w:t xml:space="preserve"> </w:t>
      </w:r>
      <w:r w:rsidR="000B6074" w:rsidRPr="000B6074">
        <w:rPr>
          <w:rFonts w:ascii="Arial" w:hAnsi="Arial" w:cs="Arial"/>
          <w:sz w:val="24"/>
          <w:szCs w:val="24"/>
          <w:lang w:val="en-US"/>
        </w:rPr>
        <w:t>(C</w:t>
      </w:r>
      <w:r w:rsidR="000B6074">
        <w:rPr>
          <w:rFonts w:ascii="Arial" w:hAnsi="Arial" w:cs="Arial"/>
          <w:sz w:val="24"/>
          <w:szCs w:val="24"/>
          <w:lang w:val="en-US"/>
        </w:rPr>
        <w:t>S</w:t>
      </w:r>
      <w:r w:rsidR="000B6074" w:rsidRPr="000B6074">
        <w:rPr>
          <w:rFonts w:ascii="Arial" w:hAnsi="Arial" w:cs="Arial"/>
          <w:sz w:val="24"/>
          <w:szCs w:val="24"/>
          <w:vertAlign w:val="superscript"/>
          <w:lang w:val="en-US"/>
        </w:rPr>
        <w:t>+</w:t>
      </w:r>
      <w:r w:rsidR="000B6074" w:rsidRPr="000B6074">
        <w:rPr>
          <w:rFonts w:ascii="Arial" w:hAnsi="Arial" w:cs="Arial"/>
          <w:sz w:val="24"/>
          <w:szCs w:val="24"/>
          <w:lang w:val="en-US"/>
        </w:rPr>
        <w:t>HEs</w:t>
      </w:r>
      <w:r w:rsidR="000B6074">
        <w:rPr>
          <w:rFonts w:ascii="Arial" w:hAnsi="Arial" w:cs="Arial"/>
          <w:sz w:val="24"/>
          <w:szCs w:val="24"/>
          <w:lang w:val="en-US"/>
        </w:rPr>
        <w:t xml:space="preserve"> </w:t>
      </w:r>
      <w:r w:rsidR="000B6074" w:rsidRPr="000B6074">
        <w:rPr>
          <w:rFonts w:ascii="Arial" w:hAnsi="Arial" w:cs="Arial"/>
          <w:sz w:val="24"/>
          <w:szCs w:val="24"/>
          <w:lang w:val="en-US"/>
        </w:rPr>
        <w:t>+</w:t>
      </w:r>
      <w:r w:rsidR="000B6074">
        <w:rPr>
          <w:rFonts w:ascii="Arial" w:hAnsi="Arial" w:cs="Arial"/>
          <w:sz w:val="24"/>
          <w:szCs w:val="24"/>
          <w:lang w:val="en-US"/>
        </w:rPr>
        <w:t xml:space="preserve"> </w:t>
      </w:r>
      <w:r w:rsidR="000B6074" w:rsidRPr="000B6074">
        <w:rPr>
          <w:rFonts w:ascii="Arial" w:hAnsi="Arial" w:cs="Arial"/>
          <w:sz w:val="24"/>
          <w:szCs w:val="24"/>
          <w:lang w:val="en-US"/>
        </w:rPr>
        <w:t>CS</w:t>
      </w:r>
      <w:r w:rsidR="000B6074" w:rsidRPr="000B6074">
        <w:rPr>
          <w:rFonts w:ascii="Arial" w:hAnsi="Arial" w:cs="Arial"/>
          <w:sz w:val="24"/>
          <w:szCs w:val="24"/>
          <w:vertAlign w:val="superscript"/>
          <w:lang w:val="en-US"/>
        </w:rPr>
        <w:t xml:space="preserve">- </w:t>
      </w:r>
      <w:r w:rsidR="000B6074" w:rsidRPr="000B6074">
        <w:rPr>
          <w:rFonts w:ascii="Arial" w:hAnsi="Arial" w:cs="Arial"/>
          <w:sz w:val="24"/>
          <w:szCs w:val="24"/>
          <w:lang w:val="en-US"/>
        </w:rPr>
        <w:t>HEs)</w:t>
      </w:r>
    </w:p>
    <w:p w14:paraId="2B16AF06" w14:textId="6B97E837" w:rsidR="00676FA1" w:rsidRPr="000B6074" w:rsidRDefault="00DC531D" w:rsidP="007B6DFF">
      <w:pPr>
        <w:spacing w:line="360" w:lineRule="auto"/>
        <w:ind w:firstLine="708"/>
        <w:jc w:val="both"/>
        <w:rPr>
          <w:rFonts w:ascii="Arial" w:hAnsi="Arial" w:cs="Arial"/>
          <w:sz w:val="24"/>
          <w:szCs w:val="24"/>
          <w:lang w:val="en-US"/>
        </w:rPr>
      </w:pPr>
      <w:r w:rsidRPr="008A16EB">
        <w:rPr>
          <w:rFonts w:ascii="Arial" w:hAnsi="Arial" w:cs="Arial"/>
          <w:sz w:val="24"/>
          <w:szCs w:val="24"/>
          <w:lang w:val="en-US"/>
        </w:rPr>
        <w:t>(2) Instrumental training:  1 session under FR1, three sessions under variable-ratio</w:t>
      </w:r>
      <w:r w:rsidR="004E6C71">
        <w:rPr>
          <w:rFonts w:ascii="Arial" w:hAnsi="Arial" w:cs="Arial"/>
          <w:sz w:val="24"/>
          <w:szCs w:val="24"/>
          <w:lang w:val="en-US"/>
        </w:rPr>
        <w:t xml:space="preserve"> -VR- </w:t>
      </w:r>
      <w:r w:rsidRPr="008A16EB">
        <w:rPr>
          <w:rFonts w:ascii="Arial" w:hAnsi="Arial" w:cs="Arial"/>
          <w:sz w:val="24"/>
          <w:szCs w:val="24"/>
          <w:lang w:val="en-US"/>
        </w:rPr>
        <w:t xml:space="preserve">5 and three sessions under VR10. Sessions began with the insertion of the </w:t>
      </w:r>
      <w:r w:rsidRPr="004F5A80">
        <w:rPr>
          <w:rFonts w:ascii="Arial" w:hAnsi="Arial" w:cs="Arial"/>
          <w:iCs/>
          <w:sz w:val="24"/>
          <w:szCs w:val="24"/>
          <w:lang w:val="en-US"/>
        </w:rPr>
        <w:t>active lever</w:t>
      </w:r>
      <w:r w:rsidRPr="008A16EB">
        <w:rPr>
          <w:rFonts w:ascii="Arial" w:hAnsi="Arial" w:cs="Arial"/>
          <w:sz w:val="24"/>
          <w:szCs w:val="24"/>
          <w:lang w:val="en-US"/>
        </w:rPr>
        <w:t xml:space="preserve">, associated with the reinforcer schedule, and </w:t>
      </w:r>
      <w:r w:rsidR="00F93491">
        <w:rPr>
          <w:rFonts w:ascii="Arial" w:hAnsi="Arial" w:cs="Arial"/>
          <w:sz w:val="24"/>
          <w:szCs w:val="24"/>
          <w:lang w:val="en-US"/>
        </w:rPr>
        <w:t xml:space="preserve">the </w:t>
      </w:r>
      <w:r w:rsidRPr="004F5A80">
        <w:rPr>
          <w:rFonts w:ascii="Arial" w:hAnsi="Arial" w:cs="Arial"/>
          <w:iCs/>
          <w:sz w:val="24"/>
          <w:szCs w:val="24"/>
          <w:lang w:val="en-US"/>
        </w:rPr>
        <w:t>inactive lever</w:t>
      </w:r>
      <w:r w:rsidR="00F93491">
        <w:rPr>
          <w:rFonts w:ascii="Arial" w:hAnsi="Arial" w:cs="Arial"/>
          <w:iCs/>
          <w:sz w:val="24"/>
          <w:szCs w:val="24"/>
          <w:lang w:val="en-US"/>
        </w:rPr>
        <w:t>,</w:t>
      </w:r>
      <w:r w:rsidRPr="008A16EB">
        <w:rPr>
          <w:rFonts w:ascii="Arial" w:hAnsi="Arial" w:cs="Arial"/>
          <w:sz w:val="24"/>
          <w:szCs w:val="24"/>
          <w:lang w:val="en-US"/>
        </w:rPr>
        <w:t xml:space="preserve"> </w:t>
      </w:r>
      <w:r w:rsidR="00F93491">
        <w:rPr>
          <w:rFonts w:ascii="Arial" w:hAnsi="Arial" w:cs="Arial"/>
          <w:sz w:val="24"/>
          <w:szCs w:val="24"/>
          <w:lang w:val="en-US"/>
        </w:rPr>
        <w:t>which</w:t>
      </w:r>
      <w:r w:rsidRPr="008A16EB">
        <w:rPr>
          <w:rFonts w:ascii="Arial" w:hAnsi="Arial" w:cs="Arial"/>
          <w:sz w:val="24"/>
          <w:szCs w:val="24"/>
          <w:lang w:val="en-US"/>
        </w:rPr>
        <w:t xml:space="preserve"> had no programmed consequences. All sessions were limited to 30 pellets. During the instrumental training sessions, lever presses performed on the active lever (ALP), active lever presses during time out (TOALP), inactive lever presses (ILP) and HE were recorded. To study the discrimination between the rewarded and the unrewarded lever, an </w:t>
      </w:r>
      <w:r w:rsidR="000B6074" w:rsidRPr="008A16EB">
        <w:rPr>
          <w:rFonts w:ascii="Arial" w:hAnsi="Arial" w:cs="Arial"/>
          <w:bCs/>
          <w:sz w:val="24"/>
          <w:szCs w:val="24"/>
          <w:lang w:val="en-US"/>
        </w:rPr>
        <w:t xml:space="preserve">ALP ratio </w:t>
      </w:r>
      <w:r w:rsidRPr="008A16EB">
        <w:rPr>
          <w:rFonts w:ascii="Arial" w:hAnsi="Arial" w:cs="Arial"/>
          <w:sz w:val="24"/>
          <w:szCs w:val="24"/>
          <w:lang w:val="en-US"/>
        </w:rPr>
        <w:t>was calculated as</w:t>
      </w:r>
      <w:r w:rsidR="000B6074">
        <w:rPr>
          <w:rFonts w:ascii="Arial" w:hAnsi="Arial" w:cs="Arial"/>
          <w:bCs/>
          <w:sz w:val="24"/>
          <w:szCs w:val="24"/>
          <w:lang w:val="en-US"/>
        </w:rPr>
        <w:t xml:space="preserve"> </w:t>
      </w:r>
      <w:r w:rsidR="000B6074" w:rsidRPr="000B6074">
        <w:rPr>
          <w:rFonts w:ascii="Arial" w:hAnsi="Arial" w:cs="Arial"/>
          <w:sz w:val="24"/>
          <w:szCs w:val="24"/>
          <w:lang w:val="en-US"/>
        </w:rPr>
        <w:t>(ALPs)</w:t>
      </w:r>
      <w:r w:rsidR="00700357">
        <w:rPr>
          <w:rFonts w:ascii="Arial" w:hAnsi="Arial" w:cs="Arial"/>
          <w:sz w:val="24"/>
          <w:szCs w:val="24"/>
          <w:lang w:val="en-US"/>
        </w:rPr>
        <w:t xml:space="preserve"> </w:t>
      </w:r>
      <w:r w:rsidR="000B6074" w:rsidRPr="000B6074">
        <w:rPr>
          <w:rFonts w:ascii="Arial" w:hAnsi="Arial" w:cs="Arial"/>
          <w:sz w:val="24"/>
          <w:szCs w:val="24"/>
          <w:lang w:val="en-US"/>
        </w:rPr>
        <w:t>/</w:t>
      </w:r>
      <w:r w:rsidR="00700357">
        <w:rPr>
          <w:rFonts w:ascii="Arial" w:hAnsi="Arial" w:cs="Arial"/>
          <w:sz w:val="24"/>
          <w:szCs w:val="24"/>
          <w:lang w:val="en-US"/>
        </w:rPr>
        <w:t xml:space="preserve"> </w:t>
      </w:r>
      <w:r w:rsidR="000B6074" w:rsidRPr="000B6074">
        <w:rPr>
          <w:rFonts w:ascii="Arial" w:hAnsi="Arial" w:cs="Arial"/>
          <w:sz w:val="24"/>
          <w:szCs w:val="24"/>
          <w:lang w:val="en-US"/>
        </w:rPr>
        <w:t>(ALPs + ILPs)</w:t>
      </w:r>
    </w:p>
    <w:p w14:paraId="18AA4791" w14:textId="2C4957CD" w:rsidR="00676FA1" w:rsidRPr="008A16EB" w:rsidRDefault="00DC531D" w:rsidP="000B6074">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(3) Extinction: Two daily sessions of 20 minutes with levers protracted but no programmed consequences. On extinction sessions, HE and lever presses performed on the former active or inactive levers were recorded. The total LP (ALP+ILP) was calculated. </w:t>
      </w:r>
    </w:p>
    <w:p w14:paraId="4B3D5C50" w14:textId="04CEC1CE" w:rsidR="00DC531D" w:rsidRPr="008A16EB" w:rsidRDefault="00DC531D" w:rsidP="000B6074">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(4) PIT test: One single session that began with a third extinction period of 20 minutes then 4 cycles composed CS or </w:t>
      </w:r>
      <w:r w:rsidR="00431B13">
        <w:rPr>
          <w:rFonts w:ascii="Arial" w:hAnsi="Arial" w:cs="Arial"/>
          <w:sz w:val="24"/>
          <w:szCs w:val="24"/>
          <w:lang w:val="en-US"/>
        </w:rPr>
        <w:t>N</w:t>
      </w:r>
      <w:r w:rsidR="00431B13" w:rsidRPr="008A16EB">
        <w:rPr>
          <w:rFonts w:ascii="Arial" w:hAnsi="Arial" w:cs="Arial"/>
          <w:sz w:val="24"/>
          <w:szCs w:val="24"/>
          <w:lang w:val="en-US"/>
        </w:rPr>
        <w:t xml:space="preserve">SI </w:t>
      </w:r>
      <w:r w:rsidRPr="008A16EB">
        <w:rPr>
          <w:rFonts w:ascii="Arial" w:hAnsi="Arial" w:cs="Arial"/>
          <w:sz w:val="24"/>
          <w:szCs w:val="24"/>
          <w:lang w:val="en-US"/>
        </w:rPr>
        <w:t xml:space="preserve">presentations (counterbalanced) lasting two minutes, as indicated below: </w:t>
      </w:r>
      <w:bookmarkStart w:id="7" w:name="_Hlk8917128"/>
    </w:p>
    <w:bookmarkEnd w:id="7"/>
    <w:p w14:paraId="273AA7C8" w14:textId="7F9DC18A" w:rsidR="00DC531D" w:rsidRPr="008A16EB" w:rsidRDefault="00DC531D" w:rsidP="00431B13">
      <w:pPr>
        <w:spacing w:line="360" w:lineRule="auto"/>
        <w:jc w:val="center"/>
        <w:rPr>
          <w:rFonts w:ascii="Arial" w:hAnsi="Arial" w:cs="Arial"/>
          <w:sz w:val="24"/>
          <w:szCs w:val="24"/>
          <w:lang w:val="en-US"/>
        </w:rPr>
      </w:pPr>
      <w:r w:rsidRPr="008A16EB">
        <w:rPr>
          <w:rFonts w:ascii="Arial" w:hAnsi="Arial" w:cs="Arial"/>
          <w:sz w:val="24"/>
          <w:szCs w:val="24"/>
          <w:lang w:val="en-US"/>
        </w:rPr>
        <w:t>[</w:t>
      </w:r>
      <w:r w:rsidR="00431B13">
        <w:rPr>
          <w:rFonts w:ascii="Arial" w:hAnsi="Arial" w:cs="Arial"/>
          <w:sz w:val="24"/>
          <w:szCs w:val="24"/>
          <w:lang w:val="en-US"/>
        </w:rPr>
        <w:t>N</w:t>
      </w:r>
      <w:r w:rsidR="00431B13" w:rsidRPr="008A16EB">
        <w:rPr>
          <w:rFonts w:ascii="Arial" w:hAnsi="Arial" w:cs="Arial"/>
          <w:sz w:val="24"/>
          <w:szCs w:val="24"/>
          <w:lang w:val="en-US"/>
        </w:rPr>
        <w:t xml:space="preserve">SI </w:t>
      </w:r>
      <w:r w:rsidRPr="008A16EB">
        <w:rPr>
          <w:rFonts w:ascii="Arial" w:hAnsi="Arial" w:cs="Arial"/>
          <w:sz w:val="24"/>
          <w:szCs w:val="24"/>
          <w:lang w:val="en-US"/>
        </w:rPr>
        <w:t>→ CS</w:t>
      </w:r>
      <w:r w:rsidRPr="008A16EB">
        <w:rPr>
          <w:rFonts w:ascii="Arial" w:hAnsi="Arial" w:cs="Arial"/>
          <w:sz w:val="24"/>
          <w:szCs w:val="24"/>
          <w:vertAlign w:val="superscript"/>
          <w:lang w:val="en-US"/>
        </w:rPr>
        <w:t>+/-</w:t>
      </w:r>
      <w:r w:rsidRPr="008A16EB">
        <w:rPr>
          <w:rFonts w:ascii="Arial" w:hAnsi="Arial" w:cs="Arial"/>
          <w:sz w:val="24"/>
          <w:szCs w:val="24"/>
          <w:lang w:val="en-US"/>
        </w:rPr>
        <w:t xml:space="preserve"> → </w:t>
      </w:r>
      <w:r w:rsidR="00431B13">
        <w:rPr>
          <w:rFonts w:ascii="Arial" w:hAnsi="Arial" w:cs="Arial"/>
          <w:sz w:val="24"/>
          <w:szCs w:val="24"/>
          <w:lang w:val="en-US"/>
        </w:rPr>
        <w:t>N</w:t>
      </w:r>
      <w:r w:rsidR="00431B13" w:rsidRPr="008A16EB">
        <w:rPr>
          <w:rFonts w:ascii="Arial" w:hAnsi="Arial" w:cs="Arial"/>
          <w:sz w:val="24"/>
          <w:szCs w:val="24"/>
          <w:lang w:val="en-US"/>
        </w:rPr>
        <w:t xml:space="preserve">SI </w:t>
      </w:r>
      <w:r w:rsidRPr="008A16EB">
        <w:rPr>
          <w:rFonts w:ascii="Arial" w:hAnsi="Arial" w:cs="Arial"/>
          <w:sz w:val="24"/>
          <w:szCs w:val="24"/>
          <w:lang w:val="en-US"/>
        </w:rPr>
        <w:t>→ CS</w:t>
      </w:r>
      <w:r w:rsidRPr="008A16EB">
        <w:rPr>
          <w:rFonts w:ascii="Arial" w:hAnsi="Arial" w:cs="Arial"/>
          <w:sz w:val="24"/>
          <w:szCs w:val="24"/>
          <w:vertAlign w:val="superscript"/>
          <w:lang w:val="en-US"/>
        </w:rPr>
        <w:t>-/+</w:t>
      </w:r>
      <w:r w:rsidRPr="008A16EB">
        <w:rPr>
          <w:rFonts w:ascii="Arial" w:hAnsi="Arial" w:cs="Arial"/>
          <w:sz w:val="24"/>
          <w:szCs w:val="24"/>
          <w:lang w:val="en-US"/>
        </w:rPr>
        <w:t>] * 4times</w:t>
      </w:r>
    </w:p>
    <w:p w14:paraId="7FEFA8E4" w14:textId="1AA86484" w:rsidR="00D837A1" w:rsidRPr="007B6DFF" w:rsidRDefault="00DC531D" w:rsidP="007B6DFF">
      <w:pPr>
        <w:spacing w:line="360" w:lineRule="auto"/>
        <w:ind w:firstLine="708"/>
        <w:jc w:val="both"/>
        <w:rPr>
          <w:rFonts w:ascii="Arial" w:hAnsi="Arial" w:cs="Arial"/>
          <w:b/>
          <w:sz w:val="24"/>
          <w:szCs w:val="24"/>
          <w:u w:val="single"/>
          <w:lang w:val="en-US"/>
        </w:rPr>
      </w:pPr>
      <w:r w:rsidRPr="008A16EB">
        <w:rPr>
          <w:rFonts w:ascii="Arial" w:hAnsi="Arial" w:cs="Arial"/>
          <w:sz w:val="24"/>
          <w:szCs w:val="24"/>
          <w:lang w:val="en-US"/>
        </w:rPr>
        <w:t xml:space="preserve">In the PIT test, </w:t>
      </w:r>
      <w:proofErr w:type="gramStart"/>
      <w:r w:rsidRPr="008A16EB">
        <w:rPr>
          <w:rFonts w:ascii="Arial" w:hAnsi="Arial" w:cs="Arial"/>
          <w:sz w:val="24"/>
          <w:szCs w:val="24"/>
          <w:lang w:val="en-US"/>
        </w:rPr>
        <w:t>HE</w:t>
      </w:r>
      <w:proofErr w:type="gramEnd"/>
      <w:r w:rsidRPr="008A16EB">
        <w:rPr>
          <w:rFonts w:ascii="Arial" w:hAnsi="Arial" w:cs="Arial"/>
          <w:sz w:val="24"/>
          <w:szCs w:val="24"/>
          <w:lang w:val="en-US"/>
        </w:rPr>
        <w:t xml:space="preserve"> and lever presses on former active or inactive levers under the different stimulus conditions were registered.</w:t>
      </w:r>
      <w:r w:rsidRPr="008A16EB">
        <w:rPr>
          <w:rFonts w:ascii="Arial" w:hAnsi="Arial" w:cs="Arial"/>
          <w:b/>
          <w:sz w:val="24"/>
          <w:szCs w:val="24"/>
          <w:lang w:val="en-US"/>
        </w:rPr>
        <w:t xml:space="preserve"> </w:t>
      </w:r>
      <w:r w:rsidRPr="008A16EB">
        <w:rPr>
          <w:rFonts w:ascii="Arial" w:hAnsi="Arial" w:cs="Arial"/>
          <w:bCs/>
          <w:sz w:val="24"/>
          <w:szCs w:val="24"/>
          <w:lang w:val="en-US"/>
        </w:rPr>
        <w:t>T</w:t>
      </w:r>
      <w:r w:rsidRPr="008A16EB">
        <w:rPr>
          <w:rFonts w:ascii="Arial" w:hAnsi="Arial" w:cs="Arial"/>
          <w:sz w:val="24"/>
          <w:szCs w:val="24"/>
          <w:lang w:val="en-US"/>
        </w:rPr>
        <w:t>he Pavlovian to instrumental transfer phenomenon was calculated using the percentage of ALP on CS+:</w:t>
      </w:r>
      <w:r w:rsidR="00D837A1" w:rsidRPr="008A16EB">
        <w:rPr>
          <w:rFonts w:ascii="Arial" w:hAnsi="Arial" w:cs="Arial"/>
          <w:sz w:val="24"/>
          <w:szCs w:val="24"/>
          <w:lang w:val="en-US"/>
        </w:rPr>
        <w:t xml:space="preserve"> </w:t>
      </w:r>
      <w:r w:rsidR="000B6074">
        <w:rPr>
          <w:rFonts w:ascii="Arial" w:hAnsi="Arial" w:cs="Arial"/>
          <w:sz w:val="24"/>
          <w:szCs w:val="24"/>
          <w:lang w:val="en-US"/>
        </w:rPr>
        <w:t>[(</w:t>
      </w:r>
      <w:r w:rsidR="00D837A1" w:rsidRPr="008A16EB">
        <w:rPr>
          <w:rFonts w:ascii="Arial" w:hAnsi="Arial" w:cs="Arial"/>
          <w:sz w:val="24"/>
          <w:szCs w:val="24"/>
          <w:lang w:val="en-US"/>
        </w:rPr>
        <w:t>CS</w:t>
      </w:r>
      <w:r w:rsidR="00D837A1" w:rsidRPr="008A16EB">
        <w:rPr>
          <w:rFonts w:ascii="Arial" w:hAnsi="Arial" w:cs="Arial"/>
          <w:sz w:val="24"/>
          <w:szCs w:val="24"/>
          <w:vertAlign w:val="superscript"/>
          <w:lang w:val="en-US"/>
        </w:rPr>
        <w:t>+</w:t>
      </w:r>
      <w:r w:rsidR="00D837A1" w:rsidRPr="008A16EB">
        <w:rPr>
          <w:rFonts w:ascii="Arial" w:hAnsi="Arial" w:cs="Arial"/>
          <w:sz w:val="24"/>
          <w:szCs w:val="24"/>
          <w:lang w:val="en-US"/>
        </w:rPr>
        <w:t>ALPs</w:t>
      </w:r>
      <w:r w:rsidR="000B6074">
        <w:rPr>
          <w:rFonts w:ascii="Arial" w:hAnsi="Arial" w:cs="Arial"/>
          <w:sz w:val="24"/>
          <w:szCs w:val="24"/>
          <w:lang w:val="en-US"/>
        </w:rPr>
        <w:t>)</w:t>
      </w:r>
      <w:r w:rsidR="00431B13">
        <w:rPr>
          <w:rFonts w:ascii="Arial" w:hAnsi="Arial" w:cs="Arial"/>
          <w:sz w:val="24"/>
          <w:szCs w:val="24"/>
          <w:lang w:val="en-US"/>
        </w:rPr>
        <w:t xml:space="preserve"> </w:t>
      </w:r>
      <w:r w:rsidR="00D837A1" w:rsidRPr="008A16EB">
        <w:rPr>
          <w:rFonts w:ascii="Arial" w:hAnsi="Arial" w:cs="Arial"/>
          <w:sz w:val="24"/>
          <w:szCs w:val="24"/>
          <w:lang w:val="en-US"/>
        </w:rPr>
        <w:t>/</w:t>
      </w:r>
      <w:r w:rsidR="00431B13">
        <w:rPr>
          <w:rFonts w:ascii="Arial" w:hAnsi="Arial" w:cs="Arial"/>
          <w:sz w:val="24"/>
          <w:szCs w:val="24"/>
          <w:lang w:val="en-US"/>
        </w:rPr>
        <w:t xml:space="preserve"> </w:t>
      </w:r>
      <w:r w:rsidR="00D837A1" w:rsidRPr="008A16EB">
        <w:rPr>
          <w:rFonts w:ascii="Arial" w:hAnsi="Arial" w:cs="Arial"/>
          <w:sz w:val="24"/>
          <w:szCs w:val="24"/>
          <w:lang w:val="en-US"/>
        </w:rPr>
        <w:t>(CS</w:t>
      </w:r>
      <w:r w:rsidR="00D837A1" w:rsidRPr="008A16EB">
        <w:rPr>
          <w:rFonts w:ascii="Arial" w:hAnsi="Arial" w:cs="Arial"/>
          <w:sz w:val="24"/>
          <w:szCs w:val="24"/>
          <w:vertAlign w:val="superscript"/>
          <w:lang w:val="en-US"/>
        </w:rPr>
        <w:t>+</w:t>
      </w:r>
      <w:r w:rsidR="00D837A1" w:rsidRPr="008A16EB">
        <w:rPr>
          <w:rFonts w:ascii="Arial" w:hAnsi="Arial" w:cs="Arial"/>
          <w:sz w:val="24"/>
          <w:szCs w:val="24"/>
          <w:lang w:val="en-US"/>
        </w:rPr>
        <w:t>ALPs+ CS</w:t>
      </w:r>
      <w:r w:rsidR="00D837A1" w:rsidRPr="008A16EB">
        <w:rPr>
          <w:rFonts w:ascii="Arial" w:hAnsi="Arial" w:cs="Arial"/>
          <w:sz w:val="24"/>
          <w:szCs w:val="24"/>
          <w:vertAlign w:val="superscript"/>
          <w:lang w:val="en-US"/>
        </w:rPr>
        <w:t>─</w:t>
      </w:r>
      <w:r w:rsidR="00D837A1" w:rsidRPr="008A16EB">
        <w:rPr>
          <w:rFonts w:ascii="Arial" w:hAnsi="Arial" w:cs="Arial"/>
          <w:sz w:val="24"/>
          <w:szCs w:val="24"/>
          <w:lang w:val="en-US"/>
        </w:rPr>
        <w:t>ALPs</w:t>
      </w:r>
      <w:r w:rsidR="00431B13" w:rsidRPr="008A16EB">
        <w:rPr>
          <w:rFonts w:ascii="Arial" w:hAnsi="Arial" w:cs="Arial"/>
          <w:sz w:val="24"/>
          <w:szCs w:val="24"/>
          <w:lang w:val="en-US"/>
        </w:rPr>
        <w:t>)</w:t>
      </w:r>
      <w:r w:rsidR="00431B13">
        <w:rPr>
          <w:rFonts w:ascii="Arial" w:hAnsi="Arial" w:cs="Arial"/>
          <w:sz w:val="24"/>
          <w:szCs w:val="24"/>
          <w:lang w:val="en-US"/>
        </w:rPr>
        <w:t>]</w:t>
      </w:r>
      <w:r w:rsidR="004D15F6">
        <w:rPr>
          <w:rFonts w:ascii="Arial" w:hAnsi="Arial" w:cs="Arial"/>
          <w:sz w:val="24"/>
          <w:szCs w:val="24"/>
          <w:lang w:val="en-US"/>
        </w:rPr>
        <w:t xml:space="preserve"> </w:t>
      </w:r>
      <w:r w:rsidR="00D837A1" w:rsidRPr="008A16EB">
        <w:rPr>
          <w:rFonts w:ascii="Arial" w:hAnsi="Arial" w:cs="Arial"/>
          <w:sz w:val="24"/>
          <w:szCs w:val="24"/>
          <w:lang w:val="en-US"/>
        </w:rPr>
        <w:t>*100</w:t>
      </w:r>
    </w:p>
    <w:p w14:paraId="7028816A" w14:textId="2A08BB88" w:rsidR="004D15F6" w:rsidRDefault="00DC531D" w:rsidP="007B6DFF">
      <w:pPr>
        <w:spacing w:line="360" w:lineRule="auto"/>
        <w:ind w:firstLine="708"/>
        <w:jc w:val="both"/>
        <w:rPr>
          <w:rFonts w:ascii="Arial" w:hAnsi="Arial" w:cs="Arial"/>
          <w:bCs/>
          <w:sz w:val="24"/>
          <w:szCs w:val="24"/>
          <w:lang w:val="en-US"/>
        </w:rPr>
      </w:pPr>
      <w:r w:rsidRPr="008A16EB">
        <w:rPr>
          <w:rFonts w:ascii="Arial" w:hAnsi="Arial" w:cs="Arial"/>
          <w:sz w:val="24"/>
          <w:szCs w:val="24"/>
          <w:lang w:val="en-US"/>
        </w:rPr>
        <w:t xml:space="preserve">We also studied the simple Pavlovian approach in contrast to the instrumental transfer, for this purpose, we calculated the </w:t>
      </w:r>
      <w:r w:rsidRPr="008A16EB">
        <w:rPr>
          <w:rFonts w:ascii="Arial" w:hAnsi="Arial" w:cs="Arial"/>
          <w:bCs/>
          <w:sz w:val="24"/>
          <w:szCs w:val="24"/>
          <w:lang w:val="en-US"/>
        </w:rPr>
        <w:t>percentage of HEs on CS+:</w:t>
      </w:r>
      <w:r w:rsidR="004D15F6">
        <w:rPr>
          <w:rFonts w:ascii="Arial" w:hAnsi="Arial" w:cs="Arial"/>
          <w:bCs/>
          <w:sz w:val="24"/>
          <w:szCs w:val="24"/>
          <w:lang w:val="en-US"/>
        </w:rPr>
        <w:t xml:space="preserve"> [</w:t>
      </w:r>
      <w:r w:rsidR="004D15F6" w:rsidRPr="004D15F6">
        <w:rPr>
          <w:rFonts w:ascii="Arial" w:hAnsi="Arial" w:cs="Arial"/>
          <w:bCs/>
          <w:sz w:val="24"/>
          <w:szCs w:val="24"/>
          <w:lang w:val="en-US"/>
        </w:rPr>
        <w:t>(CS</w:t>
      </w:r>
      <w:r w:rsidR="004D15F6" w:rsidRPr="004D15F6">
        <w:rPr>
          <w:rFonts w:ascii="Arial" w:hAnsi="Arial" w:cs="Arial"/>
          <w:bCs/>
          <w:sz w:val="24"/>
          <w:szCs w:val="24"/>
          <w:vertAlign w:val="superscript"/>
          <w:lang w:val="en-US"/>
        </w:rPr>
        <w:t>+</w:t>
      </w:r>
      <w:r w:rsidR="004D15F6" w:rsidRPr="004D15F6">
        <w:rPr>
          <w:rFonts w:ascii="Arial" w:hAnsi="Arial" w:cs="Arial"/>
          <w:bCs/>
          <w:sz w:val="24"/>
          <w:szCs w:val="24"/>
          <w:lang w:val="en-US"/>
        </w:rPr>
        <w:t>HE)</w:t>
      </w:r>
      <w:r w:rsidR="004D15F6">
        <w:rPr>
          <w:rFonts w:ascii="Arial" w:hAnsi="Arial" w:cs="Arial"/>
          <w:bCs/>
          <w:sz w:val="24"/>
          <w:szCs w:val="24"/>
          <w:lang w:val="en-US"/>
        </w:rPr>
        <w:t xml:space="preserve"> </w:t>
      </w:r>
      <w:r w:rsidR="004D15F6" w:rsidRPr="004D15F6">
        <w:rPr>
          <w:rFonts w:ascii="Arial" w:hAnsi="Arial" w:cs="Arial"/>
          <w:bCs/>
          <w:sz w:val="24"/>
          <w:szCs w:val="24"/>
          <w:lang w:val="en-US"/>
        </w:rPr>
        <w:t>/</w:t>
      </w:r>
      <w:r w:rsidR="004D15F6">
        <w:rPr>
          <w:rFonts w:ascii="Arial" w:hAnsi="Arial" w:cs="Arial"/>
          <w:bCs/>
          <w:sz w:val="24"/>
          <w:szCs w:val="24"/>
          <w:lang w:val="en-US"/>
        </w:rPr>
        <w:t xml:space="preserve"> </w:t>
      </w:r>
      <w:r w:rsidR="004D15F6" w:rsidRPr="004D15F6">
        <w:rPr>
          <w:rFonts w:ascii="Arial" w:hAnsi="Arial" w:cs="Arial"/>
          <w:bCs/>
          <w:sz w:val="24"/>
          <w:szCs w:val="24"/>
          <w:lang w:val="en-US"/>
        </w:rPr>
        <w:t>(CS</w:t>
      </w:r>
      <w:r w:rsidR="004D15F6" w:rsidRPr="004D15F6">
        <w:rPr>
          <w:rFonts w:ascii="Arial" w:hAnsi="Arial" w:cs="Arial"/>
          <w:bCs/>
          <w:sz w:val="24"/>
          <w:szCs w:val="24"/>
          <w:vertAlign w:val="superscript"/>
          <w:lang w:val="en-US"/>
        </w:rPr>
        <w:t>+</w:t>
      </w:r>
      <w:r w:rsidR="004D15F6" w:rsidRPr="004D15F6">
        <w:rPr>
          <w:rFonts w:ascii="Arial" w:hAnsi="Arial" w:cs="Arial"/>
          <w:bCs/>
          <w:sz w:val="24"/>
          <w:szCs w:val="24"/>
          <w:lang w:val="en-US"/>
        </w:rPr>
        <w:t>+ CS</w:t>
      </w:r>
      <w:r w:rsidR="004D15F6" w:rsidRPr="004D15F6">
        <w:rPr>
          <w:rFonts w:ascii="Arial" w:hAnsi="Arial" w:cs="Arial"/>
          <w:bCs/>
          <w:sz w:val="24"/>
          <w:szCs w:val="24"/>
          <w:vertAlign w:val="superscript"/>
          <w:lang w:val="en-US"/>
        </w:rPr>
        <w:t>─</w:t>
      </w:r>
      <w:r w:rsidR="004D15F6" w:rsidRPr="004D15F6">
        <w:rPr>
          <w:rFonts w:ascii="Arial" w:hAnsi="Arial" w:cs="Arial"/>
          <w:bCs/>
          <w:sz w:val="24"/>
          <w:szCs w:val="24"/>
          <w:lang w:val="en-US"/>
        </w:rPr>
        <w:t>HE)</w:t>
      </w:r>
      <w:r w:rsidR="004D15F6">
        <w:rPr>
          <w:rFonts w:ascii="Arial" w:hAnsi="Arial" w:cs="Arial"/>
          <w:bCs/>
          <w:sz w:val="24"/>
          <w:szCs w:val="24"/>
          <w:lang w:val="en-US"/>
        </w:rPr>
        <w:t>]</w:t>
      </w:r>
      <w:r w:rsidR="00431B13">
        <w:rPr>
          <w:rFonts w:ascii="Arial" w:hAnsi="Arial" w:cs="Arial"/>
          <w:bCs/>
          <w:sz w:val="24"/>
          <w:szCs w:val="24"/>
          <w:lang w:val="en-US"/>
        </w:rPr>
        <w:t xml:space="preserve"> </w:t>
      </w:r>
      <w:r w:rsidR="004D15F6" w:rsidRPr="004D15F6">
        <w:rPr>
          <w:rFonts w:ascii="Arial" w:hAnsi="Arial" w:cs="Arial"/>
          <w:bCs/>
          <w:sz w:val="24"/>
          <w:szCs w:val="24"/>
          <w:lang w:val="en-US"/>
        </w:rPr>
        <w:t>*100</w:t>
      </w:r>
      <w:r w:rsidR="00FD35E7">
        <w:rPr>
          <w:rFonts w:ascii="Arial" w:hAnsi="Arial" w:cs="Arial"/>
          <w:bCs/>
          <w:sz w:val="24"/>
          <w:szCs w:val="24"/>
          <w:lang w:val="en-US"/>
        </w:rPr>
        <w:t>.</w:t>
      </w:r>
    </w:p>
    <w:p w14:paraId="2C0F1A36" w14:textId="627B452E" w:rsidR="00FD35E7" w:rsidRPr="00FD35E7" w:rsidRDefault="00FD35E7" w:rsidP="007B6DFF">
      <w:pPr>
        <w:spacing w:line="360" w:lineRule="auto"/>
        <w:ind w:firstLine="708"/>
        <w:jc w:val="both"/>
        <w:rPr>
          <w:rFonts w:ascii="Arial" w:hAnsi="Arial" w:cs="Arial"/>
          <w:bCs/>
          <w:sz w:val="28"/>
          <w:szCs w:val="28"/>
          <w:lang w:val="en-US"/>
        </w:rPr>
      </w:pPr>
      <w:r w:rsidRPr="00FD35E7">
        <w:rPr>
          <w:rFonts w:ascii="Arial" w:hAnsi="Arial" w:cs="Arial"/>
          <w:sz w:val="24"/>
          <w:szCs w:val="24"/>
          <w:lang w:val="en-US"/>
        </w:rPr>
        <w:t>The main PIT index considered was the percentage of ALP in CS</w:t>
      </w:r>
      <w:r w:rsidRPr="00FD35E7">
        <w:rPr>
          <w:rFonts w:ascii="Arial" w:hAnsi="Arial" w:cs="Arial"/>
          <w:sz w:val="24"/>
          <w:szCs w:val="24"/>
          <w:vertAlign w:val="superscript"/>
          <w:lang w:val="en-US"/>
        </w:rPr>
        <w:t xml:space="preserve">+ </w:t>
      </w:r>
      <w:r w:rsidRPr="00FD35E7">
        <w:rPr>
          <w:rFonts w:ascii="Arial" w:hAnsi="Arial" w:cs="Arial"/>
          <w:sz w:val="24"/>
          <w:szCs w:val="24"/>
          <w:lang w:val="en-US"/>
        </w:rPr>
        <w:t>time (%CS</w:t>
      </w:r>
      <w:r w:rsidRPr="00FD35E7">
        <w:rPr>
          <w:rFonts w:ascii="Arial" w:hAnsi="Arial" w:cs="Arial"/>
          <w:sz w:val="24"/>
          <w:szCs w:val="24"/>
          <w:vertAlign w:val="superscript"/>
          <w:lang w:val="en-US"/>
        </w:rPr>
        <w:t>+</w:t>
      </w:r>
      <w:r w:rsidRPr="00FD35E7">
        <w:rPr>
          <w:rFonts w:ascii="Arial" w:hAnsi="Arial" w:cs="Arial"/>
          <w:sz w:val="24"/>
          <w:szCs w:val="24"/>
          <w:lang w:val="en-US"/>
        </w:rPr>
        <w:t>ALPs). A %CS</w:t>
      </w:r>
      <w:r w:rsidRPr="00FD35E7">
        <w:rPr>
          <w:rFonts w:ascii="Arial" w:hAnsi="Arial" w:cs="Arial"/>
          <w:sz w:val="24"/>
          <w:szCs w:val="24"/>
          <w:vertAlign w:val="superscript"/>
          <w:lang w:val="en-US"/>
        </w:rPr>
        <w:t>+</w:t>
      </w:r>
      <w:r w:rsidRPr="00FD35E7">
        <w:rPr>
          <w:rFonts w:ascii="Arial" w:hAnsi="Arial" w:cs="Arial"/>
          <w:sz w:val="24"/>
          <w:szCs w:val="24"/>
          <w:lang w:val="en-US"/>
        </w:rPr>
        <w:t>ALPs between 50 and 75% was considered intermediate PIT, over 75% high PIT. Subjects were not considered to express PIT when the %CS</w:t>
      </w:r>
      <w:r w:rsidRPr="00FD35E7">
        <w:rPr>
          <w:rFonts w:ascii="Arial" w:hAnsi="Arial" w:cs="Arial"/>
          <w:sz w:val="24"/>
          <w:szCs w:val="24"/>
          <w:vertAlign w:val="superscript"/>
          <w:lang w:val="en-US"/>
        </w:rPr>
        <w:t>+</w:t>
      </w:r>
      <w:r w:rsidRPr="00FD35E7">
        <w:rPr>
          <w:rFonts w:ascii="Arial" w:hAnsi="Arial" w:cs="Arial"/>
          <w:sz w:val="24"/>
          <w:szCs w:val="24"/>
          <w:lang w:val="en-US"/>
        </w:rPr>
        <w:t>ALPs was less than 50%.</w:t>
      </w:r>
    </w:p>
    <w:p w14:paraId="55940D2B" w14:textId="43E7AF52" w:rsidR="00DE72FA" w:rsidRPr="004D15F6" w:rsidRDefault="00DE72FA" w:rsidP="004D15F6">
      <w:pPr>
        <w:pStyle w:val="Prrafodelista"/>
        <w:numPr>
          <w:ilvl w:val="2"/>
          <w:numId w:val="9"/>
        </w:numPr>
        <w:spacing w:line="360" w:lineRule="auto"/>
        <w:ind w:left="720" w:hanging="720"/>
        <w:jc w:val="both"/>
        <w:rPr>
          <w:rFonts w:ascii="Arial" w:hAnsi="Arial" w:cs="Arial"/>
          <w:b/>
          <w:sz w:val="24"/>
          <w:szCs w:val="24"/>
          <w:lang w:val="en-US"/>
        </w:rPr>
      </w:pPr>
      <w:r w:rsidRPr="004D15F6">
        <w:rPr>
          <w:rFonts w:ascii="Arial" w:hAnsi="Arial" w:cs="Arial"/>
          <w:b/>
          <w:sz w:val="24"/>
          <w:szCs w:val="24"/>
          <w:lang w:val="en-US"/>
        </w:rPr>
        <w:lastRenderedPageBreak/>
        <w:t>Two-choice serial reaction time task (2-CSRTT)</w:t>
      </w:r>
      <w:r w:rsidR="00700357">
        <w:rPr>
          <w:rFonts w:ascii="Arial" w:hAnsi="Arial" w:cs="Arial"/>
          <w:b/>
          <w:sz w:val="24"/>
          <w:szCs w:val="24"/>
          <w:lang w:val="en-US"/>
        </w:rPr>
        <w:t>:</w:t>
      </w:r>
    </w:p>
    <w:p w14:paraId="4552EB8E" w14:textId="62B7A196" w:rsidR="00DC531D" w:rsidRPr="008A16EB" w:rsidRDefault="00DC531D" w:rsidP="004D15F6">
      <w:pPr>
        <w:spacing w:line="360" w:lineRule="auto"/>
        <w:ind w:firstLine="708"/>
        <w:jc w:val="both"/>
        <w:rPr>
          <w:rFonts w:ascii="Arial" w:hAnsi="Arial" w:cs="Arial"/>
          <w:sz w:val="24"/>
          <w:szCs w:val="24"/>
          <w:lang w:val="en-US"/>
        </w:rPr>
      </w:pPr>
      <w:r w:rsidRPr="008A16EB">
        <w:rPr>
          <w:rFonts w:ascii="Arial" w:hAnsi="Arial" w:cs="Arial"/>
          <w:sz w:val="24"/>
          <w:szCs w:val="24"/>
          <w:lang w:val="en-US"/>
        </w:rPr>
        <w:t>Ten days after the end of the PIT</w:t>
      </w:r>
      <w:r w:rsidRPr="008A16EB">
        <w:rPr>
          <w:rFonts w:ascii="Arial" w:hAnsi="Arial" w:cs="Arial"/>
          <w:b/>
          <w:sz w:val="24"/>
          <w:szCs w:val="24"/>
          <w:lang w:val="en-US"/>
        </w:rPr>
        <w:t xml:space="preserve"> </w:t>
      </w:r>
      <w:r w:rsidRPr="008A16EB">
        <w:rPr>
          <w:rFonts w:ascii="Arial" w:hAnsi="Arial" w:cs="Arial"/>
          <w:sz w:val="24"/>
          <w:szCs w:val="24"/>
          <w:lang w:val="en-US"/>
        </w:rPr>
        <w:t>animals were again food-restricted and</w:t>
      </w:r>
      <w:r w:rsidRPr="008A16EB">
        <w:rPr>
          <w:rFonts w:ascii="Arial" w:hAnsi="Arial" w:cs="Arial"/>
          <w:b/>
          <w:sz w:val="24"/>
          <w:szCs w:val="24"/>
          <w:lang w:val="en-US"/>
        </w:rPr>
        <w:t xml:space="preserve"> </w:t>
      </w:r>
      <w:r w:rsidRPr="009213D9">
        <w:rPr>
          <w:rFonts w:ascii="Arial" w:hAnsi="Arial" w:cs="Arial"/>
          <w:bCs/>
          <w:sz w:val="24"/>
          <w:szCs w:val="24"/>
          <w:lang w:val="en-US"/>
        </w:rPr>
        <w:t xml:space="preserve">the two-choice serial reaction time task (2-CSRTT) protocol (modified from </w:t>
      </w:r>
      <w:r w:rsidRPr="008A16EB">
        <w:rPr>
          <w:rFonts w:ascii="Arial" w:hAnsi="Arial" w:cs="Arial"/>
          <w:sz w:val="24"/>
          <w:szCs w:val="24"/>
          <w:lang w:val="en-US"/>
        </w:rPr>
        <w:t>the one published by Bari and Robins</w:t>
      </w:r>
      <w:r w:rsidR="00ED306D">
        <w:rPr>
          <w:rFonts w:ascii="Arial" w:hAnsi="Arial" w:cs="Arial"/>
          <w:sz w:val="24"/>
          <w:szCs w:val="24"/>
          <w:lang w:val="en-US"/>
        </w:rPr>
        <w:t xml:space="preserve"> </w:t>
      </w:r>
      <w:r w:rsidRPr="008A16EB">
        <w:rPr>
          <w:rFonts w:ascii="Arial" w:hAnsi="Arial" w:cs="Arial"/>
          <w:sz w:val="24"/>
          <w:szCs w:val="24"/>
          <w:lang w:val="en-US"/>
        </w:rPr>
        <w:fldChar w:fldCharType="begin" w:fldLock="1"/>
      </w:r>
      <w:r w:rsidR="00ED306D">
        <w:rPr>
          <w:rFonts w:ascii="Arial" w:hAnsi="Arial" w:cs="Arial"/>
          <w:sz w:val="24"/>
          <w:szCs w:val="24"/>
          <w:lang w:val="en-US"/>
        </w:rPr>
        <w:instrText>ADDIN CSL_CITATION {"citationItems":[{"id":"ITEM-1","itemData":{"DOI":"10.1038/nprot.2008.41","ISSN":"1750-2799","PMID":"18451784","abstract":"One popular way of measuring visual attentional processes in the rat is using 5-choice serial reaction time task (5-CSRTT). This paradigm requires subjects to detect brief flashes of light presented in a pseudorandom order in one of five spatial locations over a large number of trials. For this task, the animals are trained for approximately 30-40 daily sessions during which they gradually learn to respond in the appropriate aperture within a certain amount of time. If they fail to respond, respond in the wrong hole or at an inappropriate time, a short period of darkness (time-out) is presented as punishment and no reward is delivered. The 5-CSRTT provides the possibility to test the effects of various neural, pharmacological and behavioral manipulations on discrete and somewhat independent measures of behavioral control, including accuracy of discrimination, impulsivity, perseverative responses and response latencies.","author":[{"dropping-particle":"","family":"Bari","given":"Andrea","non-dropping-particle":"","parse-names":false,"suffix":""},{"dropping-particle":"","family":"Dalley","given":"Jeffrey W","non-dropping-particle":"","parse-names":false,"suffix":""},{"dropping-particle":"","family":"Robbins","given":"Trevor W","non-dropping-particle":"","parse-names":false,"suffix":""}],"container-title":"Nature protocols","id":"ITEM-1","issue":"5","issued":{"date-parts":[["2008","1"]]},"page":"759-67","title":"The application of the 5-choice serial reaction time task for the assessment of visual attentional processes and impulse control in rats.","type":"article-journal","volume":"3"},"uris":["http://www.mendeley.com/documents/?uuid=4ff2daa5-60dd-4cac-bbbc-50135cae4153"]}],"mendeley":{"formattedCitation":"(Bari et al., 2008)","manualFormatting":"(2008)","plainTextFormattedCitation":"(Bari et al., 2008)","previouslyFormattedCitation":"(Bari et al., 2008)"},"properties":{"noteIndex":0},"schema":"https://github.com/citation-style-language/schema/raw/master/csl-citation.json"}</w:instrText>
      </w:r>
      <w:r w:rsidRPr="008A16EB">
        <w:rPr>
          <w:rFonts w:ascii="Arial" w:hAnsi="Arial" w:cs="Arial"/>
          <w:sz w:val="24"/>
          <w:szCs w:val="24"/>
          <w:lang w:val="en-US"/>
        </w:rPr>
        <w:fldChar w:fldCharType="separate"/>
      </w:r>
      <w:r w:rsidR="00EE42DD" w:rsidRPr="00EE42DD">
        <w:rPr>
          <w:rFonts w:ascii="Arial" w:hAnsi="Arial" w:cs="Arial"/>
          <w:noProof/>
          <w:sz w:val="24"/>
          <w:szCs w:val="24"/>
          <w:lang w:val="en-US"/>
        </w:rPr>
        <w:t>(2008)</w:t>
      </w:r>
      <w:r w:rsidRPr="008A16EB">
        <w:rPr>
          <w:rFonts w:ascii="Arial" w:hAnsi="Arial" w:cs="Arial"/>
          <w:sz w:val="24"/>
          <w:szCs w:val="24"/>
          <w:lang w:val="en-US"/>
        </w:rPr>
        <w:fldChar w:fldCharType="end"/>
      </w:r>
      <w:r w:rsidRPr="008A16EB">
        <w:rPr>
          <w:rFonts w:ascii="Arial" w:hAnsi="Arial" w:cs="Arial"/>
          <w:sz w:val="24"/>
          <w:szCs w:val="24"/>
          <w:lang w:val="en-US"/>
        </w:rPr>
        <w:t xml:space="preserve">) began. </w:t>
      </w:r>
    </w:p>
    <w:p w14:paraId="18B3BC5B" w14:textId="06593D7C" w:rsidR="00D837A1" w:rsidRPr="008A16EB" w:rsidRDefault="00243DE1" w:rsidP="004D15F6">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Twelve phases with increasing </w:t>
      </w:r>
      <w:r w:rsidRPr="008A16EB">
        <w:rPr>
          <w:rFonts w:ascii="Arial" w:hAnsi="Arial" w:cs="Arial"/>
          <w:color w:val="000000" w:themeColor="text1"/>
          <w:sz w:val="24"/>
          <w:szCs w:val="24"/>
          <w:lang w:val="en-US"/>
        </w:rPr>
        <w:t xml:space="preserve">demands were implemented. </w:t>
      </w:r>
      <w:r w:rsidRPr="008A16EB">
        <w:rPr>
          <w:rFonts w:ascii="Arial" w:hAnsi="Arial" w:cs="Arial"/>
          <w:sz w:val="24"/>
          <w:szCs w:val="24"/>
          <w:lang w:val="en-US"/>
        </w:rPr>
        <w:t xml:space="preserve">In each phase, the duration of a light stimulus over a lever that signaled the availability of a pellet was progressively shortened (phase 1: 30 s – phase 12: 0.5 s). Also, the response time that the rats had to press the lever in order to obtain the reward was progressively shortened (phase 1: 30 s – phase 12: 5 s). The </w:t>
      </w:r>
      <w:bookmarkStart w:id="8" w:name="_Hlk67912255"/>
      <w:r w:rsidRPr="008A16EB">
        <w:rPr>
          <w:rFonts w:ascii="Arial" w:hAnsi="Arial" w:cs="Arial"/>
          <w:sz w:val="24"/>
          <w:szCs w:val="24"/>
          <w:lang w:val="en-US"/>
        </w:rPr>
        <w:t xml:space="preserve">Inter-trial-interval (ITI) </w:t>
      </w:r>
      <w:bookmarkEnd w:id="8"/>
      <w:r w:rsidRPr="008A16EB">
        <w:rPr>
          <w:rFonts w:ascii="Arial" w:hAnsi="Arial" w:cs="Arial"/>
          <w:sz w:val="24"/>
          <w:szCs w:val="24"/>
          <w:lang w:val="en-US"/>
        </w:rPr>
        <w:t xml:space="preserve">time also increased across sessions (phase 1: 2 s – phase 12: 5 s). Rats progressed to the next phase if they managed to perform at least 80% of correct lever presses (CLP), </w:t>
      </w:r>
      <w:r w:rsidR="009076A7" w:rsidRPr="008A16EB">
        <w:rPr>
          <w:rFonts w:ascii="Arial" w:hAnsi="Arial" w:cs="Arial"/>
          <w:sz w:val="24"/>
          <w:szCs w:val="24"/>
          <w:lang w:val="en-US"/>
        </w:rPr>
        <w:t>i.e.,</w:t>
      </w:r>
      <w:r w:rsidRPr="008A16EB">
        <w:rPr>
          <w:rFonts w:ascii="Arial" w:hAnsi="Arial" w:cs="Arial"/>
          <w:sz w:val="24"/>
          <w:szCs w:val="24"/>
          <w:lang w:val="en-US"/>
        </w:rPr>
        <w:t xml:space="preserve"> press the lever closer to the light stimulus. Further lever presses after a CLP during the response time were registered as perseverative responses (PerR), while responses in any of the levers during ITI were counted as premature responses (PreR). PreR and lever presses in the no</w:t>
      </w:r>
      <w:r w:rsidR="00361ADD">
        <w:rPr>
          <w:rFonts w:ascii="Arial" w:hAnsi="Arial" w:cs="Arial"/>
          <w:sz w:val="24"/>
          <w:szCs w:val="24"/>
          <w:lang w:val="en-US"/>
        </w:rPr>
        <w:t>n</w:t>
      </w:r>
      <w:r w:rsidRPr="008A16EB">
        <w:rPr>
          <w:rFonts w:ascii="Arial" w:hAnsi="Arial" w:cs="Arial"/>
          <w:sz w:val="24"/>
          <w:szCs w:val="24"/>
          <w:lang w:val="en-US"/>
        </w:rPr>
        <w:t>-signaled lever, namely incorrect lever presses (ILP), or failure to respond in a trial (Omission Response-OR) were punished with a time out (TO) of 5 s. During this TO, responses were considered as time-out responses (TOR) and caused t</w:t>
      </w:r>
      <w:r w:rsidR="00DF5067">
        <w:rPr>
          <w:rFonts w:ascii="Arial" w:hAnsi="Arial" w:cs="Arial"/>
          <w:sz w:val="24"/>
          <w:szCs w:val="24"/>
          <w:lang w:val="en-US"/>
        </w:rPr>
        <w:t>he</w:t>
      </w:r>
      <w:r w:rsidRPr="008A16EB">
        <w:rPr>
          <w:rFonts w:ascii="Arial" w:hAnsi="Arial" w:cs="Arial"/>
          <w:sz w:val="24"/>
          <w:szCs w:val="24"/>
          <w:lang w:val="en-US"/>
        </w:rPr>
        <w:t xml:space="preserve"> TO period to be </w:t>
      </w:r>
      <w:r w:rsidR="00DF5067">
        <w:rPr>
          <w:rFonts w:ascii="Arial" w:hAnsi="Arial" w:cs="Arial"/>
          <w:sz w:val="24"/>
          <w:szCs w:val="24"/>
          <w:lang w:val="en-US"/>
        </w:rPr>
        <w:t>initiated</w:t>
      </w:r>
      <w:r w:rsidRPr="008A16EB">
        <w:rPr>
          <w:rFonts w:ascii="Arial" w:hAnsi="Arial" w:cs="Arial"/>
          <w:sz w:val="24"/>
          <w:szCs w:val="24"/>
          <w:lang w:val="en-US"/>
        </w:rPr>
        <w:t xml:space="preserve">. </w:t>
      </w:r>
      <w:r w:rsidR="0019341E" w:rsidRPr="0019341E">
        <w:rPr>
          <w:rFonts w:ascii="Arial" w:hAnsi="Arial" w:cs="Arial"/>
          <w:sz w:val="24"/>
          <w:szCs w:val="24"/>
          <w:lang w:val="en-US"/>
        </w:rPr>
        <w:t xml:space="preserve">Each session had 100 trials. </w:t>
      </w:r>
      <w:r w:rsidRPr="008A16EB">
        <w:rPr>
          <w:rFonts w:ascii="Arial" w:hAnsi="Arial" w:cs="Arial"/>
          <w:sz w:val="24"/>
          <w:szCs w:val="24"/>
          <w:lang w:val="en-US"/>
        </w:rPr>
        <w:t>Animals quickly learned to avoid responses before cues were present in order to obtain a new pellet. Once phase 12 was reached, 6 more consecutive sessions with the same requirements (but 75% of correct responses required) were implemented to serve as a baseline (BL).</w:t>
      </w:r>
    </w:p>
    <w:p w14:paraId="47F67AEE" w14:textId="66EC8AD1" w:rsidR="007B6DFF" w:rsidRPr="009213D9" w:rsidRDefault="00D837A1" w:rsidP="009213D9">
      <w:pPr>
        <w:spacing w:line="360" w:lineRule="auto"/>
        <w:ind w:firstLine="708"/>
        <w:jc w:val="both"/>
        <w:rPr>
          <w:rFonts w:ascii="Arial" w:hAnsi="Arial" w:cs="Arial"/>
          <w:sz w:val="24"/>
          <w:szCs w:val="24"/>
          <w:lang w:val="en-US"/>
        </w:rPr>
      </w:pPr>
      <w:r w:rsidRPr="00D42FFA">
        <w:rPr>
          <w:rFonts w:ascii="Arial" w:hAnsi="Arial" w:cs="Arial"/>
          <w:sz w:val="24"/>
          <w:szCs w:val="24"/>
          <w:lang w:val="en-US"/>
        </w:rPr>
        <w:t>Additionally to the raw PreR, we calculated the percentage of PreR in each BL session and test session as follows:</w:t>
      </w:r>
      <w:r w:rsidR="007B6DFF">
        <w:rPr>
          <w:rFonts w:ascii="Arial" w:hAnsi="Arial" w:cs="Arial"/>
          <w:sz w:val="24"/>
          <w:szCs w:val="24"/>
          <w:lang w:val="en-US"/>
        </w:rPr>
        <w:t xml:space="preserve"> [</w:t>
      </w:r>
      <w:r w:rsidRPr="00D42FFA">
        <w:rPr>
          <w:rFonts w:ascii="Arial" w:hAnsi="Arial" w:cs="Arial"/>
          <w:sz w:val="24"/>
          <w:szCs w:val="24"/>
          <w:lang w:val="en-US"/>
        </w:rPr>
        <w:t>PreR/(PreR+CLP+ILP+OR)</w:t>
      </w:r>
      <w:r w:rsidR="007B6DFF">
        <w:rPr>
          <w:rFonts w:ascii="Arial" w:hAnsi="Arial" w:cs="Arial"/>
          <w:sz w:val="24"/>
          <w:szCs w:val="24"/>
          <w:lang w:val="en-US"/>
        </w:rPr>
        <w:t>]</w:t>
      </w:r>
      <w:r w:rsidRPr="00D42FFA">
        <w:rPr>
          <w:rFonts w:ascii="Arial" w:hAnsi="Arial" w:cs="Arial"/>
          <w:sz w:val="24"/>
          <w:szCs w:val="24"/>
          <w:lang w:val="en-US"/>
        </w:rPr>
        <w:t>*100</w:t>
      </w:r>
      <w:r w:rsidR="00C041A0">
        <w:rPr>
          <w:rFonts w:ascii="Arial" w:hAnsi="Arial" w:cs="Arial"/>
          <w:sz w:val="24"/>
          <w:szCs w:val="24"/>
          <w:lang w:val="en-US"/>
        </w:rPr>
        <w:t>. The percentage of increase was calculated as: [</w:t>
      </w:r>
      <w:r w:rsidR="00FD5C8F">
        <w:rPr>
          <w:rFonts w:ascii="Arial" w:hAnsi="Arial" w:cs="Arial"/>
          <w:sz w:val="24"/>
          <w:szCs w:val="24"/>
          <w:lang w:val="en-US"/>
        </w:rPr>
        <w:t>(</w:t>
      </w:r>
      <w:r w:rsidR="00C041A0">
        <w:rPr>
          <w:rFonts w:ascii="Arial" w:hAnsi="Arial" w:cs="Arial"/>
          <w:sz w:val="24"/>
          <w:szCs w:val="24"/>
          <w:lang w:val="en-US"/>
        </w:rPr>
        <w:t>P</w:t>
      </w:r>
      <w:r w:rsidR="008A5A23">
        <w:rPr>
          <w:rFonts w:ascii="Arial" w:hAnsi="Arial" w:cs="Arial"/>
          <w:sz w:val="24"/>
          <w:szCs w:val="24"/>
          <w:lang w:val="en-US"/>
        </w:rPr>
        <w:t>r</w:t>
      </w:r>
      <w:r w:rsidR="00C041A0">
        <w:rPr>
          <w:rFonts w:ascii="Arial" w:hAnsi="Arial" w:cs="Arial"/>
          <w:sz w:val="24"/>
          <w:szCs w:val="24"/>
          <w:lang w:val="en-US"/>
        </w:rPr>
        <w:t>eR</w:t>
      </w:r>
      <w:r w:rsidR="00BA4EDF">
        <w:rPr>
          <w:rFonts w:ascii="Arial" w:hAnsi="Arial" w:cs="Arial"/>
          <w:sz w:val="24"/>
          <w:szCs w:val="24"/>
          <w:lang w:val="en-US"/>
        </w:rPr>
        <w:t>Test</w:t>
      </w:r>
      <w:r w:rsidR="008A5A23">
        <w:rPr>
          <w:rFonts w:ascii="Arial" w:hAnsi="Arial" w:cs="Arial"/>
          <w:sz w:val="24"/>
          <w:szCs w:val="24"/>
          <w:lang w:val="en-US"/>
        </w:rPr>
        <w:t>-PreR</w:t>
      </w:r>
      <w:r w:rsidR="00FD5C8F">
        <w:rPr>
          <w:rFonts w:ascii="Arial" w:hAnsi="Arial" w:cs="Arial"/>
          <w:sz w:val="24"/>
          <w:szCs w:val="24"/>
          <w:lang w:val="en-US"/>
        </w:rPr>
        <w:t>Baseline)/</w:t>
      </w:r>
      <w:r w:rsidR="0079060D">
        <w:rPr>
          <w:rFonts w:ascii="Arial" w:hAnsi="Arial" w:cs="Arial"/>
          <w:sz w:val="24"/>
          <w:szCs w:val="24"/>
          <w:lang w:val="en-US"/>
        </w:rPr>
        <w:t>PreRTest</w:t>
      </w:r>
      <w:r w:rsidR="004408C9">
        <w:rPr>
          <w:rFonts w:ascii="Arial" w:hAnsi="Arial" w:cs="Arial"/>
          <w:sz w:val="24"/>
          <w:szCs w:val="24"/>
          <w:lang w:val="en-US"/>
        </w:rPr>
        <w:t xml:space="preserve">]*100. The baseline sessions computed were the two </w:t>
      </w:r>
      <w:r w:rsidR="00F96E17">
        <w:rPr>
          <w:rFonts w:ascii="Arial" w:hAnsi="Arial" w:cs="Arial"/>
          <w:sz w:val="24"/>
          <w:szCs w:val="24"/>
          <w:lang w:val="en-US"/>
        </w:rPr>
        <w:t>immediately</w:t>
      </w:r>
      <w:r w:rsidR="004408C9">
        <w:rPr>
          <w:rFonts w:ascii="Arial" w:hAnsi="Arial" w:cs="Arial"/>
          <w:sz w:val="24"/>
          <w:szCs w:val="24"/>
          <w:lang w:val="en-US"/>
        </w:rPr>
        <w:t xml:space="preserve"> preceding baseline sessions to each long-ITI test. </w:t>
      </w:r>
    </w:p>
    <w:p w14:paraId="13D04538" w14:textId="0ECCC6BC" w:rsidR="002A19F5" w:rsidRPr="002A19F5" w:rsidRDefault="002A19F5" w:rsidP="002A19F5">
      <w:pPr>
        <w:pStyle w:val="Prrafodelista"/>
        <w:numPr>
          <w:ilvl w:val="1"/>
          <w:numId w:val="9"/>
        </w:numPr>
        <w:spacing w:line="360" w:lineRule="auto"/>
        <w:ind w:left="720" w:hanging="720"/>
        <w:jc w:val="both"/>
        <w:rPr>
          <w:rFonts w:ascii="Arial" w:hAnsi="Arial" w:cs="Arial"/>
          <w:b/>
          <w:bCs/>
          <w:sz w:val="24"/>
          <w:szCs w:val="24"/>
          <w:lang w:val="en-US"/>
        </w:rPr>
      </w:pPr>
      <w:r w:rsidRPr="002A19F5">
        <w:rPr>
          <w:rFonts w:ascii="Arial" w:hAnsi="Arial" w:cs="Arial"/>
          <w:b/>
          <w:bCs/>
          <w:sz w:val="24"/>
          <w:szCs w:val="24"/>
          <w:lang w:val="en-US"/>
        </w:rPr>
        <w:t>Experiment 3: Transcriptomic studies.</w:t>
      </w:r>
    </w:p>
    <w:p w14:paraId="37FC358F" w14:textId="143144B6" w:rsidR="002A19F5" w:rsidRPr="008A16EB" w:rsidRDefault="002A19F5" w:rsidP="002A19F5">
      <w:pPr>
        <w:spacing w:line="360" w:lineRule="auto"/>
        <w:ind w:firstLine="708"/>
        <w:contextualSpacing/>
        <w:jc w:val="both"/>
        <w:rPr>
          <w:rFonts w:ascii="Arial" w:eastAsia="Arial Unicode MS" w:hAnsi="Arial" w:cs="Arial"/>
          <w:sz w:val="24"/>
          <w:szCs w:val="24"/>
          <w:lang w:val="en-US"/>
        </w:rPr>
      </w:pPr>
      <w:r w:rsidRPr="008A16EB">
        <w:rPr>
          <w:rFonts w:ascii="Arial" w:eastAsia="Arial Unicode MS" w:hAnsi="Arial" w:cs="Arial"/>
          <w:sz w:val="24"/>
          <w:szCs w:val="24"/>
          <w:lang w:val="en-US"/>
        </w:rPr>
        <w:t xml:space="preserve">At PND 90, animals were deeply anaesthetized with isoflurane and sacrificed by decapitation. Brains were extracted and, with the help of a brain matrix, 1 mm thick coronal slices were obtained between 2.28 mm and 1.08 mm, </w:t>
      </w:r>
      <w:r w:rsidRPr="008A16EB">
        <w:rPr>
          <w:rFonts w:ascii="Arial" w:eastAsia="Arial Unicode MS" w:hAnsi="Arial" w:cs="Arial"/>
          <w:sz w:val="24"/>
          <w:szCs w:val="24"/>
          <w:lang w:val="en-US"/>
        </w:rPr>
        <w:lastRenderedPageBreak/>
        <w:t xml:space="preserve">approximately, anterior from bregma. With the help of two dissecting lancet-shaped needles, the </w:t>
      </w:r>
      <w:r w:rsidR="009052DB">
        <w:rPr>
          <w:rFonts w:ascii="Arial" w:eastAsia="Arial Unicode MS" w:hAnsi="Arial" w:cs="Arial"/>
          <w:sz w:val="24"/>
          <w:szCs w:val="24"/>
          <w:lang w:val="en-US"/>
        </w:rPr>
        <w:t>nucleus accumbens (</w:t>
      </w:r>
      <w:r w:rsidRPr="008A16EB">
        <w:rPr>
          <w:rFonts w:ascii="Arial" w:eastAsia="Arial Unicode MS" w:hAnsi="Arial" w:cs="Arial"/>
          <w:sz w:val="24"/>
          <w:szCs w:val="24"/>
          <w:lang w:val="en-US"/>
        </w:rPr>
        <w:t>NAcc</w:t>
      </w:r>
      <w:r w:rsidR="009052DB">
        <w:rPr>
          <w:rFonts w:ascii="Arial" w:eastAsia="Arial Unicode MS" w:hAnsi="Arial" w:cs="Arial"/>
          <w:sz w:val="24"/>
          <w:szCs w:val="24"/>
          <w:lang w:val="en-US"/>
        </w:rPr>
        <w:t>)</w:t>
      </w:r>
      <w:r w:rsidRPr="008A16EB">
        <w:rPr>
          <w:rFonts w:ascii="Arial" w:eastAsia="Arial Unicode MS" w:hAnsi="Arial" w:cs="Arial"/>
          <w:sz w:val="24"/>
          <w:szCs w:val="24"/>
          <w:lang w:val="en-US"/>
        </w:rPr>
        <w:t xml:space="preserve"> shell division  was dissected according to the Paxinos and Watson atlas </w:t>
      </w:r>
      <w:r w:rsidRPr="008A16EB">
        <w:rPr>
          <w:rFonts w:ascii="Arial" w:eastAsia="Arial Unicode MS" w:hAnsi="Arial" w:cs="Arial"/>
          <w:sz w:val="24"/>
          <w:szCs w:val="24"/>
          <w:lang w:val="en-US"/>
        </w:rPr>
        <w:fldChar w:fldCharType="begin" w:fldLock="1"/>
      </w:r>
      <w:r w:rsidR="0098460B">
        <w:rPr>
          <w:rFonts w:ascii="Arial" w:eastAsia="Arial Unicode MS" w:hAnsi="Arial" w:cs="Arial"/>
          <w:sz w:val="24"/>
          <w:szCs w:val="24"/>
          <w:lang w:val="en-US"/>
        </w:rPr>
        <w:instrText>ADDIN CSL_CITATION {"citationItems":[{"id":"ITEM-1","itemData":{"ISBN":"012547623X","author":[{"dropping-particle":"","family":"Paxinos","given":"George","non-dropping-particle":"","parse-names":false,"suffix":""},{"dropping-particle":"","family":"Watson","given":"Charles","non-dropping-particle":"","parse-names":false,"suffix":""}],"id":"ITEM-1","issued":{"date-parts":[["2007"]]},"title":"The Rat Brain in Stereotaxic Coordinates. 6th Edition","type":"article-journal"},"uris":["http://www.mendeley.com/documents/?uuid=bb042e15-8dba-4e10-913d-7d87c906d8a4"]}],"mendeley":{"formattedCitation":"(Paxinos and Watson, 2007)","plainTextFormattedCitation":"(Paxinos and Watson, 2007)","previouslyFormattedCitation":"(Paxinos and Watson, 2007)"},"properties":{"noteIndex":0},"schema":"https://github.com/citation-style-language/schema/raw/master/csl-citation.json"}</w:instrText>
      </w:r>
      <w:r w:rsidRPr="008A16EB">
        <w:rPr>
          <w:rFonts w:ascii="Arial" w:eastAsia="Arial Unicode MS" w:hAnsi="Arial" w:cs="Arial"/>
          <w:sz w:val="24"/>
          <w:szCs w:val="24"/>
          <w:lang w:val="en-US"/>
        </w:rPr>
        <w:fldChar w:fldCharType="separate"/>
      </w:r>
      <w:r w:rsidR="00EE42DD" w:rsidRPr="00EE42DD">
        <w:rPr>
          <w:rFonts w:ascii="Arial" w:eastAsia="Arial Unicode MS" w:hAnsi="Arial" w:cs="Arial"/>
          <w:noProof/>
          <w:sz w:val="24"/>
          <w:szCs w:val="24"/>
          <w:lang w:val="en-US"/>
        </w:rPr>
        <w:t>(Paxinos and Watson, 2007)</w:t>
      </w:r>
      <w:r w:rsidRPr="008A16EB">
        <w:rPr>
          <w:rFonts w:ascii="Arial" w:eastAsia="Arial Unicode MS" w:hAnsi="Arial" w:cs="Arial"/>
          <w:sz w:val="24"/>
          <w:szCs w:val="24"/>
          <w:lang w:val="en-US"/>
        </w:rPr>
        <w:fldChar w:fldCharType="end"/>
      </w:r>
      <w:r w:rsidRPr="008A16EB">
        <w:rPr>
          <w:rFonts w:ascii="Arial" w:eastAsia="Arial Unicode MS" w:hAnsi="Arial" w:cs="Arial"/>
          <w:sz w:val="24"/>
          <w:szCs w:val="24"/>
          <w:lang w:val="en-US"/>
        </w:rPr>
        <w:t xml:space="preserve">. All the surfaces and tools used for dissection were sterilized and treated with RNAseZap® (Ambion), and all the steps were carried out with caution to maintain RNA integrity. The tissue samples were snap-frozen with dry ice and stored at -70ºC. </w:t>
      </w:r>
      <w:r w:rsidRPr="008A16EB">
        <w:rPr>
          <w:rFonts w:ascii="Arial" w:eastAsia="Arial Unicode MS" w:hAnsi="Arial" w:cs="Arial"/>
          <w:sz w:val="24"/>
          <w:szCs w:val="24"/>
          <w:shd w:val="clear" w:color="auto" w:fill="FFFFFF"/>
          <w:lang w:val="en-US"/>
        </w:rPr>
        <w:t xml:space="preserve">Samples were homogenized, and RNA extracted according to the protocol, tools and reagents provided by RNeasy Mini Kit (Qiagen). </w:t>
      </w:r>
      <w:r w:rsidRPr="008A16EB">
        <w:rPr>
          <w:rFonts w:ascii="Arial" w:eastAsia="Arial Unicode MS" w:hAnsi="Arial" w:cs="Arial"/>
          <w:sz w:val="24"/>
          <w:szCs w:val="24"/>
          <w:lang w:val="en-US"/>
        </w:rPr>
        <w:t xml:space="preserve">Libraries were prepared according to the instructions of the </w:t>
      </w:r>
      <w:r w:rsidRPr="008A16EB">
        <w:rPr>
          <w:rFonts w:ascii="Arial" w:eastAsia="Arial Unicode MS" w:hAnsi="Arial" w:cs="Arial"/>
          <w:i/>
          <w:iCs/>
          <w:sz w:val="24"/>
          <w:szCs w:val="24"/>
          <w:lang w:val="en-US"/>
        </w:rPr>
        <w:t>NEBNext Ultra Directional RNA Library Prep kit for Illumina</w:t>
      </w:r>
      <w:r w:rsidRPr="008A16EB">
        <w:rPr>
          <w:rFonts w:ascii="Arial" w:eastAsia="Arial Unicode MS" w:hAnsi="Arial" w:cs="Arial"/>
          <w:sz w:val="24"/>
          <w:szCs w:val="24"/>
          <w:lang w:val="en-US"/>
        </w:rPr>
        <w:t xml:space="preserve"> kit (New England Biolabs), as detailed in “Chapter 1: Protocol for use with NEBNext Poly(A) mRNA Magnetic Isolation Module”. The input yield of total RNA to start the protocol was 1 µg quantified by an Agilent 2100 Bioanalyzer using an RNA 6000 nano LabChip kit. We performed the library amplification included in the cited protocol using a PCR of 14 cycles. The obtained libraries were validated and quantified by an Agilent 2100 Bioanalyzer using a DNA7500 LabChip kit and an equimolecular pool of libraries were titrated by quantitative PCR using the “Kapa-SYBR FAST qPCR kit forLightCycler480” (Kapa BioSystems) and a reference standard for quantification. The pool of libraries was denatured prior to be</w:t>
      </w:r>
      <w:r w:rsidR="00F93491">
        <w:rPr>
          <w:rFonts w:ascii="Arial" w:eastAsia="Arial Unicode MS" w:hAnsi="Arial" w:cs="Arial"/>
          <w:sz w:val="24"/>
          <w:szCs w:val="24"/>
          <w:lang w:val="en-US"/>
        </w:rPr>
        <w:t>ing</w:t>
      </w:r>
      <w:r w:rsidRPr="008A16EB">
        <w:rPr>
          <w:rFonts w:ascii="Arial" w:eastAsia="Arial Unicode MS" w:hAnsi="Arial" w:cs="Arial"/>
          <w:sz w:val="24"/>
          <w:szCs w:val="24"/>
          <w:lang w:val="en-US"/>
        </w:rPr>
        <w:t xml:space="preserve"> seeded on a flow-cell at a density of 2.2 pM, where clusters were formed and sequenced using a “NextSeq™ 500 High Output Kit”, in a 1x75 single read sequencing run on a NextSeq500 sequencer. </w:t>
      </w:r>
    </w:p>
    <w:p w14:paraId="619F7BF9" w14:textId="4C3DA3BE" w:rsidR="002A19F5" w:rsidRPr="008A16EB" w:rsidRDefault="002A19F5" w:rsidP="002A19F5">
      <w:pPr>
        <w:spacing w:line="360" w:lineRule="auto"/>
        <w:ind w:firstLine="708"/>
        <w:contextualSpacing/>
        <w:jc w:val="both"/>
        <w:rPr>
          <w:rFonts w:ascii="Arial" w:eastAsia="Arial Unicode MS" w:hAnsi="Arial" w:cs="Arial"/>
          <w:sz w:val="24"/>
          <w:szCs w:val="24"/>
          <w:lang w:val="en-US"/>
        </w:rPr>
      </w:pPr>
      <w:r w:rsidRPr="008A16EB">
        <w:rPr>
          <w:rFonts w:ascii="Arial" w:eastAsia="Arial Unicode MS" w:hAnsi="Arial" w:cs="Arial"/>
          <w:sz w:val="24"/>
          <w:szCs w:val="24"/>
          <w:lang w:val="en-US"/>
        </w:rPr>
        <w:t xml:space="preserve">We used the Chipster analysis suite </w:t>
      </w:r>
      <w:r w:rsidRPr="008A16EB">
        <w:rPr>
          <w:rFonts w:ascii="Arial" w:eastAsia="Arial Unicode MS" w:hAnsi="Arial" w:cs="Arial"/>
          <w:sz w:val="24"/>
          <w:szCs w:val="24"/>
          <w:lang w:val="en-US"/>
        </w:rPr>
        <w:fldChar w:fldCharType="begin" w:fldLock="1"/>
      </w:r>
      <w:r w:rsidR="0098460B">
        <w:rPr>
          <w:rFonts w:ascii="Arial" w:eastAsia="Arial Unicode MS" w:hAnsi="Arial" w:cs="Arial"/>
          <w:sz w:val="24"/>
          <w:szCs w:val="24"/>
          <w:lang w:val="en-US"/>
        </w:rPr>
        <w:instrText>ADDIN CSL_CITATION {"citationItems":[{"id":"ITEM-1","itemData":{"DOI":"10.1186/1471-2164-12-507","ISSN":"14712164","abstract":"Background: The growth of high-throughput technologies such as microarrays and next generation sequencing has been accompanied by active research in data analysis methodology, producing new analysis methods at a rapid pace. While most of the newly developed methods are freely available, their use requires substantial computational skills. In order to enable non-programming biologists to benefit from the method development in a timely manner, we have created the Chipster software.Results: Chipster (http://chipster.csc.fi/) brings a powerful collection of data analysis methods within the reach of bioscientists via its intuitive graphical user interface. Users can analyze and integrate different data types such as gene expression, miRNA and aCGH. The analysis functionality is complemented with rich interactive visualizations, allowing users to select datapoints and create new gene lists based on these selections. Importantly, users can save the performed analysis steps as reusable, automatic workflows, which can also be shared with other users. Being a versatile and easily extendable platform, Chipster can be used for microarray, proteomics and sequencing data. In this article we describe its comprehensive collection of analysis and visualization tools for microarray data using three case studies.Conclusions: Chipster is a user-friendly analysis software for high-throughput data. Its intuitive graphical user interface enables biologists to access a powerful collection of data analysis and integration tools, and to visualize data interactively. Users can collaborate by sharing analysis sessions and workflows. Chipster is open source, and the server installation package is freely available. © 2011 Kallio et al; licensee BioMed Central Ltd.","author":[{"dropping-particle":"","family":"Kallio","given":"M. Aleksi","non-dropping-particle":"","parse-names":false,"suffix":""},{"dropping-particle":"","family":"Tuimala","given":"Jarno T.","non-dropping-particle":"","parse-names":false,"suffix":""},{"dropping-particle":"","family":"Hupponen","given":"Taavi","non-dropping-particle":"","parse-names":false,"suffix":""},{"dropping-particle":"","family":"Klemelä","given":"Petri","non-dropping-particle":"","parse-names":false,"suffix":""},{"dropping-particle":"","family":"Gentile","given":"Massimiliano","non-dropping-particle":"","parse-names":false,"suffix":""},{"dropping-particle":"","family":"Scheinin","given":"Ilari","non-dropping-particle":"","parse-names":false,"suffix":""},{"dropping-particle":"","family":"Koski","given":"Mikko","non-dropping-particle":"","parse-names":false,"suffix":""},{"dropping-particle":"","family":"Käki","given":"Janne","non-dropping-particle":"","parse-names":false,"suffix":""},{"dropping-particle":"","family":"Korpelainen","given":"Eija I.","non-dropping-particle":"","parse-names":false,"suffix":""}],"container-title":"BMC Genomics","id":"ITEM-1","issue":"507","issued":{"date-parts":[["2011"]]},"title":"Chipster: User-friendly analysis software for microarray and other high-throughput data","type":"article-journal","volume":"12"},"uris":["http://www.mendeley.com/documents/?uuid=dbb6dd70-e294-4f76-a36f-bf9ca83548cd"]}],"mendeley":{"formattedCitation":"(Kallio et al., 2011)","plainTextFormattedCitation":"(Kallio et al., 2011)","previouslyFormattedCitation":"(Kallio et al., 2011)"},"properties":{"noteIndex":0},"schema":"https://github.com/citation-style-language/schema/raw/master/csl-citation.json"}</w:instrText>
      </w:r>
      <w:r w:rsidRPr="008A16EB">
        <w:rPr>
          <w:rFonts w:ascii="Arial" w:eastAsia="Arial Unicode MS" w:hAnsi="Arial" w:cs="Arial"/>
          <w:sz w:val="24"/>
          <w:szCs w:val="24"/>
          <w:lang w:val="en-US"/>
        </w:rPr>
        <w:fldChar w:fldCharType="separate"/>
      </w:r>
      <w:r w:rsidR="00EE42DD" w:rsidRPr="00EE42DD">
        <w:rPr>
          <w:rFonts w:ascii="Arial" w:eastAsia="Arial Unicode MS" w:hAnsi="Arial" w:cs="Arial"/>
          <w:noProof/>
          <w:sz w:val="24"/>
          <w:szCs w:val="24"/>
          <w:lang w:val="en-US"/>
        </w:rPr>
        <w:t>(Kallio et al., 2011)</w:t>
      </w:r>
      <w:r w:rsidRPr="008A16EB">
        <w:rPr>
          <w:rFonts w:ascii="Arial" w:eastAsia="Arial Unicode MS" w:hAnsi="Arial" w:cs="Arial"/>
          <w:sz w:val="24"/>
          <w:szCs w:val="24"/>
          <w:lang w:val="en-US"/>
        </w:rPr>
        <w:fldChar w:fldCharType="end"/>
      </w:r>
      <w:r w:rsidRPr="008A16EB">
        <w:rPr>
          <w:rFonts w:ascii="Arial" w:eastAsia="Arial Unicode MS" w:hAnsi="Arial" w:cs="Arial"/>
          <w:sz w:val="24"/>
          <w:szCs w:val="24"/>
          <w:lang w:val="en-US"/>
        </w:rPr>
        <w:t xml:space="preserve"> to perform data processing and analysis. Briefly, data quality analysis of the obtained raw data (</w:t>
      </w:r>
      <w:r w:rsidRPr="008A16EB">
        <w:rPr>
          <w:rFonts w:ascii="Arial" w:eastAsia="Arial Unicode MS" w:hAnsi="Arial" w:cs="Arial"/>
          <w:iCs/>
          <w:sz w:val="24"/>
          <w:szCs w:val="24"/>
          <w:lang w:val="en-US"/>
        </w:rPr>
        <w:t>singleEnd, stranded</w:t>
      </w:r>
      <w:r w:rsidRPr="008A16EB">
        <w:rPr>
          <w:rFonts w:ascii="Arial" w:eastAsia="Arial Unicode MS" w:hAnsi="Arial" w:cs="Arial"/>
          <w:sz w:val="24"/>
          <w:szCs w:val="24"/>
          <w:lang w:val="en-US"/>
        </w:rPr>
        <w:t xml:space="preserve">) was performed on FASTQC and </w:t>
      </w:r>
      <w:r w:rsidRPr="008A16EB">
        <w:rPr>
          <w:rFonts w:ascii="Arial" w:eastAsia="Arial Unicode MS" w:hAnsi="Arial" w:cs="Arial"/>
          <w:bCs/>
          <w:sz w:val="24"/>
          <w:szCs w:val="24"/>
          <w:lang w:val="en-US"/>
        </w:rPr>
        <w:t>PRINSEQ</w:t>
      </w:r>
      <w:r w:rsidRPr="008A16EB">
        <w:rPr>
          <w:rFonts w:ascii="Arial" w:eastAsia="Arial Unicode MS" w:hAnsi="Arial" w:cs="Arial"/>
          <w:sz w:val="24"/>
          <w:szCs w:val="24"/>
          <w:lang w:val="en-US"/>
        </w:rPr>
        <w:t xml:space="preserve">; no low-quality bases, or very few, were detected at the end of the reads. Reads were aligned to reference genome </w:t>
      </w:r>
      <w:r w:rsidRPr="008A16EB">
        <w:rPr>
          <w:rFonts w:ascii="Arial" w:eastAsia="Arial Unicode MS" w:hAnsi="Arial" w:cs="Arial"/>
          <w:i/>
          <w:iCs/>
          <w:sz w:val="24"/>
          <w:szCs w:val="24"/>
          <w:lang w:val="en-US"/>
        </w:rPr>
        <w:t>Rattus_norvergicus</w:t>
      </w:r>
      <w:r w:rsidRPr="008A16EB">
        <w:rPr>
          <w:rFonts w:ascii="Arial" w:eastAsia="Arial Unicode MS" w:hAnsi="Arial" w:cs="Arial"/>
          <w:sz w:val="24"/>
          <w:szCs w:val="24"/>
          <w:lang w:val="en-US"/>
        </w:rPr>
        <w:t xml:space="preserve">. Rnor_6.0.87 using </w:t>
      </w:r>
      <w:r w:rsidRPr="008A16EB">
        <w:rPr>
          <w:rFonts w:ascii="Arial" w:eastAsia="Arial Unicode MS" w:hAnsi="Arial" w:cs="Arial"/>
          <w:bCs/>
          <w:sz w:val="24"/>
          <w:szCs w:val="24"/>
          <w:lang w:val="en-US"/>
        </w:rPr>
        <w:t>TOPHAPT</w:t>
      </w:r>
      <w:r w:rsidRPr="008A16EB">
        <w:rPr>
          <w:rFonts w:ascii="Arial" w:eastAsia="Arial Unicode MS" w:hAnsi="Arial" w:cs="Arial"/>
          <w:sz w:val="24"/>
          <w:szCs w:val="24"/>
          <w:lang w:val="en-US"/>
        </w:rPr>
        <w:t xml:space="preserve"> and the alignment of the counts per read was performed using </w:t>
      </w:r>
      <w:r w:rsidRPr="008A16EB">
        <w:rPr>
          <w:rFonts w:ascii="Arial" w:eastAsia="Arial Unicode MS" w:hAnsi="Arial" w:cs="Arial"/>
          <w:bCs/>
          <w:sz w:val="24"/>
          <w:szCs w:val="24"/>
          <w:lang w:val="en-US"/>
        </w:rPr>
        <w:t>HTSeq</w:t>
      </w:r>
      <w:r w:rsidRPr="008A16EB">
        <w:rPr>
          <w:rFonts w:ascii="Arial" w:eastAsia="Arial Unicode MS" w:hAnsi="Arial" w:cs="Arial"/>
          <w:i/>
          <w:sz w:val="24"/>
          <w:szCs w:val="24"/>
          <w:lang w:val="en-US"/>
        </w:rPr>
        <w:t xml:space="preserve">. </w:t>
      </w:r>
      <w:bookmarkStart w:id="9" w:name="_Hlk67992312"/>
      <w:r w:rsidRPr="008A16EB">
        <w:rPr>
          <w:rFonts w:ascii="Arial" w:eastAsia="Arial Unicode MS" w:hAnsi="Arial" w:cs="Arial"/>
          <w:sz w:val="24"/>
          <w:szCs w:val="24"/>
          <w:lang w:val="en-US"/>
        </w:rPr>
        <w:t>Differential gene expression analysis was performed using</w:t>
      </w:r>
      <w:r w:rsidRPr="008A16EB">
        <w:rPr>
          <w:rFonts w:ascii="Arial" w:eastAsia="Arial Unicode MS" w:hAnsi="Arial" w:cs="Arial"/>
          <w:b/>
          <w:sz w:val="24"/>
          <w:szCs w:val="24"/>
          <w:lang w:val="en-US"/>
        </w:rPr>
        <w:t xml:space="preserve"> </w:t>
      </w:r>
      <w:r w:rsidRPr="008A16EB">
        <w:rPr>
          <w:rFonts w:ascii="Arial" w:eastAsia="Arial Unicode MS" w:hAnsi="Arial" w:cs="Arial"/>
          <w:bCs/>
          <w:sz w:val="24"/>
          <w:szCs w:val="24"/>
          <w:lang w:val="en-US"/>
        </w:rPr>
        <w:t>CUFFDIFF</w:t>
      </w:r>
      <w:r w:rsidRPr="008A16EB">
        <w:rPr>
          <w:rFonts w:ascii="Arial" w:eastAsia="Arial Unicode MS" w:hAnsi="Arial" w:cs="Arial"/>
          <w:b/>
          <w:sz w:val="24"/>
          <w:szCs w:val="24"/>
          <w:lang w:val="en-US"/>
        </w:rPr>
        <w:t xml:space="preserve"> </w:t>
      </w:r>
      <w:r w:rsidRPr="008A16EB">
        <w:rPr>
          <w:rFonts w:ascii="Arial" w:eastAsia="Arial Unicode MS" w:hAnsi="Arial" w:cs="Arial"/>
          <w:sz w:val="24"/>
          <w:szCs w:val="24"/>
          <w:lang w:val="en-US"/>
        </w:rPr>
        <w:t>with replicates</w:t>
      </w:r>
      <w:r w:rsidRPr="008A16EB">
        <w:rPr>
          <w:rFonts w:ascii="Arial" w:eastAsia="Arial Unicode MS" w:hAnsi="Arial" w:cs="Arial"/>
          <w:b/>
          <w:sz w:val="24"/>
          <w:szCs w:val="24"/>
          <w:lang w:val="en-US"/>
        </w:rPr>
        <w:t xml:space="preserve"> </w:t>
      </w:r>
      <w:r w:rsidRPr="008A16EB">
        <w:rPr>
          <w:rFonts w:ascii="Arial" w:eastAsia="Arial Unicode MS" w:hAnsi="Arial" w:cs="Arial"/>
          <w:sz w:val="24"/>
          <w:szCs w:val="24"/>
          <w:lang w:val="en-US"/>
        </w:rPr>
        <w:t>analysis to</w:t>
      </w:r>
      <w:r w:rsidRPr="008A16EB">
        <w:rPr>
          <w:rFonts w:ascii="Arial" w:eastAsia="Arial Unicode MS" w:hAnsi="Arial" w:cs="Arial"/>
          <w:b/>
          <w:sz w:val="24"/>
          <w:szCs w:val="24"/>
          <w:lang w:val="en-US"/>
        </w:rPr>
        <w:t xml:space="preserve"> </w:t>
      </w:r>
      <w:r w:rsidRPr="008A16EB">
        <w:rPr>
          <w:rFonts w:ascii="Arial" w:eastAsia="Arial Unicode MS" w:hAnsi="Arial" w:cs="Arial"/>
          <w:sz w:val="24"/>
          <w:szCs w:val="24"/>
          <w:lang w:val="en-US"/>
        </w:rPr>
        <w:t>explore the differences in transcriptomic profiles between factor levels.</w:t>
      </w:r>
      <w:bookmarkEnd w:id="9"/>
      <w:r w:rsidRPr="008A16EB">
        <w:rPr>
          <w:rFonts w:ascii="Arial" w:eastAsia="Arial Unicode MS" w:hAnsi="Arial" w:cs="Arial"/>
          <w:sz w:val="24"/>
          <w:szCs w:val="24"/>
          <w:lang w:val="en-US"/>
        </w:rPr>
        <w:t xml:space="preserve"> All RNA-seq data sets generated and/or analyzed during the current study were added to the Gene Expression Omnibus (GEO) under the accession number GSE158188.</w:t>
      </w:r>
    </w:p>
    <w:p w14:paraId="5646CCE5" w14:textId="46B12B38" w:rsidR="00BF4AAE" w:rsidRPr="002A19F5" w:rsidRDefault="008F2BC3" w:rsidP="002A19F5">
      <w:pPr>
        <w:pStyle w:val="Prrafodelista"/>
        <w:numPr>
          <w:ilvl w:val="1"/>
          <w:numId w:val="9"/>
        </w:numPr>
        <w:spacing w:line="360" w:lineRule="auto"/>
        <w:ind w:hanging="792"/>
        <w:jc w:val="both"/>
        <w:rPr>
          <w:rFonts w:ascii="Arial" w:hAnsi="Arial" w:cs="Arial"/>
          <w:b/>
          <w:bCs/>
          <w:sz w:val="24"/>
          <w:szCs w:val="24"/>
          <w:lang w:val="en-US"/>
        </w:rPr>
      </w:pPr>
      <w:r w:rsidRPr="002A19F5">
        <w:rPr>
          <w:rFonts w:ascii="Arial" w:hAnsi="Arial" w:cs="Arial"/>
          <w:b/>
          <w:bCs/>
          <w:sz w:val="24"/>
          <w:szCs w:val="24"/>
          <w:lang w:val="en-US"/>
        </w:rPr>
        <w:t xml:space="preserve">Experiment </w:t>
      </w:r>
      <w:r w:rsidR="00450C9F">
        <w:rPr>
          <w:rFonts w:ascii="Arial" w:hAnsi="Arial" w:cs="Arial"/>
          <w:b/>
          <w:bCs/>
          <w:sz w:val="24"/>
          <w:szCs w:val="24"/>
          <w:lang w:val="en-US"/>
        </w:rPr>
        <w:t>4</w:t>
      </w:r>
      <w:r w:rsidRPr="002A19F5">
        <w:rPr>
          <w:rFonts w:ascii="Arial" w:hAnsi="Arial" w:cs="Arial"/>
          <w:b/>
          <w:bCs/>
          <w:sz w:val="24"/>
          <w:szCs w:val="24"/>
          <w:lang w:val="en-US"/>
        </w:rPr>
        <w:t xml:space="preserve">: </w:t>
      </w:r>
      <w:r w:rsidR="00DC531D" w:rsidRPr="002A19F5">
        <w:rPr>
          <w:rFonts w:ascii="Arial" w:hAnsi="Arial" w:cs="Arial"/>
          <w:b/>
          <w:bCs/>
          <w:sz w:val="24"/>
          <w:szCs w:val="24"/>
          <w:lang w:val="en-US"/>
        </w:rPr>
        <w:t xml:space="preserve">Cocaine-addiction like </w:t>
      </w:r>
      <w:r w:rsidR="00137085" w:rsidRPr="002A19F5">
        <w:rPr>
          <w:rFonts w:ascii="Arial" w:hAnsi="Arial" w:cs="Arial"/>
          <w:b/>
          <w:bCs/>
          <w:sz w:val="24"/>
          <w:szCs w:val="24"/>
          <w:lang w:val="en-US"/>
        </w:rPr>
        <w:t>behavior</w:t>
      </w:r>
    </w:p>
    <w:p w14:paraId="0944CAF6" w14:textId="39BEE244" w:rsidR="00DC531D" w:rsidRPr="008A16EB" w:rsidRDefault="00DC531D" w:rsidP="008A16EB">
      <w:pPr>
        <w:spacing w:line="360" w:lineRule="auto"/>
        <w:ind w:firstLine="708"/>
        <w:jc w:val="both"/>
        <w:rPr>
          <w:rFonts w:ascii="Arial" w:hAnsi="Arial" w:cs="Arial"/>
          <w:color w:val="FF0000"/>
          <w:sz w:val="24"/>
          <w:szCs w:val="24"/>
          <w:lang w:val="en-US"/>
        </w:rPr>
      </w:pPr>
      <w:r w:rsidRPr="008A16EB">
        <w:rPr>
          <w:rFonts w:ascii="Arial" w:hAnsi="Arial" w:cs="Arial"/>
          <w:sz w:val="24"/>
          <w:szCs w:val="24"/>
          <w:lang w:val="en-US"/>
        </w:rPr>
        <w:lastRenderedPageBreak/>
        <w:t>On PND 90, animals underwent a single food-reinforced FR1 instrumental training session limited to 10 reinforcers in Med-Associates operant boxes. After this, an intravenous polyvinylchloride tubing (0.064 mm i.d.) catheter was implanted into the right jugular vein at approximately the level of the atrium and passed subcutaneously to exit the mid scapular region</w:t>
      </w:r>
      <w:r w:rsidR="00FF29D3">
        <w:rPr>
          <w:rFonts w:ascii="Arial" w:hAnsi="Arial" w:cs="Arial"/>
          <w:sz w:val="24"/>
          <w:szCs w:val="24"/>
          <w:lang w:val="en-US"/>
        </w:rPr>
        <w:t xml:space="preserve"> </w:t>
      </w:r>
      <w:r w:rsidRPr="008A16EB">
        <w:rPr>
          <w:rFonts w:ascii="Arial" w:hAnsi="Arial" w:cs="Arial"/>
          <w:sz w:val="24"/>
          <w:szCs w:val="24"/>
          <w:lang w:val="en-US"/>
        </w:rPr>
        <w:fldChar w:fldCharType="begin" w:fldLock="1"/>
      </w:r>
      <w:r w:rsidR="0098460B">
        <w:rPr>
          <w:rFonts w:ascii="Arial" w:hAnsi="Arial" w:cs="Arial"/>
          <w:sz w:val="24"/>
          <w:szCs w:val="24"/>
          <w:lang w:val="en-US"/>
        </w:rPr>
        <w:instrText>ADDIN CSL_CITATION {"citationItems":[{"id":"ITEM-1","itemData":{"DOI":"10.1038/sj.npp.1301467","ISSN":"0893133X","abstract":"Marijuana consumption during adolescence has been proposed to be a stepping-stone for adult cocaine addiction. However, experimental evidence for this hypothesis is missing. In this work we chronically injected male and female Wistar rats with either the cannabinoid agonist CP 55,940 (CP; 0.4 mg/kg) or its corresponding vehicle. Adult acquisition (seven 30 min daily sessions) and maintenance (fourteen 2 h daily sessions) of cocaine self-administration (1 mg/kg), food-reinforced operant learning under conditions of normal (ad libitum access to food), and high motivation (food-restriction schedule) were measured. Additionally, brain metabolic activity was analyzed by means of [  18 F]-fluorodeoxyglucose positron emission tomography. During the acquisition phase, female CP-treated rats showed a higher rate of cocaine self-administration as compared to vehicle-treated females and males; no differences were found between both male groups. This effect disappeared in the maintenance phase. Moreover, no differences among groups were evident in the food-reinforced operant task, pointing to the cocaine-specific nature of the effect seen in self-administration rather than a general change in reward processing. Basal brain metabolic activity also changed in CP-treated females when compared to their vehicle-treated counterparts with no differences being found in the males; more specifically we observed a hyper activation of the frontal cortex and a hypo activation of the amygdalo-entorhinal cortex. Our results suggest that a chronic exposure to cannabinoids during adolescence alters the susceptibility to acquire cocaine self-administration, in a sex-specific fashion. This increased susceptibility could be related to the changes in brain metabolic activity induced by cannabinoids during adolescence. © 2008 Nature Publishing Group All rights reserved.","author":[{"dropping-particle":"","family":"Higuera-Matas","given":"A.","non-dropping-particle":"","parse-names":false,"suffix":""},{"dropping-particle":"","family":"Luisa Soto-Montenegro","given":"M.","non-dropping-particle":"","parse-names":false,"suffix":""},{"dropping-particle":"","family":"Olmo","given":"N.","non-dropping-particle":"Del","parse-names":false,"suffix":""},{"dropping-particle":"","family":"Miguéns","given":"M.","non-dropping-particle":"","parse-names":false,"suffix":""},{"dropping-particle":"","family":"Torres","given":"I.","non-dropping-particle":"","parse-names":false,"suffix":""},{"dropping-particle":"","family":"José Vaquero","given":"J.","non-dropping-particle":"","parse-names":false,"suffix":""},{"dropping-particle":"","family":"Sánchez","given":"J.","non-dropping-particle":"","parse-names":false,"suffix":""},{"dropping-particle":"","family":"García-Lecumberri","given":"C.","non-dropping-particle":"","parse-names":false,"suffix":""},{"dropping-particle":"","family":"Desco","given":"M.","non-dropping-particle":"","parse-names":false,"suffix":""},{"dropping-particle":"","family":"Ambrosio","given":"E.","non-dropping-particle":"","parse-names":false,"suffix":""}],"container-title":"Neuropsychopharmacology","id":"ITEM-1","issue":"4","issued":{"date-parts":[["2008"]]},"title":"Augmented acquisition of cocaine self-administration and altered brain glucose metabolism in adult female but not male rats exposed to a cannabinoid agonist during adolescence","type":"article-journal","volume":"33"},"uris":["http://www.mendeley.com/documents/?uuid=312e117a-867f-3c24-9639-b985694365ce","http://www.mendeley.com/documents/?uuid=7734e863-43ce-4a45-8394-81290c90c723","http://www.mendeley.com/documents/?uuid=5b5b7e33-82bb-40e1-b2cd-1e982400ec9f"]}],"mendeley":{"formattedCitation":"(Higuera-Matas et al., 2008)","plainTextFormattedCitation":"(Higuera-Matas et al., 2008)","previouslyFormattedCitation":"(Higuera-Matas et al., 2008)"},"properties":{"noteIndex":0},"schema":"https://github.com/citation-style-language/schema/raw/master/csl-citation.json"}</w:instrText>
      </w:r>
      <w:r w:rsidRPr="008A16EB">
        <w:rPr>
          <w:rFonts w:ascii="Arial" w:hAnsi="Arial" w:cs="Arial"/>
          <w:sz w:val="24"/>
          <w:szCs w:val="24"/>
          <w:lang w:val="en-US"/>
        </w:rPr>
        <w:fldChar w:fldCharType="separate"/>
      </w:r>
      <w:r w:rsidR="00EE42DD" w:rsidRPr="00EE42DD">
        <w:rPr>
          <w:rFonts w:ascii="Arial" w:hAnsi="Arial" w:cs="Arial"/>
          <w:noProof/>
          <w:sz w:val="24"/>
          <w:szCs w:val="24"/>
          <w:lang w:val="en-US"/>
        </w:rPr>
        <w:t>(Higuera-Matas et al., 2008)</w:t>
      </w:r>
      <w:r w:rsidRPr="008A16EB">
        <w:rPr>
          <w:rFonts w:ascii="Arial" w:hAnsi="Arial" w:cs="Arial"/>
          <w:sz w:val="24"/>
          <w:szCs w:val="24"/>
          <w:lang w:val="en-US"/>
        </w:rPr>
        <w:fldChar w:fldCharType="end"/>
      </w:r>
      <w:r w:rsidRPr="008A16EB">
        <w:rPr>
          <w:rFonts w:ascii="Arial" w:hAnsi="Arial" w:cs="Arial"/>
          <w:sz w:val="24"/>
          <w:szCs w:val="24"/>
          <w:lang w:val="en-US"/>
        </w:rPr>
        <w:t>. Surgical procedures were performed under isoflurane gas anesthesia (5% for induction and 2% for maintenance) and buprenorphine analgesia (0.05 mg/kg s.c. Buprex, Indivior, U.K.). After surgery, the rats were allowed to recover for 8-10 days and a nonsteroidal anti-inflammatory drug (meloxicam - Metacam™: 15 drops of a 1.5 g/ml solution per 500 ml of water) was added to the drinking water during the first four days of recovery. Until the end of the self-administration procedure, the catheters were flushed daily with a sterile saline solution containing sodium heparin (100 IU/ml) and gentamicin (1 mg/ml) to maintain catheter patency and prevent infections.</w:t>
      </w:r>
    </w:p>
    <w:p w14:paraId="2F2AEEA6" w14:textId="4C2A879C" w:rsidR="00DC531D" w:rsidRPr="008A16EB" w:rsidRDefault="00DC531D" w:rsidP="008A16EB">
      <w:pPr>
        <w:spacing w:line="360" w:lineRule="auto"/>
        <w:ind w:firstLine="708"/>
        <w:jc w:val="both"/>
        <w:rPr>
          <w:rFonts w:ascii="Arial" w:hAnsi="Arial" w:cs="Arial"/>
          <w:sz w:val="24"/>
          <w:szCs w:val="24"/>
          <w:lang w:val="en-US"/>
        </w:rPr>
      </w:pPr>
      <w:r w:rsidRPr="008A16EB">
        <w:rPr>
          <w:rFonts w:ascii="Arial" w:hAnsi="Arial" w:cs="Arial"/>
          <w:sz w:val="24"/>
          <w:szCs w:val="24"/>
          <w:lang w:val="en-US"/>
        </w:rPr>
        <w:t>The cocaine self-administration</w:t>
      </w:r>
      <w:r w:rsidR="00E16CCE">
        <w:rPr>
          <w:rFonts w:ascii="Arial" w:hAnsi="Arial" w:cs="Arial"/>
          <w:sz w:val="24"/>
          <w:szCs w:val="24"/>
          <w:lang w:val="en-US"/>
        </w:rPr>
        <w:t xml:space="preserve"> (CSA)</w:t>
      </w:r>
      <w:r w:rsidRPr="008A16EB">
        <w:rPr>
          <w:rFonts w:ascii="Arial" w:hAnsi="Arial" w:cs="Arial"/>
          <w:sz w:val="24"/>
          <w:szCs w:val="24"/>
          <w:lang w:val="en-US"/>
        </w:rPr>
        <w:t xml:space="preserve"> protocol was carried out in Coulbourn boxes (thus providing a different context to the one where the initial instrumental training took place). An active lever (AL) with different programmed contingencies and an inactive lever (IL) that always remained without programmed contingencies remained protracted during all the sessions. Over the AL there was a cue light that was turned on at the beginning of the session and turned off for 10 s (time out) at the beginning of an infusion (that lasted for 7 s), thus indicating cocaine availability. Cocaine (Alcaliber, Spain) infusions (0.5 mg/kg in 100 µL of sterile saline solution) were administered by an electronic pump (Harvard Apparatus, USA). Lever presses during time out (TOLP) did not have any programmed contingencies. The protocol consisted of 6 consecutive phases: (1) acquisition:12 daily sessions lasting 2 hours each under a</w:t>
      </w:r>
      <w:r w:rsidR="000E397A">
        <w:rPr>
          <w:rFonts w:ascii="Arial" w:hAnsi="Arial" w:cs="Arial"/>
          <w:sz w:val="24"/>
          <w:szCs w:val="24"/>
          <w:lang w:val="en-US"/>
        </w:rPr>
        <w:t>n</w:t>
      </w:r>
      <w:r w:rsidRPr="008A16EB">
        <w:rPr>
          <w:rFonts w:ascii="Arial" w:hAnsi="Arial" w:cs="Arial"/>
          <w:sz w:val="24"/>
          <w:szCs w:val="24"/>
          <w:lang w:val="en-US"/>
        </w:rPr>
        <w:t xml:space="preserve"> FR1 schedule</w:t>
      </w:r>
      <w:r w:rsidR="002D1528">
        <w:rPr>
          <w:rFonts w:ascii="Arial" w:hAnsi="Arial" w:cs="Arial"/>
          <w:sz w:val="24"/>
          <w:szCs w:val="24"/>
          <w:lang w:val="en-US"/>
        </w:rPr>
        <w:t xml:space="preserve">. </w:t>
      </w:r>
      <w:r w:rsidRPr="008A16EB">
        <w:rPr>
          <w:rFonts w:ascii="Arial" w:hAnsi="Arial" w:cs="Arial"/>
          <w:sz w:val="24"/>
          <w:szCs w:val="24"/>
          <w:lang w:val="en-US"/>
        </w:rPr>
        <w:t xml:space="preserve">(2) </w:t>
      </w:r>
      <w:bookmarkStart w:id="10" w:name="_Hlk11251379"/>
      <w:r w:rsidRPr="008A16EB">
        <w:rPr>
          <w:rFonts w:ascii="Arial" w:hAnsi="Arial" w:cs="Arial"/>
          <w:sz w:val="24"/>
          <w:szCs w:val="24"/>
          <w:lang w:val="en-US"/>
        </w:rPr>
        <w:t>motivation for consumption</w:t>
      </w:r>
      <w:bookmarkEnd w:id="10"/>
      <w:r w:rsidRPr="008A16EB">
        <w:rPr>
          <w:rFonts w:ascii="Arial" w:hAnsi="Arial" w:cs="Arial"/>
          <w:sz w:val="24"/>
          <w:szCs w:val="24"/>
          <w:lang w:val="en-US"/>
        </w:rPr>
        <w:t>: 6 sessions of 2 hours under a progressive ratio (PR) schedule</w:t>
      </w:r>
      <w:r w:rsidRPr="008A16EB">
        <w:rPr>
          <w:rFonts w:ascii="Arial" w:hAnsi="Arial" w:cs="Arial"/>
          <w:sz w:val="24"/>
          <w:szCs w:val="24"/>
          <w:lang w:val="en-US"/>
        </w:rPr>
        <w:fldChar w:fldCharType="begin" w:fldLock="1"/>
      </w:r>
      <w:r w:rsidR="0098460B">
        <w:rPr>
          <w:rFonts w:ascii="Arial" w:hAnsi="Arial" w:cs="Arial"/>
          <w:sz w:val="24"/>
          <w:szCs w:val="24"/>
          <w:lang w:val="en-US"/>
        </w:rPr>
        <w:instrText>ADDIN CSL_CITATION {"citationItems":[{"id":"ITEM-1","itemData":{"DOI":"10.1016/j.neuropharm.2006.10.011","ISSN":"0028-3908","PMID":"17161852","abstract":"Lewis (LEW) and Fischer 344 (F344) rats show differential morphine self-administration rates. In this study, after animals of both strains self-administered morphine (1mg/kg) or extinguished this behaviour for 3, 7 or 15days, we measured the binding to, and functional state of mu opioid receptors (MORs) as well as proenkephalin (PENK) mRNA content in several brain regions. The results showed that in most brain areas: 1) LEW rats had less binding to MORs in basal conditions than F344 rats; 2) after morphine self-administration, either one of the strains or both (depending on the brain area) showed increased levels of binding to MORs as compared to basal groups; and 3) these binding levels in morphine self-administration animals came down in each extinction group. Moreover, F344 rats exhibited, in general, an increased functionality of MORs after morphine self-administration, as compared to basal groups, which also went down during extinction. Finally, the basal content of PENK mRNA was lower in LEW rats than in F344 rats and it decreased more after self-administration; during extinction, the levels of PENK mRNA got normalized in this strain. This differential modulation of the endogenous opioid system might be related to the different rates of morphine self-administration behavior exhibited by both inbred rat strains.","author":[{"dropping-particle":"","family":"Sánchez-Cardoso","given":"Pilar","non-dropping-particle":"","parse-names":false,"suffix":""},{"dropping-particle":"","family":"Higuera-Matas","given":"Alejandro","non-dropping-particle":"","parse-names":false,"suffix":""},{"dropping-particle":"","family":"Martín","given":"Sonsoles","non-dropping-particle":"","parse-names":false,"suffix":""},{"dropping-particle":"","family":"Olmo","given":"Nuria","non-dropping-particle":"del","parse-names":false,"suffix":""},{"dropping-particle":"","family":"Miguéns","given":"Miguel","non-dropping-particle":"","parse-names":false,"suffix":""},{"dropping-particle":"","family":"García-Lecumberri","given":"Carmen","non-dropping-particle":"","parse-names":false,"suffix":""},{"dropping-particle":"","family":"Ambrosio","given":"Emilio","non-dropping-particle":"","parse-names":false,"suffix":""}],"container-title":"Neuropharmacology","id":"ITEM-1","issue":"3","issued":{"date-parts":[["2007","3"]]},"page":"931-948","title":"Modulation of the endogenous opioid system after morphine self-administration and during its extinction: a study in Lewis and Fischer 344 rats.","type":"article-journal","volume":"52"},"uris":["http://www.mendeley.com/documents/?uuid=f97da279-760d-4f0b-87a0-1c9f0f6901d4"]}],"mendeley":{"formattedCitation":"(Sánchez-Cardoso et al., 2007)","plainTextFormattedCitation":"(Sánchez-Cardoso et al., 2007)","previouslyFormattedCitation":"(Sánchez-Cardoso et al., 2007)"},"properties":{"noteIndex":0},"schema":"https://github.com/citation-style-language/schema/raw/master/csl-citation.json"}</w:instrText>
      </w:r>
      <w:r w:rsidRPr="008A16EB">
        <w:rPr>
          <w:rFonts w:ascii="Arial" w:hAnsi="Arial" w:cs="Arial"/>
          <w:sz w:val="24"/>
          <w:szCs w:val="24"/>
          <w:lang w:val="en-US"/>
        </w:rPr>
        <w:fldChar w:fldCharType="separate"/>
      </w:r>
      <w:r w:rsidR="00EE42DD" w:rsidRPr="00EE42DD">
        <w:rPr>
          <w:rFonts w:ascii="Arial" w:hAnsi="Arial" w:cs="Arial"/>
          <w:noProof/>
          <w:sz w:val="24"/>
          <w:szCs w:val="24"/>
          <w:lang w:val="en-US"/>
        </w:rPr>
        <w:t>(Sánchez-Cardoso et al., 2007)</w:t>
      </w:r>
      <w:r w:rsidRPr="008A16EB">
        <w:rPr>
          <w:rFonts w:ascii="Arial" w:hAnsi="Arial" w:cs="Arial"/>
          <w:sz w:val="24"/>
          <w:szCs w:val="24"/>
          <w:lang w:val="en-US"/>
        </w:rPr>
        <w:fldChar w:fldCharType="end"/>
      </w:r>
      <w:r w:rsidRPr="008A16EB">
        <w:rPr>
          <w:rFonts w:ascii="Arial" w:hAnsi="Arial" w:cs="Arial"/>
          <w:sz w:val="24"/>
          <w:szCs w:val="24"/>
          <w:lang w:val="en-US"/>
        </w:rPr>
        <w:t>; (3) reacquisition: 3 sessions of 2 hours under FR1</w:t>
      </w:r>
      <w:r w:rsidR="002D1528">
        <w:rPr>
          <w:rFonts w:ascii="Arial" w:hAnsi="Arial" w:cs="Arial"/>
          <w:sz w:val="24"/>
          <w:szCs w:val="24"/>
          <w:lang w:val="en-US"/>
        </w:rPr>
        <w:t>.</w:t>
      </w:r>
      <w:r w:rsidRPr="008A16EB">
        <w:rPr>
          <w:rFonts w:ascii="Arial" w:hAnsi="Arial" w:cs="Arial"/>
          <w:sz w:val="24"/>
          <w:szCs w:val="24"/>
          <w:lang w:val="en-US"/>
        </w:rPr>
        <w:t xml:space="preserve"> (4) </w:t>
      </w:r>
      <w:bookmarkStart w:id="11" w:name="_Hlk11251396"/>
      <w:r w:rsidRPr="008A16EB">
        <w:rPr>
          <w:rFonts w:ascii="Arial" w:hAnsi="Arial" w:cs="Arial"/>
          <w:sz w:val="24"/>
          <w:szCs w:val="24"/>
          <w:lang w:val="en-US"/>
        </w:rPr>
        <w:t xml:space="preserve">compulsive (punished) seeking: </w:t>
      </w:r>
      <w:bookmarkEnd w:id="11"/>
      <w:r w:rsidRPr="008A16EB">
        <w:rPr>
          <w:rFonts w:ascii="Arial" w:hAnsi="Arial" w:cs="Arial"/>
          <w:sz w:val="24"/>
          <w:szCs w:val="24"/>
          <w:lang w:val="en-US"/>
        </w:rPr>
        <w:t>a single 1-hour session under a</w:t>
      </w:r>
      <w:r w:rsidR="000E397A">
        <w:rPr>
          <w:rFonts w:ascii="Arial" w:hAnsi="Arial" w:cs="Arial"/>
          <w:sz w:val="24"/>
          <w:szCs w:val="24"/>
          <w:lang w:val="en-US"/>
        </w:rPr>
        <w:t>n</w:t>
      </w:r>
      <w:r w:rsidRPr="008A16EB">
        <w:rPr>
          <w:rFonts w:ascii="Arial" w:hAnsi="Arial" w:cs="Arial"/>
          <w:sz w:val="24"/>
          <w:szCs w:val="24"/>
          <w:lang w:val="en-US"/>
        </w:rPr>
        <w:t xml:space="preserve"> FR3 schedule in which the animal randomly received an infusion or a 0.5 mA plant shock for 0.5 s. (5) extended access: 10 sessions of 6 hours each under FR1</w:t>
      </w:r>
      <w:r w:rsidR="002D1528">
        <w:rPr>
          <w:rFonts w:ascii="Arial" w:hAnsi="Arial" w:cs="Arial"/>
          <w:sz w:val="24"/>
          <w:szCs w:val="24"/>
          <w:lang w:val="en-US"/>
        </w:rPr>
        <w:t>.</w:t>
      </w:r>
      <w:r w:rsidRPr="008A16EB">
        <w:rPr>
          <w:rFonts w:ascii="Arial" w:hAnsi="Arial" w:cs="Arial"/>
          <w:sz w:val="24"/>
          <w:szCs w:val="24"/>
          <w:lang w:val="en-US"/>
        </w:rPr>
        <w:t xml:space="preserve"> (6) cue-induced relapse: 4 sessions of 1 hour each with </w:t>
      </w:r>
      <w:r w:rsidRPr="008A16EB">
        <w:rPr>
          <w:rFonts w:ascii="Arial" w:hAnsi="Arial" w:cs="Arial"/>
          <w:sz w:val="24"/>
          <w:szCs w:val="24"/>
          <w:lang w:val="en-US"/>
        </w:rPr>
        <w:lastRenderedPageBreak/>
        <w:t xml:space="preserve">cues as in the acquisition sessions but without drug delivery, occurring after 1, 30, 60 and 100 days of forced abstinence. </w:t>
      </w:r>
    </w:p>
    <w:p w14:paraId="2B9D990B" w14:textId="7422D25D" w:rsidR="001A6851" w:rsidRPr="008A16EB" w:rsidRDefault="00DC531D" w:rsidP="0083088B">
      <w:pPr>
        <w:spacing w:line="360" w:lineRule="auto"/>
        <w:ind w:firstLine="708"/>
        <w:jc w:val="both"/>
        <w:rPr>
          <w:rFonts w:ascii="Arial" w:hAnsi="Arial" w:cs="Arial"/>
          <w:sz w:val="24"/>
          <w:szCs w:val="24"/>
          <w:lang w:val="en-US"/>
        </w:rPr>
      </w:pPr>
      <w:r w:rsidRPr="008A16EB">
        <w:rPr>
          <w:rFonts w:ascii="Arial" w:hAnsi="Arial" w:cs="Arial"/>
          <w:sz w:val="24"/>
          <w:szCs w:val="24"/>
          <w:lang w:val="en-US"/>
        </w:rPr>
        <w:t xml:space="preserve">In the acquisition, reacquisition and extended access phases, </w:t>
      </w:r>
      <w:r w:rsidR="000E397A">
        <w:rPr>
          <w:rFonts w:ascii="Arial" w:hAnsi="Arial" w:cs="Arial"/>
          <w:sz w:val="24"/>
          <w:szCs w:val="24"/>
          <w:lang w:val="en-US"/>
        </w:rPr>
        <w:t xml:space="preserve">the </w:t>
      </w:r>
      <w:r w:rsidRPr="008A16EB">
        <w:rPr>
          <w:rFonts w:ascii="Arial" w:hAnsi="Arial" w:cs="Arial"/>
          <w:sz w:val="24"/>
          <w:szCs w:val="24"/>
          <w:lang w:val="en-US"/>
        </w:rPr>
        <w:t xml:space="preserve">main measurements were AL presses (ALP), TOLP, and IL presses (ILP). </w:t>
      </w:r>
      <w:r w:rsidR="002D1528">
        <w:rPr>
          <w:rFonts w:ascii="Arial" w:hAnsi="Arial" w:cs="Arial"/>
          <w:sz w:val="24"/>
          <w:szCs w:val="24"/>
          <w:lang w:val="en-US"/>
        </w:rPr>
        <w:t xml:space="preserve">During PR sessions </w:t>
      </w:r>
      <w:r w:rsidR="004E0D4A" w:rsidRPr="008A16EB">
        <w:rPr>
          <w:rFonts w:ascii="Arial" w:hAnsi="Arial" w:cs="Arial"/>
          <w:sz w:val="24"/>
          <w:szCs w:val="24"/>
          <w:lang w:val="en-US"/>
        </w:rPr>
        <w:t>we also registered the breaking point</w:t>
      </w:r>
      <w:r w:rsidR="002D1528">
        <w:rPr>
          <w:rFonts w:ascii="Arial" w:hAnsi="Arial" w:cs="Arial"/>
          <w:sz w:val="24"/>
          <w:szCs w:val="24"/>
          <w:lang w:val="en-US"/>
        </w:rPr>
        <w:t>.</w:t>
      </w:r>
      <w:r w:rsidR="002D1528" w:rsidRPr="002D1528">
        <w:rPr>
          <w:rFonts w:ascii="Arial" w:hAnsi="Arial" w:cs="Arial"/>
          <w:sz w:val="24"/>
          <w:szCs w:val="24"/>
          <w:lang w:val="en-US"/>
        </w:rPr>
        <w:t xml:space="preserve"> </w:t>
      </w:r>
      <w:r w:rsidR="002D1528">
        <w:rPr>
          <w:rFonts w:ascii="Arial" w:hAnsi="Arial" w:cs="Arial"/>
          <w:sz w:val="24"/>
          <w:szCs w:val="24"/>
          <w:lang w:val="en-US"/>
        </w:rPr>
        <w:t xml:space="preserve">The number of ALP required to achieve an infusion followed the order: </w:t>
      </w:r>
      <w:r w:rsidR="002D1528" w:rsidRPr="004E0D4A">
        <w:rPr>
          <w:rFonts w:ascii="Arial" w:hAnsi="Arial" w:cs="Arial"/>
          <w:sz w:val="24"/>
          <w:szCs w:val="24"/>
          <w:lang w:val="en-US"/>
        </w:rPr>
        <w:t>1, 2, 4, 9, 12, 15, 20, 25, 32, 40, 50, 62, 77, 95, 118, 145,</w:t>
      </w:r>
      <w:r w:rsidR="002D1528">
        <w:rPr>
          <w:rFonts w:ascii="Arial" w:hAnsi="Arial" w:cs="Arial"/>
          <w:sz w:val="24"/>
          <w:szCs w:val="24"/>
          <w:lang w:val="en-US"/>
        </w:rPr>
        <w:t xml:space="preserve"> </w:t>
      </w:r>
      <w:r w:rsidR="002D1528" w:rsidRPr="004E0D4A">
        <w:rPr>
          <w:rFonts w:ascii="Arial" w:hAnsi="Arial" w:cs="Arial"/>
          <w:sz w:val="24"/>
          <w:szCs w:val="24"/>
          <w:lang w:val="en-US"/>
        </w:rPr>
        <w:t>178, 219</w:t>
      </w:r>
      <w:r w:rsidR="002D1528">
        <w:rPr>
          <w:rFonts w:ascii="Arial" w:hAnsi="Arial" w:cs="Arial"/>
          <w:sz w:val="24"/>
          <w:szCs w:val="24"/>
          <w:lang w:val="en-US"/>
        </w:rPr>
        <w:t>,</w:t>
      </w:r>
      <w:r w:rsidR="002D1528" w:rsidRPr="004E0D4A">
        <w:rPr>
          <w:rFonts w:ascii="Arial" w:hAnsi="Arial" w:cs="Arial"/>
          <w:sz w:val="24"/>
          <w:szCs w:val="24"/>
          <w:lang w:val="en-US"/>
        </w:rPr>
        <w:t xml:space="preserve"> 328, 402, 492, 603, 737, 901, 1102, 1347, 1647, 2012</w:t>
      </w:r>
      <w:r w:rsidR="004E0D4A">
        <w:rPr>
          <w:rFonts w:ascii="Arial" w:hAnsi="Arial" w:cs="Arial"/>
          <w:sz w:val="24"/>
          <w:szCs w:val="24"/>
          <w:lang w:val="en-US"/>
        </w:rPr>
        <w:t xml:space="preserve">. </w:t>
      </w:r>
      <w:r w:rsidR="002D1528" w:rsidRPr="002D1528">
        <w:rPr>
          <w:rFonts w:ascii="Arial" w:hAnsi="Arial" w:cs="Arial"/>
          <w:sz w:val="24"/>
          <w:szCs w:val="24"/>
          <w:lang w:val="en-US"/>
        </w:rPr>
        <w:t>After PR sessions animals underwent three re-baseline sessions</w:t>
      </w:r>
      <w:r w:rsidR="002D1528">
        <w:rPr>
          <w:rFonts w:ascii="Arial" w:hAnsi="Arial" w:cs="Arial"/>
          <w:sz w:val="24"/>
          <w:szCs w:val="24"/>
          <w:lang w:val="en-US"/>
        </w:rPr>
        <w:t xml:space="preserve"> and we calculated the </w:t>
      </w:r>
      <w:r w:rsidR="002D1528" w:rsidRPr="009213D9">
        <w:rPr>
          <w:rFonts w:ascii="Arial" w:hAnsi="Arial" w:cs="Arial"/>
          <w:sz w:val="24"/>
          <w:szCs w:val="24"/>
          <w:lang w:val="en-US"/>
        </w:rPr>
        <w:t>rebound</w:t>
      </w:r>
      <w:r w:rsidR="009213D9" w:rsidRPr="009213D9">
        <w:rPr>
          <w:rFonts w:ascii="Arial" w:hAnsi="Arial" w:cs="Arial"/>
          <w:sz w:val="24"/>
          <w:szCs w:val="24"/>
          <w:lang w:val="en-US"/>
        </w:rPr>
        <w:t xml:space="preserve"> </w:t>
      </w:r>
      <w:r w:rsidR="009213D9">
        <w:rPr>
          <w:rFonts w:ascii="Arial" w:hAnsi="Arial" w:cs="Arial"/>
          <w:sz w:val="24"/>
          <w:szCs w:val="24"/>
          <w:lang w:val="en-US"/>
        </w:rPr>
        <w:t xml:space="preserve">of cocaine intake as follows: </w:t>
      </w:r>
      <w:r w:rsidR="009213D9">
        <w:rPr>
          <w:rFonts w:ascii="Arial" w:hAnsi="Arial" w:cs="Arial"/>
          <w:color w:val="000000" w:themeColor="text1"/>
          <w:sz w:val="24"/>
          <w:szCs w:val="24"/>
          <w:lang w:val="en-US"/>
        </w:rPr>
        <w:t xml:space="preserve">[ </w:t>
      </w:r>
      <w:r w:rsidR="00DA595C" w:rsidRPr="002D1528">
        <w:rPr>
          <w:rFonts w:ascii="Arial" w:hAnsi="Arial" w:cs="Arial"/>
          <w:color w:val="000000" w:themeColor="text1"/>
          <w:sz w:val="24"/>
          <w:szCs w:val="24"/>
          <w:lang w:val="en-US"/>
        </w:rPr>
        <w:t>(Mean Infusions (10-12th) Acquisition Sessions)</w:t>
      </w:r>
      <w:r w:rsidR="009213D9">
        <w:rPr>
          <w:rFonts w:ascii="Arial" w:hAnsi="Arial" w:cs="Arial"/>
          <w:color w:val="000000" w:themeColor="text1"/>
          <w:sz w:val="24"/>
          <w:szCs w:val="24"/>
          <w:lang w:val="en-US"/>
        </w:rPr>
        <w:t xml:space="preserve"> </w:t>
      </w:r>
      <w:r w:rsidR="00DA595C" w:rsidRPr="002D1528">
        <w:rPr>
          <w:rFonts w:ascii="Arial" w:hAnsi="Arial" w:cs="Arial"/>
          <w:color w:val="000000" w:themeColor="text1"/>
          <w:sz w:val="24"/>
          <w:szCs w:val="24"/>
          <w:lang w:val="en-US"/>
        </w:rPr>
        <w:t>/</w:t>
      </w:r>
      <w:r w:rsidR="009213D9">
        <w:rPr>
          <w:rFonts w:ascii="Arial" w:hAnsi="Arial" w:cs="Arial"/>
          <w:color w:val="000000" w:themeColor="text1"/>
          <w:sz w:val="24"/>
          <w:szCs w:val="24"/>
          <w:lang w:val="en-US"/>
        </w:rPr>
        <w:t xml:space="preserve"> </w:t>
      </w:r>
      <w:r w:rsidR="00DA595C" w:rsidRPr="002D1528">
        <w:rPr>
          <w:rFonts w:ascii="Arial" w:hAnsi="Arial" w:cs="Arial"/>
          <w:color w:val="000000" w:themeColor="text1"/>
          <w:sz w:val="24"/>
          <w:szCs w:val="24"/>
          <w:lang w:val="en-US"/>
        </w:rPr>
        <w:t xml:space="preserve">(Mean Infusions Re-baseline </w:t>
      </w:r>
      <w:r w:rsidR="009213D9">
        <w:rPr>
          <w:rFonts w:ascii="Arial" w:hAnsi="Arial" w:cs="Arial"/>
          <w:color w:val="000000" w:themeColor="text1"/>
          <w:sz w:val="24"/>
          <w:szCs w:val="24"/>
          <w:lang w:val="en-US"/>
        </w:rPr>
        <w:t>s</w:t>
      </w:r>
      <w:r w:rsidR="009213D9" w:rsidRPr="002D1528">
        <w:rPr>
          <w:rFonts w:ascii="Arial" w:hAnsi="Arial" w:cs="Arial"/>
          <w:color w:val="000000" w:themeColor="text1"/>
          <w:sz w:val="24"/>
          <w:szCs w:val="24"/>
          <w:lang w:val="en-US"/>
        </w:rPr>
        <w:t>essions)</w:t>
      </w:r>
      <w:r w:rsidR="009213D9">
        <w:rPr>
          <w:rFonts w:ascii="Arial" w:hAnsi="Arial" w:cs="Arial"/>
          <w:color w:val="000000" w:themeColor="text1"/>
          <w:sz w:val="24"/>
          <w:szCs w:val="24"/>
          <w:lang w:val="en-US"/>
        </w:rPr>
        <w:t xml:space="preserve"> *100]. </w:t>
      </w:r>
      <w:r w:rsidR="004E0D4A">
        <w:rPr>
          <w:rFonts w:ascii="Arial" w:hAnsi="Arial" w:cs="Arial"/>
          <w:sz w:val="24"/>
          <w:szCs w:val="24"/>
          <w:lang w:val="en-US"/>
        </w:rPr>
        <w:t>Additionally,</w:t>
      </w:r>
      <w:r w:rsidR="003450CE">
        <w:rPr>
          <w:rFonts w:ascii="Arial" w:hAnsi="Arial" w:cs="Arial"/>
          <w:sz w:val="24"/>
          <w:szCs w:val="24"/>
          <w:lang w:val="en-US"/>
        </w:rPr>
        <w:t xml:space="preserve"> we calculated </w:t>
      </w:r>
      <w:r w:rsidR="0083088B">
        <w:rPr>
          <w:rFonts w:ascii="Arial" w:hAnsi="Arial" w:cs="Arial"/>
          <w:sz w:val="24"/>
          <w:szCs w:val="24"/>
          <w:lang w:val="en-US"/>
        </w:rPr>
        <w:t>an</w:t>
      </w:r>
      <w:r w:rsidR="004E0D4A">
        <w:rPr>
          <w:rFonts w:ascii="Arial" w:hAnsi="Arial" w:cs="Arial"/>
          <w:sz w:val="24"/>
          <w:szCs w:val="24"/>
          <w:lang w:val="en-US"/>
        </w:rPr>
        <w:t xml:space="preserve"> unbiased index to assess the impact of punished intake </w:t>
      </w:r>
      <w:r w:rsidR="00255F08">
        <w:rPr>
          <w:rFonts w:ascii="Arial" w:hAnsi="Arial" w:cs="Arial"/>
          <w:sz w:val="24"/>
          <w:szCs w:val="24"/>
          <w:lang w:val="en-US"/>
        </w:rPr>
        <w:t>as follows</w:t>
      </w:r>
      <w:r w:rsidR="003450CE">
        <w:rPr>
          <w:rFonts w:ascii="Arial" w:hAnsi="Arial" w:cs="Arial"/>
          <w:sz w:val="24"/>
          <w:szCs w:val="24"/>
          <w:lang w:val="en-US"/>
        </w:rPr>
        <w:t>: [</w:t>
      </w:r>
      <w:r w:rsidR="0083088B">
        <w:rPr>
          <w:rFonts w:ascii="Arial" w:hAnsi="Arial" w:cs="Arial"/>
          <w:sz w:val="24"/>
          <w:szCs w:val="24"/>
          <w:lang w:val="en-US"/>
        </w:rPr>
        <w:t xml:space="preserve"> </w:t>
      </w:r>
      <w:r w:rsidR="003450CE" w:rsidRPr="003450CE">
        <w:rPr>
          <w:rFonts w:ascii="Arial" w:hAnsi="Arial" w:cs="Arial"/>
          <w:sz w:val="24"/>
          <w:szCs w:val="24"/>
          <w:lang w:val="en-US"/>
        </w:rPr>
        <w:t>(</w:t>
      </w:r>
      <w:r w:rsidR="0083088B" w:rsidRPr="003450CE">
        <w:rPr>
          <w:rFonts w:ascii="Arial" w:hAnsi="Arial" w:cs="Arial"/>
          <w:sz w:val="24"/>
          <w:szCs w:val="24"/>
          <w:lang w:val="en-US"/>
        </w:rPr>
        <w:t xml:space="preserve">infusions </w:t>
      </w:r>
      <w:r w:rsidR="0083088B">
        <w:rPr>
          <w:rFonts w:ascii="Arial" w:hAnsi="Arial" w:cs="Arial"/>
          <w:sz w:val="24"/>
          <w:szCs w:val="24"/>
          <w:lang w:val="en-US"/>
        </w:rPr>
        <w:t xml:space="preserve">+ </w:t>
      </w:r>
      <w:r w:rsidR="003450CE" w:rsidRPr="003450CE">
        <w:rPr>
          <w:rFonts w:ascii="Arial" w:hAnsi="Arial" w:cs="Arial"/>
          <w:sz w:val="24"/>
          <w:szCs w:val="24"/>
          <w:lang w:val="en-US"/>
        </w:rPr>
        <w:t>shocks)</w:t>
      </w:r>
      <w:r w:rsidR="0083088B">
        <w:rPr>
          <w:rFonts w:ascii="Arial" w:hAnsi="Arial" w:cs="Arial"/>
          <w:sz w:val="24"/>
          <w:szCs w:val="24"/>
          <w:lang w:val="en-US"/>
        </w:rPr>
        <w:t xml:space="preserve"> </w:t>
      </w:r>
      <w:r w:rsidR="003450CE" w:rsidRPr="003450CE">
        <w:rPr>
          <w:rFonts w:ascii="Arial" w:hAnsi="Arial" w:cs="Arial"/>
          <w:sz w:val="24"/>
          <w:szCs w:val="24"/>
          <w:lang w:val="en-US"/>
        </w:rPr>
        <w:t>/</w:t>
      </w:r>
      <w:r w:rsidR="003450CE">
        <w:rPr>
          <w:rFonts w:ascii="Arial" w:hAnsi="Arial" w:cs="Arial"/>
          <w:sz w:val="24"/>
          <w:szCs w:val="24"/>
          <w:lang w:val="en-US"/>
        </w:rPr>
        <w:t xml:space="preserve"> </w:t>
      </w:r>
      <w:r w:rsidR="009213D9">
        <w:rPr>
          <w:rFonts w:ascii="Arial" w:hAnsi="Arial" w:cs="Arial"/>
          <w:sz w:val="24"/>
          <w:szCs w:val="24"/>
          <w:lang w:val="en-US"/>
        </w:rPr>
        <w:t>(</w:t>
      </w:r>
      <w:r w:rsidR="003450CE" w:rsidRPr="003450CE">
        <w:rPr>
          <w:rFonts w:ascii="Arial" w:hAnsi="Arial" w:cs="Arial"/>
          <w:sz w:val="24"/>
          <w:szCs w:val="24"/>
          <w:lang w:val="en-US"/>
        </w:rPr>
        <w:t xml:space="preserve">Infusions in 1st hour of last </w:t>
      </w:r>
      <w:r w:rsidR="005C1F05">
        <w:rPr>
          <w:rFonts w:ascii="Arial" w:hAnsi="Arial" w:cs="Arial"/>
          <w:sz w:val="24"/>
          <w:szCs w:val="24"/>
          <w:lang w:val="en-US"/>
        </w:rPr>
        <w:t>re</w:t>
      </w:r>
      <w:r w:rsidR="0083088B">
        <w:rPr>
          <w:rFonts w:ascii="Arial" w:hAnsi="Arial" w:cs="Arial"/>
          <w:sz w:val="24"/>
          <w:szCs w:val="24"/>
          <w:lang w:val="en-US"/>
        </w:rPr>
        <w:t>-</w:t>
      </w:r>
      <w:r w:rsidR="005C1F05">
        <w:rPr>
          <w:rFonts w:ascii="Arial" w:hAnsi="Arial" w:cs="Arial"/>
          <w:sz w:val="24"/>
          <w:szCs w:val="24"/>
          <w:lang w:val="en-US"/>
        </w:rPr>
        <w:t>baseline</w:t>
      </w:r>
      <w:r w:rsidR="003450CE" w:rsidRPr="003450CE">
        <w:rPr>
          <w:rFonts w:ascii="Arial" w:hAnsi="Arial" w:cs="Arial"/>
          <w:sz w:val="24"/>
          <w:szCs w:val="24"/>
          <w:lang w:val="en-US"/>
        </w:rPr>
        <w:t xml:space="preserve"> </w:t>
      </w:r>
      <w:r w:rsidR="009213D9" w:rsidRPr="003450CE">
        <w:rPr>
          <w:rFonts w:ascii="Arial" w:hAnsi="Arial" w:cs="Arial"/>
          <w:sz w:val="24"/>
          <w:szCs w:val="24"/>
          <w:lang w:val="en-US"/>
        </w:rPr>
        <w:t>session</w:t>
      </w:r>
      <w:r w:rsidR="009213D9">
        <w:rPr>
          <w:rFonts w:ascii="Arial" w:hAnsi="Arial" w:cs="Arial"/>
          <w:sz w:val="24"/>
          <w:szCs w:val="24"/>
          <w:lang w:val="en-US"/>
        </w:rPr>
        <w:t>)</w:t>
      </w:r>
      <w:r w:rsidR="009213D9" w:rsidRPr="003450CE">
        <w:rPr>
          <w:rFonts w:ascii="Arial" w:hAnsi="Arial" w:cs="Arial"/>
          <w:sz w:val="24"/>
          <w:szCs w:val="24"/>
          <w:lang w:val="en-US"/>
        </w:rPr>
        <w:t xml:space="preserve"> *</w:t>
      </w:r>
      <w:r w:rsidR="003450CE" w:rsidRPr="003450CE">
        <w:rPr>
          <w:rFonts w:ascii="Arial" w:hAnsi="Arial" w:cs="Arial"/>
          <w:sz w:val="24"/>
          <w:szCs w:val="24"/>
          <w:lang w:val="en-US"/>
        </w:rPr>
        <w:t>100</w:t>
      </w:r>
      <w:r w:rsidR="009213D9">
        <w:rPr>
          <w:rFonts w:ascii="Arial" w:hAnsi="Arial" w:cs="Arial"/>
          <w:sz w:val="24"/>
          <w:szCs w:val="24"/>
          <w:lang w:val="en-US"/>
        </w:rPr>
        <w:t>]</w:t>
      </w:r>
    </w:p>
    <w:p w14:paraId="26F19D62" w14:textId="1C8BA933" w:rsidR="00E56134" w:rsidRPr="008A16EB" w:rsidRDefault="00E56134" w:rsidP="008A16EB">
      <w:pPr>
        <w:spacing w:line="360" w:lineRule="auto"/>
        <w:jc w:val="both"/>
        <w:rPr>
          <w:rFonts w:ascii="Arial" w:eastAsia="Arial Unicode MS" w:hAnsi="Arial" w:cs="Arial"/>
          <w:b/>
          <w:bCs/>
          <w:sz w:val="24"/>
          <w:szCs w:val="24"/>
          <w:lang w:val="en-GB"/>
        </w:rPr>
      </w:pPr>
      <w:r w:rsidRPr="008A16EB">
        <w:rPr>
          <w:rFonts w:ascii="Arial" w:eastAsia="Arial Unicode MS" w:hAnsi="Arial" w:cs="Arial"/>
          <w:b/>
          <w:bCs/>
          <w:sz w:val="24"/>
          <w:szCs w:val="24"/>
          <w:lang w:val="en-GB"/>
        </w:rPr>
        <w:t>SUPPLEMENTARY RESULTS</w:t>
      </w:r>
    </w:p>
    <w:p w14:paraId="4C34F7FF" w14:textId="2C8C8C5D" w:rsidR="00DF7BAC" w:rsidRPr="008A16EB" w:rsidRDefault="00DF7BAC" w:rsidP="008A16EB">
      <w:pPr>
        <w:spacing w:line="360" w:lineRule="auto"/>
        <w:jc w:val="both"/>
        <w:rPr>
          <w:rFonts w:ascii="Arial" w:eastAsia="Arial Unicode MS" w:hAnsi="Arial" w:cs="Arial"/>
          <w:b/>
          <w:bCs/>
          <w:sz w:val="24"/>
          <w:szCs w:val="24"/>
          <w:lang w:val="en-GB"/>
        </w:rPr>
      </w:pPr>
      <w:r w:rsidRPr="008A16EB">
        <w:rPr>
          <w:rFonts w:ascii="Arial" w:eastAsia="Arial Unicode MS" w:hAnsi="Arial" w:cs="Arial"/>
          <w:b/>
          <w:bCs/>
          <w:sz w:val="24"/>
          <w:szCs w:val="24"/>
          <w:lang w:val="en-GB"/>
        </w:rPr>
        <w:t>Bodyweight</w:t>
      </w:r>
    </w:p>
    <w:p w14:paraId="0C757866" w14:textId="6AFB1E52" w:rsidR="00E60939" w:rsidRPr="007D1C4D" w:rsidRDefault="00E723F4" w:rsidP="007D1C4D">
      <w:pPr>
        <w:spacing w:line="360" w:lineRule="auto"/>
        <w:ind w:firstLine="708"/>
        <w:jc w:val="both"/>
        <w:rPr>
          <w:rFonts w:ascii="Arial" w:eastAsia="Arial Unicode MS" w:hAnsi="Arial" w:cs="Arial"/>
          <w:sz w:val="24"/>
          <w:szCs w:val="24"/>
          <w:lang w:val="en-GB"/>
        </w:rPr>
      </w:pPr>
      <w:r w:rsidRPr="007D1C4D">
        <w:rPr>
          <w:rFonts w:ascii="Arial" w:eastAsia="Arial Unicode MS" w:hAnsi="Arial" w:cs="Arial"/>
          <w:sz w:val="24"/>
          <w:szCs w:val="24"/>
          <w:lang w:val="en-GB"/>
        </w:rPr>
        <w:t xml:space="preserve">As expected, females had lower body weight than males at the beginning of the </w:t>
      </w:r>
      <w:r w:rsidR="00E16CCE">
        <w:rPr>
          <w:rFonts w:ascii="Arial" w:eastAsia="Arial Unicode MS" w:hAnsi="Arial" w:cs="Arial"/>
          <w:sz w:val="24"/>
          <w:szCs w:val="24"/>
          <w:lang w:val="en-GB"/>
        </w:rPr>
        <w:t>ACE</w:t>
      </w:r>
      <w:r w:rsidR="00E16CCE" w:rsidRPr="007D1C4D">
        <w:rPr>
          <w:rFonts w:ascii="Arial" w:eastAsia="Arial Unicode MS" w:hAnsi="Arial" w:cs="Arial"/>
          <w:sz w:val="24"/>
          <w:szCs w:val="24"/>
          <w:lang w:val="en-GB"/>
        </w:rPr>
        <w:t xml:space="preserve"> </w:t>
      </w:r>
      <w:r w:rsidRPr="007D1C4D">
        <w:rPr>
          <w:rFonts w:ascii="Arial" w:eastAsia="Arial Unicode MS" w:hAnsi="Arial" w:cs="Arial"/>
          <w:sz w:val="24"/>
          <w:szCs w:val="24"/>
          <w:lang w:val="en-GB"/>
        </w:rPr>
        <w:t>(</w:t>
      </w:r>
      <w:r w:rsidR="00594098" w:rsidRPr="007D1C4D">
        <w:rPr>
          <w:rFonts w:ascii="Arial" w:eastAsia="Arial Unicode MS" w:hAnsi="Arial" w:cs="Arial"/>
          <w:sz w:val="24"/>
          <w:szCs w:val="24"/>
          <w:lang w:val="en-GB"/>
        </w:rPr>
        <w:t>F</w:t>
      </w:r>
      <w:r w:rsidR="00594098" w:rsidRPr="007D1C4D">
        <w:rPr>
          <w:rFonts w:ascii="Arial" w:eastAsia="Arial Unicode MS" w:hAnsi="Arial" w:cs="Arial"/>
          <w:sz w:val="24"/>
          <w:szCs w:val="24"/>
          <w:vertAlign w:val="subscript"/>
          <w:lang w:val="en-GB"/>
        </w:rPr>
        <w:t>1,297</w:t>
      </w:r>
      <w:r w:rsidR="00594098" w:rsidRPr="007D1C4D">
        <w:rPr>
          <w:rFonts w:ascii="Arial" w:eastAsia="Arial Unicode MS" w:hAnsi="Arial" w:cs="Arial"/>
          <w:sz w:val="24"/>
          <w:szCs w:val="24"/>
          <w:lang w:val="en-GB"/>
        </w:rPr>
        <w:t xml:space="preserve">=14.686; p&lt;0.000; </w:t>
      </w:r>
      <w:r w:rsidR="00594098" w:rsidRPr="007D1C4D">
        <w:rPr>
          <w:rFonts w:ascii="Arial" w:eastAsia="Times New Roman" w:hAnsi="Arial" w:cs="Arial"/>
          <w:sz w:val="24"/>
          <w:szCs w:val="24"/>
          <w:lang w:val="en-US" w:eastAsia="es-ES"/>
        </w:rPr>
        <w:t>η</w:t>
      </w:r>
      <w:r w:rsidR="00594098" w:rsidRPr="007D1C4D">
        <w:rPr>
          <w:rFonts w:ascii="Arial" w:eastAsia="Times New Roman" w:hAnsi="Arial" w:cs="Arial"/>
          <w:sz w:val="24"/>
          <w:szCs w:val="24"/>
          <w:vertAlign w:val="subscript"/>
          <w:lang w:val="en-US" w:eastAsia="es-ES"/>
        </w:rPr>
        <w:t>p</w:t>
      </w:r>
      <w:r w:rsidR="00594098" w:rsidRPr="007D1C4D">
        <w:rPr>
          <w:rFonts w:ascii="Arial" w:eastAsia="Times New Roman" w:hAnsi="Arial" w:cs="Arial"/>
          <w:sz w:val="24"/>
          <w:szCs w:val="24"/>
          <w:vertAlign w:val="superscript"/>
          <w:lang w:val="en-US" w:eastAsia="es-ES"/>
        </w:rPr>
        <w:t>2</w:t>
      </w:r>
      <w:r w:rsidR="00594098" w:rsidRPr="007D1C4D">
        <w:rPr>
          <w:rFonts w:ascii="Arial" w:eastAsia="Arial Unicode MS" w:hAnsi="Arial" w:cs="Arial"/>
          <w:sz w:val="24"/>
          <w:szCs w:val="24"/>
          <w:lang w:val="en-GB"/>
        </w:rPr>
        <w:t xml:space="preserve">=0.05; </w:t>
      </w:r>
      <w:r w:rsidRPr="007D1C4D">
        <w:rPr>
          <w:rFonts w:ascii="Arial" w:eastAsia="Arial Unicode MS" w:hAnsi="Arial" w:cs="Arial"/>
          <w:sz w:val="24"/>
          <w:szCs w:val="24"/>
          <w:lang w:val="en-GB"/>
        </w:rPr>
        <w:t>see Figure S1A). After the chronic treatment</w:t>
      </w:r>
      <w:r w:rsidR="00DF7BAC" w:rsidRPr="007D1C4D">
        <w:rPr>
          <w:rFonts w:ascii="Arial" w:eastAsia="Arial Unicode MS" w:hAnsi="Arial" w:cs="Arial"/>
          <w:sz w:val="24"/>
          <w:szCs w:val="24"/>
          <w:lang w:val="en-GB"/>
        </w:rPr>
        <w:t xml:space="preserve">, THC-exposed rats (irrespective of the sex) had a marginally lower body weight than </w:t>
      </w:r>
      <w:r w:rsidR="004C6D93">
        <w:rPr>
          <w:rFonts w:ascii="Arial" w:eastAsia="Arial Unicode MS" w:hAnsi="Arial" w:cs="Arial"/>
          <w:sz w:val="24"/>
          <w:szCs w:val="24"/>
          <w:lang w:val="en-GB"/>
        </w:rPr>
        <w:t>VEH</w:t>
      </w:r>
      <w:r w:rsidR="00DF7BAC" w:rsidRPr="007D1C4D">
        <w:rPr>
          <w:rFonts w:ascii="Arial" w:eastAsia="Arial Unicode MS" w:hAnsi="Arial" w:cs="Arial"/>
          <w:sz w:val="24"/>
          <w:szCs w:val="24"/>
          <w:lang w:val="en-GB"/>
        </w:rPr>
        <w:t>-exposed controls (</w:t>
      </w:r>
      <w:r w:rsidR="00594098" w:rsidRPr="007D1C4D">
        <w:rPr>
          <w:rFonts w:ascii="Arial" w:eastAsia="Arial Unicode MS" w:hAnsi="Arial" w:cs="Arial"/>
          <w:sz w:val="24"/>
          <w:szCs w:val="24"/>
          <w:lang w:val="en-GB"/>
        </w:rPr>
        <w:t>F</w:t>
      </w:r>
      <w:r w:rsidR="00594098" w:rsidRPr="007D1C4D">
        <w:rPr>
          <w:rFonts w:ascii="Arial" w:eastAsia="Arial Unicode MS" w:hAnsi="Arial" w:cs="Arial"/>
          <w:sz w:val="24"/>
          <w:szCs w:val="24"/>
          <w:vertAlign w:val="subscript"/>
          <w:lang w:val="en-GB"/>
        </w:rPr>
        <w:t>1,299</w:t>
      </w:r>
      <w:r w:rsidR="00594098" w:rsidRPr="007D1C4D">
        <w:rPr>
          <w:rFonts w:ascii="Arial" w:eastAsia="Arial Unicode MS" w:hAnsi="Arial" w:cs="Arial"/>
          <w:sz w:val="24"/>
          <w:szCs w:val="24"/>
          <w:lang w:val="en-GB"/>
        </w:rPr>
        <w:t>=20.162; p</w:t>
      </w:r>
      <w:r w:rsidR="007D1C4D" w:rsidRPr="007D1C4D">
        <w:rPr>
          <w:rFonts w:ascii="Arial" w:eastAsia="Arial Unicode MS" w:hAnsi="Arial" w:cs="Arial"/>
          <w:sz w:val="24"/>
          <w:szCs w:val="24"/>
          <w:lang w:val="en-GB"/>
        </w:rPr>
        <w:t>&lt;</w:t>
      </w:r>
      <w:r w:rsidR="00594098" w:rsidRPr="007D1C4D">
        <w:rPr>
          <w:rFonts w:ascii="Arial" w:eastAsia="Arial Unicode MS" w:hAnsi="Arial" w:cs="Arial"/>
          <w:sz w:val="24"/>
          <w:szCs w:val="24"/>
          <w:lang w:val="en-GB"/>
        </w:rPr>
        <w:t xml:space="preserve">0.000; </w:t>
      </w:r>
      <w:r w:rsidR="00594098" w:rsidRPr="007D1C4D">
        <w:rPr>
          <w:rFonts w:ascii="Arial" w:eastAsia="Times New Roman" w:hAnsi="Arial" w:cs="Arial"/>
          <w:sz w:val="24"/>
          <w:szCs w:val="24"/>
          <w:lang w:val="en-US" w:eastAsia="es-ES"/>
        </w:rPr>
        <w:t>η</w:t>
      </w:r>
      <w:r w:rsidR="00594098" w:rsidRPr="007D1C4D">
        <w:rPr>
          <w:rFonts w:ascii="Arial" w:eastAsia="Times New Roman" w:hAnsi="Arial" w:cs="Arial"/>
          <w:sz w:val="24"/>
          <w:szCs w:val="24"/>
          <w:vertAlign w:val="subscript"/>
          <w:lang w:val="en-US" w:eastAsia="es-ES"/>
        </w:rPr>
        <w:t>p</w:t>
      </w:r>
      <w:r w:rsidR="00594098" w:rsidRPr="007D1C4D">
        <w:rPr>
          <w:rFonts w:ascii="Arial" w:eastAsia="Times New Roman" w:hAnsi="Arial" w:cs="Arial"/>
          <w:sz w:val="24"/>
          <w:szCs w:val="24"/>
          <w:vertAlign w:val="superscript"/>
          <w:lang w:val="en-US" w:eastAsia="es-ES"/>
        </w:rPr>
        <w:t>2</w:t>
      </w:r>
      <w:r w:rsidR="00594098" w:rsidRPr="007D1C4D">
        <w:rPr>
          <w:rFonts w:ascii="Arial" w:eastAsia="Arial Unicode MS" w:hAnsi="Arial" w:cs="Arial"/>
          <w:sz w:val="24"/>
          <w:szCs w:val="24"/>
          <w:lang w:val="en-GB"/>
        </w:rPr>
        <w:t>=0.06</w:t>
      </w:r>
      <w:r w:rsidR="00DF7BAC" w:rsidRPr="007D1C4D">
        <w:rPr>
          <w:rFonts w:ascii="Arial" w:eastAsia="Arial Unicode MS" w:hAnsi="Arial" w:cs="Arial"/>
          <w:sz w:val="24"/>
          <w:szCs w:val="24"/>
          <w:lang w:val="en-GB"/>
        </w:rPr>
        <w:t>)</w:t>
      </w:r>
      <w:r w:rsidR="00594098" w:rsidRPr="007D1C4D">
        <w:rPr>
          <w:rFonts w:ascii="Arial" w:eastAsia="Arial Unicode MS" w:hAnsi="Arial" w:cs="Arial"/>
          <w:sz w:val="24"/>
          <w:szCs w:val="24"/>
          <w:lang w:val="en-GB"/>
        </w:rPr>
        <w:t>. The THC effect on body weight was still significant on PND90 (F</w:t>
      </w:r>
      <w:r w:rsidR="00594098" w:rsidRPr="007D1C4D">
        <w:rPr>
          <w:rFonts w:ascii="Arial" w:eastAsia="Arial Unicode MS" w:hAnsi="Arial" w:cs="Arial"/>
          <w:sz w:val="24"/>
          <w:szCs w:val="24"/>
          <w:vertAlign w:val="subscript"/>
          <w:lang w:val="en-GB"/>
        </w:rPr>
        <w:t>1,341</w:t>
      </w:r>
      <w:r w:rsidR="00594098" w:rsidRPr="007D1C4D">
        <w:rPr>
          <w:rFonts w:ascii="Arial" w:eastAsia="Arial Unicode MS" w:hAnsi="Arial" w:cs="Arial"/>
          <w:sz w:val="24"/>
          <w:szCs w:val="24"/>
          <w:lang w:val="en-GB"/>
        </w:rPr>
        <w:t xml:space="preserve">=8.344; p=0.004; </w:t>
      </w:r>
      <w:r w:rsidR="00594098" w:rsidRPr="007D1C4D">
        <w:rPr>
          <w:rFonts w:ascii="Arial" w:eastAsia="Times New Roman" w:hAnsi="Arial" w:cs="Arial"/>
          <w:sz w:val="24"/>
          <w:szCs w:val="24"/>
          <w:lang w:val="en-US" w:eastAsia="es-ES"/>
        </w:rPr>
        <w:t>η</w:t>
      </w:r>
      <w:r w:rsidR="00594098" w:rsidRPr="007D1C4D">
        <w:rPr>
          <w:rFonts w:ascii="Arial" w:eastAsia="Times New Roman" w:hAnsi="Arial" w:cs="Arial"/>
          <w:sz w:val="24"/>
          <w:szCs w:val="24"/>
          <w:vertAlign w:val="subscript"/>
          <w:lang w:val="en-US" w:eastAsia="es-ES"/>
        </w:rPr>
        <w:t>p</w:t>
      </w:r>
      <w:r w:rsidR="00594098" w:rsidRPr="007D1C4D">
        <w:rPr>
          <w:rFonts w:ascii="Arial" w:eastAsia="Times New Roman" w:hAnsi="Arial" w:cs="Arial"/>
          <w:sz w:val="24"/>
          <w:szCs w:val="24"/>
          <w:vertAlign w:val="superscript"/>
          <w:lang w:val="en-US" w:eastAsia="es-ES"/>
        </w:rPr>
        <w:t>2</w:t>
      </w:r>
      <w:r w:rsidR="00594098" w:rsidRPr="007D1C4D">
        <w:rPr>
          <w:rFonts w:ascii="Arial" w:eastAsia="Arial Unicode MS" w:hAnsi="Arial" w:cs="Arial"/>
          <w:sz w:val="24"/>
          <w:szCs w:val="24"/>
          <w:lang w:val="en-GB"/>
        </w:rPr>
        <w:t>=0.02)</w:t>
      </w:r>
      <w:r w:rsidR="007D1C4D" w:rsidRPr="007D1C4D">
        <w:rPr>
          <w:rFonts w:ascii="Arial" w:eastAsia="Arial Unicode MS" w:hAnsi="Arial" w:cs="Arial"/>
          <w:sz w:val="24"/>
          <w:szCs w:val="24"/>
          <w:lang w:val="en-GB"/>
        </w:rPr>
        <w:t xml:space="preserve"> (see Figure S1B). </w:t>
      </w:r>
      <w:r w:rsidR="00DF7BAC" w:rsidRPr="007D1C4D">
        <w:rPr>
          <w:rFonts w:ascii="Arial" w:eastAsia="Arial Unicode MS" w:hAnsi="Arial" w:cs="Arial"/>
          <w:sz w:val="24"/>
          <w:szCs w:val="24"/>
          <w:lang w:val="en-GB"/>
        </w:rPr>
        <w:t>The increment in bodyweight was lower during</w:t>
      </w:r>
      <w:r w:rsidR="005277CF">
        <w:rPr>
          <w:rFonts w:ascii="Arial" w:eastAsia="Arial Unicode MS" w:hAnsi="Arial" w:cs="Arial"/>
          <w:sz w:val="24"/>
          <w:szCs w:val="24"/>
          <w:lang w:val="en-GB"/>
        </w:rPr>
        <w:t xml:space="preserve"> </w:t>
      </w:r>
      <w:r w:rsidR="004C6D93">
        <w:rPr>
          <w:rFonts w:ascii="Arial" w:eastAsia="Arial Unicode MS" w:hAnsi="Arial" w:cs="Arial"/>
          <w:sz w:val="24"/>
          <w:szCs w:val="24"/>
          <w:lang w:val="en-GB"/>
        </w:rPr>
        <w:t>treatment</w:t>
      </w:r>
      <w:r w:rsidR="007D1C4D" w:rsidRPr="007D1C4D">
        <w:rPr>
          <w:rFonts w:ascii="Arial" w:eastAsia="Arial Unicode MS" w:hAnsi="Arial" w:cs="Arial"/>
          <w:sz w:val="24"/>
          <w:szCs w:val="24"/>
          <w:lang w:val="en-GB"/>
        </w:rPr>
        <w:t xml:space="preserve"> </w:t>
      </w:r>
      <w:r w:rsidR="00594098" w:rsidRPr="007D1C4D">
        <w:rPr>
          <w:rFonts w:ascii="Arial" w:eastAsia="Arial Unicode MS" w:hAnsi="Arial" w:cs="Arial"/>
          <w:sz w:val="24"/>
          <w:szCs w:val="24"/>
          <w:lang w:val="en-GB"/>
        </w:rPr>
        <w:t>(F</w:t>
      </w:r>
      <w:r w:rsidR="00594098" w:rsidRPr="007D1C4D">
        <w:rPr>
          <w:rFonts w:ascii="Arial" w:eastAsia="Arial Unicode MS" w:hAnsi="Arial" w:cs="Arial"/>
          <w:sz w:val="24"/>
          <w:szCs w:val="24"/>
          <w:vertAlign w:val="subscript"/>
          <w:lang w:val="en-GB"/>
        </w:rPr>
        <w:t>1,296</w:t>
      </w:r>
      <w:r w:rsidR="00594098" w:rsidRPr="007D1C4D">
        <w:rPr>
          <w:rFonts w:ascii="Arial" w:eastAsia="Arial Unicode MS" w:hAnsi="Arial" w:cs="Arial"/>
          <w:sz w:val="24"/>
          <w:szCs w:val="24"/>
          <w:lang w:val="en-GB"/>
        </w:rPr>
        <w:t>=451.228;</w:t>
      </w:r>
      <w:r w:rsidR="007D1C4D" w:rsidRPr="007D1C4D">
        <w:rPr>
          <w:rFonts w:ascii="Arial" w:eastAsia="Arial Unicode MS" w:hAnsi="Arial" w:cs="Arial"/>
          <w:sz w:val="24"/>
          <w:szCs w:val="24"/>
          <w:lang w:val="en-GB"/>
        </w:rPr>
        <w:t xml:space="preserve"> </w:t>
      </w:r>
      <w:r w:rsidR="00594098" w:rsidRPr="007D1C4D">
        <w:rPr>
          <w:rFonts w:ascii="Arial" w:eastAsia="Arial Unicode MS" w:hAnsi="Arial" w:cs="Arial"/>
          <w:sz w:val="24"/>
          <w:szCs w:val="24"/>
          <w:lang w:val="en-GB"/>
        </w:rPr>
        <w:t>p</w:t>
      </w:r>
      <w:r w:rsidR="007D1C4D" w:rsidRPr="007D1C4D">
        <w:rPr>
          <w:rFonts w:ascii="Arial" w:eastAsia="Arial Unicode MS" w:hAnsi="Arial" w:cs="Arial"/>
          <w:sz w:val="24"/>
          <w:szCs w:val="24"/>
          <w:lang w:val="en-GB"/>
        </w:rPr>
        <w:t>&lt;</w:t>
      </w:r>
      <w:r w:rsidR="00594098" w:rsidRPr="007D1C4D">
        <w:rPr>
          <w:rFonts w:ascii="Arial" w:eastAsia="Arial Unicode MS" w:hAnsi="Arial" w:cs="Arial"/>
          <w:sz w:val="24"/>
          <w:szCs w:val="24"/>
          <w:lang w:val="en-GB"/>
        </w:rPr>
        <w:t xml:space="preserve">0.000; </w:t>
      </w:r>
      <w:r w:rsidR="00594098" w:rsidRPr="007D1C4D">
        <w:rPr>
          <w:rFonts w:ascii="Arial" w:eastAsia="Times New Roman" w:hAnsi="Arial" w:cs="Arial"/>
          <w:sz w:val="24"/>
          <w:szCs w:val="24"/>
          <w:lang w:val="en-US" w:eastAsia="es-ES"/>
        </w:rPr>
        <w:t>η</w:t>
      </w:r>
      <w:r w:rsidR="00594098" w:rsidRPr="007D1C4D">
        <w:rPr>
          <w:rFonts w:ascii="Arial" w:eastAsia="Times New Roman" w:hAnsi="Arial" w:cs="Arial"/>
          <w:sz w:val="24"/>
          <w:szCs w:val="24"/>
          <w:vertAlign w:val="subscript"/>
          <w:lang w:val="en-US" w:eastAsia="es-ES"/>
        </w:rPr>
        <w:t>p</w:t>
      </w:r>
      <w:r w:rsidR="00594098" w:rsidRPr="007D1C4D">
        <w:rPr>
          <w:rFonts w:ascii="Arial" w:eastAsia="Times New Roman" w:hAnsi="Arial" w:cs="Arial"/>
          <w:sz w:val="24"/>
          <w:szCs w:val="24"/>
          <w:vertAlign w:val="superscript"/>
          <w:lang w:val="en-US" w:eastAsia="es-ES"/>
        </w:rPr>
        <w:t>2</w:t>
      </w:r>
      <w:r w:rsidR="00594098" w:rsidRPr="007D1C4D">
        <w:rPr>
          <w:rFonts w:ascii="Arial" w:eastAsia="Arial Unicode MS" w:hAnsi="Arial" w:cs="Arial"/>
          <w:sz w:val="24"/>
          <w:szCs w:val="24"/>
          <w:lang w:val="en-GB"/>
        </w:rPr>
        <w:t xml:space="preserve">=0.6) </w:t>
      </w:r>
      <w:r w:rsidR="00DF7BAC" w:rsidRPr="007D1C4D">
        <w:rPr>
          <w:rFonts w:ascii="Arial" w:eastAsia="Arial Unicode MS" w:hAnsi="Arial" w:cs="Arial"/>
          <w:sz w:val="24"/>
          <w:szCs w:val="24"/>
          <w:lang w:val="en-GB"/>
        </w:rPr>
        <w:t xml:space="preserve">and after the treatment in females as compared to males </w:t>
      </w:r>
      <w:r w:rsidR="00594098" w:rsidRPr="007D1C4D">
        <w:rPr>
          <w:rFonts w:ascii="Arial" w:eastAsia="Arial Unicode MS" w:hAnsi="Arial" w:cs="Arial"/>
          <w:sz w:val="24"/>
          <w:szCs w:val="24"/>
          <w:lang w:val="en-GB"/>
        </w:rPr>
        <w:t>(</w:t>
      </w:r>
      <w:r w:rsidR="007D1C4D" w:rsidRPr="007D1C4D">
        <w:rPr>
          <w:rFonts w:ascii="Arial" w:eastAsia="Arial Unicode MS" w:hAnsi="Arial" w:cs="Arial"/>
          <w:sz w:val="24"/>
          <w:szCs w:val="24"/>
          <w:lang w:val="en-GB"/>
        </w:rPr>
        <w:t>F</w:t>
      </w:r>
      <w:r w:rsidR="007D1C4D" w:rsidRPr="007D1C4D">
        <w:rPr>
          <w:rFonts w:ascii="Arial" w:eastAsia="Arial Unicode MS" w:hAnsi="Arial" w:cs="Arial"/>
          <w:sz w:val="24"/>
          <w:szCs w:val="24"/>
          <w:vertAlign w:val="subscript"/>
          <w:lang w:val="en-GB"/>
        </w:rPr>
        <w:t>1,294</w:t>
      </w:r>
      <w:r w:rsidR="007D1C4D" w:rsidRPr="007D1C4D">
        <w:rPr>
          <w:rFonts w:ascii="Arial" w:eastAsia="Arial Unicode MS" w:hAnsi="Arial" w:cs="Arial"/>
          <w:sz w:val="24"/>
          <w:szCs w:val="24"/>
          <w:lang w:val="en-GB"/>
        </w:rPr>
        <w:t xml:space="preserve">=362.205; </w:t>
      </w:r>
      <w:r w:rsidR="00594098" w:rsidRPr="007D1C4D">
        <w:rPr>
          <w:rFonts w:ascii="Arial" w:eastAsia="Arial Unicode MS" w:hAnsi="Arial" w:cs="Arial"/>
          <w:sz w:val="24"/>
          <w:szCs w:val="24"/>
          <w:lang w:val="en-GB"/>
        </w:rPr>
        <w:t>p</w:t>
      </w:r>
      <w:r w:rsidR="007D1C4D" w:rsidRPr="007D1C4D">
        <w:rPr>
          <w:rFonts w:ascii="Arial" w:eastAsia="Arial Unicode MS" w:hAnsi="Arial" w:cs="Arial"/>
          <w:sz w:val="24"/>
          <w:szCs w:val="24"/>
          <w:lang w:val="en-GB"/>
        </w:rPr>
        <w:t>&lt;0.000</w:t>
      </w:r>
      <w:r w:rsidR="00594098" w:rsidRPr="007D1C4D">
        <w:rPr>
          <w:rFonts w:ascii="Arial" w:eastAsia="Arial Unicode MS" w:hAnsi="Arial" w:cs="Arial"/>
          <w:sz w:val="24"/>
          <w:szCs w:val="24"/>
          <w:lang w:val="en-GB"/>
        </w:rPr>
        <w:t xml:space="preserve">; </w:t>
      </w:r>
      <w:r w:rsidR="00594098" w:rsidRPr="007D1C4D">
        <w:rPr>
          <w:rFonts w:ascii="Arial" w:eastAsia="Times New Roman" w:hAnsi="Arial" w:cs="Arial"/>
          <w:sz w:val="24"/>
          <w:szCs w:val="24"/>
          <w:lang w:val="en-US" w:eastAsia="es-ES"/>
        </w:rPr>
        <w:t>η</w:t>
      </w:r>
      <w:r w:rsidR="00594098" w:rsidRPr="007D1C4D">
        <w:rPr>
          <w:rFonts w:ascii="Arial" w:eastAsia="Times New Roman" w:hAnsi="Arial" w:cs="Arial"/>
          <w:sz w:val="24"/>
          <w:szCs w:val="24"/>
          <w:vertAlign w:val="subscript"/>
          <w:lang w:val="en-US" w:eastAsia="es-ES"/>
        </w:rPr>
        <w:t>p</w:t>
      </w:r>
      <w:r w:rsidR="00594098" w:rsidRPr="007D1C4D">
        <w:rPr>
          <w:rFonts w:ascii="Arial" w:eastAsia="Times New Roman" w:hAnsi="Arial" w:cs="Arial"/>
          <w:sz w:val="24"/>
          <w:szCs w:val="24"/>
          <w:vertAlign w:val="superscript"/>
          <w:lang w:val="en-US" w:eastAsia="es-ES"/>
        </w:rPr>
        <w:t>2</w:t>
      </w:r>
      <w:r w:rsidR="00594098" w:rsidRPr="007D1C4D">
        <w:rPr>
          <w:rFonts w:ascii="Arial" w:eastAsia="Arial Unicode MS" w:hAnsi="Arial" w:cs="Arial"/>
          <w:sz w:val="24"/>
          <w:szCs w:val="24"/>
          <w:lang w:val="en-GB"/>
        </w:rPr>
        <w:t>=</w:t>
      </w:r>
      <w:r w:rsidR="007D1C4D" w:rsidRPr="007D1C4D">
        <w:rPr>
          <w:rFonts w:ascii="Arial" w:eastAsia="Arial Unicode MS" w:hAnsi="Arial" w:cs="Arial"/>
          <w:sz w:val="24"/>
          <w:szCs w:val="24"/>
          <w:lang w:val="en-GB"/>
        </w:rPr>
        <w:t>0.51</w:t>
      </w:r>
      <w:r w:rsidR="00594098" w:rsidRPr="007D1C4D">
        <w:rPr>
          <w:rFonts w:ascii="Arial" w:eastAsia="Arial Unicode MS" w:hAnsi="Arial" w:cs="Arial"/>
          <w:sz w:val="24"/>
          <w:szCs w:val="24"/>
          <w:lang w:val="en-GB"/>
        </w:rPr>
        <w:t xml:space="preserve">) </w:t>
      </w:r>
      <w:r w:rsidR="00DF7BAC" w:rsidRPr="007D1C4D">
        <w:rPr>
          <w:rFonts w:ascii="Arial" w:eastAsia="Arial Unicode MS" w:hAnsi="Arial" w:cs="Arial"/>
          <w:sz w:val="24"/>
          <w:szCs w:val="24"/>
          <w:lang w:val="en-GB"/>
        </w:rPr>
        <w:t xml:space="preserve">and in THC-exposed animals as compared to </w:t>
      </w:r>
      <w:r w:rsidR="004C6D93">
        <w:rPr>
          <w:rFonts w:ascii="Arial" w:eastAsia="Arial Unicode MS" w:hAnsi="Arial" w:cs="Arial"/>
          <w:sz w:val="24"/>
          <w:szCs w:val="24"/>
          <w:lang w:val="en-GB"/>
        </w:rPr>
        <w:t>VEH</w:t>
      </w:r>
      <w:r w:rsidR="00DF7BAC" w:rsidRPr="007D1C4D">
        <w:rPr>
          <w:rFonts w:ascii="Arial" w:eastAsia="Arial Unicode MS" w:hAnsi="Arial" w:cs="Arial"/>
          <w:sz w:val="24"/>
          <w:szCs w:val="24"/>
          <w:lang w:val="en-GB"/>
        </w:rPr>
        <w:t xml:space="preserve"> controls </w:t>
      </w:r>
      <w:r w:rsidR="00594098" w:rsidRPr="007D1C4D">
        <w:rPr>
          <w:rFonts w:ascii="Arial" w:eastAsia="Arial Unicode MS" w:hAnsi="Arial" w:cs="Arial"/>
          <w:sz w:val="24"/>
          <w:szCs w:val="24"/>
          <w:lang w:val="en-GB"/>
        </w:rPr>
        <w:t xml:space="preserve">during the THC treatment </w:t>
      </w:r>
      <w:r w:rsidR="00DF7BAC" w:rsidRPr="007D1C4D">
        <w:rPr>
          <w:rFonts w:ascii="Arial" w:eastAsia="Arial Unicode MS" w:hAnsi="Arial" w:cs="Arial"/>
          <w:sz w:val="24"/>
          <w:szCs w:val="24"/>
          <w:lang w:val="en-GB"/>
        </w:rPr>
        <w:t>(</w:t>
      </w:r>
      <w:r w:rsidR="007D1C4D" w:rsidRPr="007D1C4D">
        <w:rPr>
          <w:rFonts w:ascii="Arial" w:eastAsia="Arial Unicode MS" w:hAnsi="Arial" w:cs="Arial"/>
          <w:sz w:val="24"/>
          <w:szCs w:val="24"/>
          <w:lang w:val="en-GB"/>
        </w:rPr>
        <w:t>F</w:t>
      </w:r>
      <w:r w:rsidR="007D1C4D" w:rsidRPr="007D1C4D">
        <w:rPr>
          <w:rFonts w:ascii="Arial" w:eastAsia="Arial Unicode MS" w:hAnsi="Arial" w:cs="Arial"/>
          <w:sz w:val="24"/>
          <w:szCs w:val="24"/>
          <w:vertAlign w:val="subscript"/>
          <w:lang w:val="en-GB"/>
        </w:rPr>
        <w:t>1,296</w:t>
      </w:r>
      <w:r w:rsidR="007D1C4D" w:rsidRPr="007D1C4D">
        <w:rPr>
          <w:rFonts w:ascii="Arial" w:eastAsia="Arial Unicode MS" w:hAnsi="Arial" w:cs="Arial"/>
          <w:sz w:val="24"/>
          <w:szCs w:val="24"/>
          <w:lang w:val="en-GB"/>
        </w:rPr>
        <w:t xml:space="preserve">=22.585; </w:t>
      </w:r>
      <w:r w:rsidR="00594098" w:rsidRPr="007D1C4D">
        <w:rPr>
          <w:rFonts w:ascii="Arial" w:eastAsia="Arial Unicode MS" w:hAnsi="Arial" w:cs="Arial"/>
          <w:sz w:val="24"/>
          <w:szCs w:val="24"/>
          <w:lang w:val="en-GB"/>
        </w:rPr>
        <w:t>p</w:t>
      </w:r>
      <w:r w:rsidR="007D1C4D" w:rsidRPr="007D1C4D">
        <w:rPr>
          <w:rFonts w:ascii="Arial" w:eastAsia="Arial Unicode MS" w:hAnsi="Arial" w:cs="Arial"/>
          <w:sz w:val="24"/>
          <w:szCs w:val="24"/>
          <w:lang w:val="en-GB"/>
        </w:rPr>
        <w:t>&lt;0.000</w:t>
      </w:r>
      <w:r w:rsidR="00594098" w:rsidRPr="007D1C4D">
        <w:rPr>
          <w:rFonts w:ascii="Arial" w:eastAsia="Arial Unicode MS" w:hAnsi="Arial" w:cs="Arial"/>
          <w:sz w:val="24"/>
          <w:szCs w:val="24"/>
          <w:lang w:val="en-GB"/>
        </w:rPr>
        <w:t xml:space="preserve">; </w:t>
      </w:r>
      <w:r w:rsidR="00594098" w:rsidRPr="007D1C4D">
        <w:rPr>
          <w:rFonts w:ascii="Arial" w:eastAsia="Times New Roman" w:hAnsi="Arial" w:cs="Arial"/>
          <w:sz w:val="24"/>
          <w:szCs w:val="24"/>
          <w:lang w:val="en-US" w:eastAsia="es-ES"/>
        </w:rPr>
        <w:t>η</w:t>
      </w:r>
      <w:r w:rsidR="00594098" w:rsidRPr="007D1C4D">
        <w:rPr>
          <w:rFonts w:ascii="Arial" w:eastAsia="Times New Roman" w:hAnsi="Arial" w:cs="Arial"/>
          <w:sz w:val="24"/>
          <w:szCs w:val="24"/>
          <w:vertAlign w:val="subscript"/>
          <w:lang w:val="en-US" w:eastAsia="es-ES"/>
        </w:rPr>
        <w:t>p</w:t>
      </w:r>
      <w:r w:rsidR="00594098" w:rsidRPr="007D1C4D">
        <w:rPr>
          <w:rFonts w:ascii="Arial" w:eastAsia="Times New Roman" w:hAnsi="Arial" w:cs="Arial"/>
          <w:sz w:val="24"/>
          <w:szCs w:val="24"/>
          <w:vertAlign w:val="superscript"/>
          <w:lang w:val="en-US" w:eastAsia="es-ES"/>
        </w:rPr>
        <w:t>2</w:t>
      </w:r>
      <w:r w:rsidR="00594098" w:rsidRPr="007D1C4D">
        <w:rPr>
          <w:rFonts w:ascii="Arial" w:eastAsia="Arial Unicode MS" w:hAnsi="Arial" w:cs="Arial"/>
          <w:sz w:val="24"/>
          <w:szCs w:val="24"/>
          <w:lang w:val="en-GB"/>
        </w:rPr>
        <w:t>=</w:t>
      </w:r>
      <w:r w:rsidR="007D1C4D" w:rsidRPr="007D1C4D">
        <w:rPr>
          <w:rFonts w:ascii="Arial" w:eastAsia="Arial Unicode MS" w:hAnsi="Arial" w:cs="Arial"/>
          <w:sz w:val="24"/>
          <w:szCs w:val="24"/>
          <w:lang w:val="en-GB"/>
        </w:rPr>
        <w:t>0.07)</w:t>
      </w:r>
      <w:r w:rsidR="00594098" w:rsidRPr="007D1C4D">
        <w:rPr>
          <w:rFonts w:ascii="Arial" w:eastAsia="Arial Unicode MS" w:hAnsi="Arial" w:cs="Arial"/>
          <w:sz w:val="24"/>
          <w:szCs w:val="24"/>
          <w:lang w:val="en-GB"/>
        </w:rPr>
        <w:t>, but not from PND44 to PND90</w:t>
      </w:r>
      <w:r w:rsidR="007D1C4D" w:rsidRPr="007D1C4D">
        <w:rPr>
          <w:rFonts w:ascii="Arial" w:eastAsia="Arial Unicode MS" w:hAnsi="Arial" w:cs="Arial"/>
          <w:sz w:val="24"/>
          <w:szCs w:val="24"/>
          <w:lang w:val="en-GB"/>
        </w:rPr>
        <w:t xml:space="preserve"> (see Figure S1C-F).</w:t>
      </w:r>
    </w:p>
    <w:p w14:paraId="5A1A9259" w14:textId="0EFC9F3C" w:rsidR="00E60939" w:rsidRPr="008A16EB" w:rsidRDefault="00E60939" w:rsidP="008A16EB">
      <w:pPr>
        <w:spacing w:line="360" w:lineRule="auto"/>
        <w:jc w:val="both"/>
        <w:rPr>
          <w:rFonts w:ascii="Arial" w:eastAsia="Arial Unicode MS" w:hAnsi="Arial" w:cs="Arial"/>
          <w:b/>
          <w:sz w:val="24"/>
          <w:szCs w:val="24"/>
          <w:lang w:val="en-GB"/>
        </w:rPr>
      </w:pPr>
      <w:r w:rsidRPr="008A16EB">
        <w:rPr>
          <w:rFonts w:ascii="Arial" w:eastAsia="Arial Unicode MS" w:hAnsi="Arial" w:cs="Arial"/>
          <w:b/>
          <w:sz w:val="24"/>
          <w:szCs w:val="24"/>
          <w:lang w:val="en-GB"/>
        </w:rPr>
        <w:t>Pavlovian Conditioned Approach</w:t>
      </w:r>
    </w:p>
    <w:p w14:paraId="4C95E38F" w14:textId="02573C67" w:rsidR="00F37AA8" w:rsidRPr="003E14F4" w:rsidRDefault="00B418D8" w:rsidP="003E14F4">
      <w:pPr>
        <w:spacing w:line="360" w:lineRule="auto"/>
        <w:ind w:firstLine="708"/>
        <w:jc w:val="both"/>
        <w:rPr>
          <w:rFonts w:ascii="Arial" w:eastAsia="Arial Unicode MS" w:hAnsi="Arial" w:cs="Arial"/>
          <w:sz w:val="24"/>
          <w:szCs w:val="24"/>
          <w:lang w:val="en-GB"/>
        </w:rPr>
      </w:pPr>
      <w:r w:rsidRPr="008A16EB">
        <w:rPr>
          <w:rFonts w:ascii="Arial" w:eastAsia="Arial Unicode MS" w:hAnsi="Arial" w:cs="Arial"/>
          <w:sz w:val="24"/>
          <w:szCs w:val="24"/>
          <w:lang w:val="en-GB"/>
        </w:rPr>
        <w:t xml:space="preserve">The </w:t>
      </w:r>
      <w:r w:rsidR="00E60939" w:rsidRPr="008A16EB">
        <w:rPr>
          <w:rFonts w:ascii="Arial" w:eastAsia="Arial Unicode MS" w:hAnsi="Arial" w:cs="Arial"/>
          <w:sz w:val="24"/>
          <w:szCs w:val="24"/>
          <w:lang w:val="en-GB"/>
        </w:rPr>
        <w:t>effect</w:t>
      </w:r>
      <w:r w:rsidRPr="008A16EB">
        <w:rPr>
          <w:rFonts w:ascii="Arial" w:eastAsia="Arial Unicode MS" w:hAnsi="Arial" w:cs="Arial"/>
          <w:sz w:val="24"/>
          <w:szCs w:val="24"/>
          <w:lang w:val="en-GB"/>
        </w:rPr>
        <w:t xml:space="preserve"> observed </w:t>
      </w:r>
      <w:r w:rsidR="00A31919" w:rsidRPr="008A16EB">
        <w:rPr>
          <w:rFonts w:ascii="Arial" w:eastAsia="Arial Unicode MS" w:hAnsi="Arial" w:cs="Arial"/>
          <w:sz w:val="24"/>
          <w:szCs w:val="24"/>
          <w:lang w:val="en-GB"/>
        </w:rPr>
        <w:t>in</w:t>
      </w:r>
      <w:r w:rsidRPr="008A16EB">
        <w:rPr>
          <w:rFonts w:ascii="Arial" w:eastAsia="Arial Unicode MS" w:hAnsi="Arial" w:cs="Arial"/>
          <w:sz w:val="24"/>
          <w:szCs w:val="24"/>
          <w:lang w:val="en-GB"/>
        </w:rPr>
        <w:t xml:space="preserve"> the last training session</w:t>
      </w:r>
      <w:r w:rsidR="00E60939" w:rsidRPr="008A16EB">
        <w:rPr>
          <w:rFonts w:ascii="Arial" w:eastAsia="Arial Unicode MS" w:hAnsi="Arial" w:cs="Arial"/>
          <w:sz w:val="24"/>
          <w:szCs w:val="24"/>
          <w:lang w:val="en-GB"/>
        </w:rPr>
        <w:t xml:space="preserve"> cannot be attributed to </w:t>
      </w:r>
      <w:r w:rsidRPr="008A16EB">
        <w:rPr>
          <w:rFonts w:ascii="Arial" w:eastAsia="Arial Unicode MS" w:hAnsi="Arial" w:cs="Arial"/>
          <w:sz w:val="24"/>
          <w:szCs w:val="24"/>
          <w:lang w:val="en-GB"/>
        </w:rPr>
        <w:t>differences</w:t>
      </w:r>
      <w:r w:rsidR="00E60939" w:rsidRPr="008A16EB">
        <w:rPr>
          <w:rFonts w:ascii="Arial" w:eastAsia="Arial Unicode MS" w:hAnsi="Arial" w:cs="Arial"/>
          <w:sz w:val="24"/>
          <w:szCs w:val="24"/>
          <w:lang w:val="en-GB"/>
        </w:rPr>
        <w:t xml:space="preserve"> in the amount of CS</w:t>
      </w:r>
      <w:r w:rsidR="00E60939" w:rsidRPr="008A16EB">
        <w:rPr>
          <w:rFonts w:ascii="Arial" w:eastAsia="Arial Unicode MS" w:hAnsi="Arial" w:cs="Arial"/>
          <w:sz w:val="24"/>
          <w:szCs w:val="24"/>
          <w:vertAlign w:val="superscript"/>
          <w:lang w:val="en-GB"/>
        </w:rPr>
        <w:t>+</w:t>
      </w:r>
      <w:r w:rsidR="00E60939" w:rsidRPr="008A16EB">
        <w:rPr>
          <w:rFonts w:ascii="Arial" w:eastAsia="Arial Unicode MS" w:hAnsi="Arial" w:cs="Arial"/>
          <w:sz w:val="24"/>
          <w:szCs w:val="24"/>
          <w:lang w:val="en-GB"/>
        </w:rPr>
        <w:t xml:space="preserve"> LPs, ILPs, HE, CS</w:t>
      </w:r>
      <w:r w:rsidR="00E60939" w:rsidRPr="008A16EB">
        <w:rPr>
          <w:rFonts w:ascii="Arial" w:eastAsia="Arial Unicode MS" w:hAnsi="Arial" w:cs="Arial"/>
          <w:sz w:val="24"/>
          <w:szCs w:val="24"/>
          <w:vertAlign w:val="superscript"/>
          <w:lang w:val="en-GB"/>
        </w:rPr>
        <w:t>+</w:t>
      </w:r>
      <w:r w:rsidR="00E60939" w:rsidRPr="008A16EB">
        <w:rPr>
          <w:rFonts w:ascii="Arial" w:eastAsia="Arial Unicode MS" w:hAnsi="Arial" w:cs="Arial"/>
          <w:sz w:val="24"/>
          <w:szCs w:val="24"/>
          <w:lang w:val="en-GB"/>
        </w:rPr>
        <w:t>HE or MAG and CS</w:t>
      </w:r>
      <w:r w:rsidR="00E60939" w:rsidRPr="008A16EB">
        <w:rPr>
          <w:rFonts w:ascii="Arial" w:eastAsia="Arial Unicode MS" w:hAnsi="Arial" w:cs="Arial"/>
          <w:sz w:val="24"/>
          <w:szCs w:val="24"/>
          <w:vertAlign w:val="superscript"/>
          <w:lang w:val="en-GB"/>
        </w:rPr>
        <w:t>+</w:t>
      </w:r>
      <w:r w:rsidR="00E60939" w:rsidRPr="008A16EB">
        <w:rPr>
          <w:rFonts w:ascii="Arial" w:eastAsia="Arial Unicode MS" w:hAnsi="Arial" w:cs="Arial"/>
          <w:sz w:val="24"/>
          <w:szCs w:val="24"/>
          <w:lang w:val="en-GB"/>
        </w:rPr>
        <w:t xml:space="preserve">MAG </w:t>
      </w:r>
      <w:r w:rsidR="00623090" w:rsidRPr="008A16EB">
        <w:rPr>
          <w:rFonts w:ascii="Arial" w:eastAsia="Arial Unicode MS" w:hAnsi="Arial" w:cs="Arial"/>
          <w:sz w:val="24"/>
          <w:szCs w:val="24"/>
          <w:lang w:val="en-GB"/>
        </w:rPr>
        <w:t>during the</w:t>
      </w:r>
      <w:r w:rsidR="00E60939" w:rsidRPr="008A16EB">
        <w:rPr>
          <w:rFonts w:ascii="Arial" w:eastAsia="Arial Unicode MS" w:hAnsi="Arial" w:cs="Arial"/>
          <w:sz w:val="24"/>
          <w:szCs w:val="24"/>
          <w:lang w:val="en-GB"/>
        </w:rPr>
        <w:t xml:space="preserve"> session</w:t>
      </w:r>
      <w:r w:rsidR="00623090" w:rsidRPr="008A16EB">
        <w:rPr>
          <w:rFonts w:ascii="Arial" w:eastAsia="Arial Unicode MS" w:hAnsi="Arial" w:cs="Arial"/>
          <w:sz w:val="24"/>
          <w:szCs w:val="24"/>
          <w:lang w:val="en-GB"/>
        </w:rPr>
        <w:t xml:space="preserve"> because no </w:t>
      </w:r>
      <w:r w:rsidR="005633B6">
        <w:rPr>
          <w:rFonts w:ascii="Arial" w:eastAsia="Arial Unicode MS" w:hAnsi="Arial" w:cs="Arial"/>
          <w:sz w:val="24"/>
          <w:szCs w:val="24"/>
          <w:lang w:val="en-GB"/>
        </w:rPr>
        <w:t>T</w:t>
      </w:r>
      <w:r w:rsidR="00623090" w:rsidRPr="008A16EB">
        <w:rPr>
          <w:rFonts w:ascii="Arial" w:eastAsia="Arial Unicode MS" w:hAnsi="Arial" w:cs="Arial"/>
          <w:sz w:val="24"/>
          <w:szCs w:val="24"/>
          <w:lang w:val="en-GB"/>
        </w:rPr>
        <w:t>reatment effects were observed in any of these measurements</w:t>
      </w:r>
      <w:r w:rsidR="00E60939" w:rsidRPr="008A16EB">
        <w:rPr>
          <w:rFonts w:ascii="Arial" w:eastAsia="Arial Unicode MS" w:hAnsi="Arial" w:cs="Arial"/>
          <w:sz w:val="24"/>
          <w:szCs w:val="24"/>
          <w:lang w:val="en-GB"/>
        </w:rPr>
        <w:t xml:space="preserve">. Instead, it was mainly due to the effects of THC on the main variables that constitute the PCA index. Indeed, there was a significant </w:t>
      </w:r>
      <w:r w:rsidR="00E16CCE">
        <w:rPr>
          <w:rFonts w:ascii="Arial" w:eastAsia="Arial Unicode MS" w:hAnsi="Arial" w:cs="Arial"/>
          <w:sz w:val="24"/>
          <w:szCs w:val="24"/>
          <w:lang w:val="en-GB"/>
        </w:rPr>
        <w:t>ACE</w:t>
      </w:r>
      <w:r w:rsidR="00E16CCE" w:rsidRPr="008A16EB">
        <w:rPr>
          <w:rFonts w:ascii="Arial" w:eastAsia="Arial Unicode MS" w:hAnsi="Arial" w:cs="Arial"/>
          <w:sz w:val="24"/>
          <w:szCs w:val="24"/>
          <w:lang w:val="en-GB"/>
        </w:rPr>
        <w:t xml:space="preserve"> </w:t>
      </w:r>
      <w:r w:rsidR="00E60939" w:rsidRPr="008A16EB">
        <w:rPr>
          <w:rFonts w:ascii="Arial" w:eastAsia="Arial Unicode MS" w:hAnsi="Arial" w:cs="Arial"/>
          <w:sz w:val="24"/>
          <w:szCs w:val="24"/>
          <w:lang w:val="en-GB"/>
        </w:rPr>
        <w:lastRenderedPageBreak/>
        <w:t xml:space="preserve">effect in </w:t>
      </w:r>
      <w:r w:rsidR="00E60939" w:rsidRPr="008A16EB">
        <w:rPr>
          <w:rFonts w:ascii="Arial" w:eastAsia="Arial Unicode MS" w:hAnsi="Arial" w:cs="Arial"/>
          <w:bCs/>
          <w:sz w:val="24"/>
          <w:szCs w:val="24"/>
          <w:lang w:val="en-GB"/>
        </w:rPr>
        <w:t xml:space="preserve">probability difference </w:t>
      </w:r>
      <w:r w:rsidR="00623090" w:rsidRPr="008A16EB">
        <w:rPr>
          <w:rFonts w:ascii="Arial" w:eastAsia="Times New Roman" w:hAnsi="Arial" w:cs="Arial"/>
          <w:color w:val="000000"/>
          <w:sz w:val="24"/>
          <w:szCs w:val="24"/>
          <w:lang w:val="en-US" w:eastAsia="es-ES"/>
        </w:rPr>
        <w:t>(F</w:t>
      </w:r>
      <w:r w:rsidR="00623090" w:rsidRPr="008A16EB">
        <w:rPr>
          <w:rFonts w:ascii="Arial" w:eastAsia="Times New Roman" w:hAnsi="Arial" w:cs="Arial"/>
          <w:color w:val="000000"/>
          <w:sz w:val="24"/>
          <w:szCs w:val="24"/>
          <w:vertAlign w:val="subscript"/>
          <w:lang w:val="en-US" w:eastAsia="es-ES"/>
        </w:rPr>
        <w:t>1,36</w:t>
      </w:r>
      <w:r w:rsidR="00623090" w:rsidRPr="008A16EB">
        <w:rPr>
          <w:rFonts w:ascii="Arial" w:eastAsia="Times New Roman" w:hAnsi="Arial" w:cs="Arial"/>
          <w:color w:val="000000"/>
          <w:sz w:val="24"/>
          <w:szCs w:val="24"/>
          <w:lang w:val="en-US" w:eastAsia="es-ES"/>
        </w:rPr>
        <w:t>=7.397; p=0.010; η</w:t>
      </w:r>
      <w:r w:rsidR="00623090" w:rsidRPr="008A16EB">
        <w:rPr>
          <w:rFonts w:ascii="Arial" w:eastAsia="Times New Roman" w:hAnsi="Arial" w:cs="Arial"/>
          <w:color w:val="000000"/>
          <w:sz w:val="24"/>
          <w:szCs w:val="24"/>
          <w:vertAlign w:val="subscript"/>
          <w:lang w:val="en-US" w:eastAsia="es-ES"/>
        </w:rPr>
        <w:t>p</w:t>
      </w:r>
      <w:r w:rsidR="00623090" w:rsidRPr="008A16EB">
        <w:rPr>
          <w:rFonts w:ascii="Arial" w:eastAsia="Times New Roman" w:hAnsi="Arial" w:cs="Arial"/>
          <w:color w:val="000000"/>
          <w:sz w:val="24"/>
          <w:szCs w:val="24"/>
          <w:vertAlign w:val="superscript"/>
          <w:lang w:val="en-US" w:eastAsia="es-ES"/>
        </w:rPr>
        <w:t>2</w:t>
      </w:r>
      <w:r w:rsidR="00623090" w:rsidRPr="008A16EB">
        <w:rPr>
          <w:rFonts w:ascii="Arial" w:eastAsia="Times New Roman" w:hAnsi="Arial" w:cs="Arial"/>
          <w:color w:val="000000"/>
          <w:sz w:val="24"/>
          <w:szCs w:val="24"/>
          <w:lang w:val="en-US" w:eastAsia="es-ES"/>
        </w:rPr>
        <w:t xml:space="preserve">=0.17) </w:t>
      </w:r>
      <w:r w:rsidR="00E60939" w:rsidRPr="008A16EB">
        <w:rPr>
          <w:rFonts w:ascii="Arial" w:eastAsia="Arial Unicode MS" w:hAnsi="Arial" w:cs="Arial"/>
          <w:bCs/>
          <w:sz w:val="24"/>
          <w:szCs w:val="24"/>
          <w:lang w:val="en-GB"/>
        </w:rPr>
        <w:t>and latency score</w:t>
      </w:r>
      <w:r w:rsidRPr="008A16EB">
        <w:rPr>
          <w:rFonts w:ascii="Arial" w:eastAsia="Arial Unicode MS" w:hAnsi="Arial" w:cs="Arial"/>
          <w:bCs/>
          <w:sz w:val="24"/>
          <w:szCs w:val="24"/>
          <w:lang w:val="en-GB"/>
        </w:rPr>
        <w:t xml:space="preserve"> </w:t>
      </w:r>
      <w:r w:rsidR="00623090" w:rsidRPr="008A16EB">
        <w:rPr>
          <w:rFonts w:ascii="Arial" w:eastAsia="Times New Roman" w:hAnsi="Arial" w:cs="Arial"/>
          <w:color w:val="000000"/>
          <w:sz w:val="24"/>
          <w:szCs w:val="24"/>
          <w:lang w:val="en-US" w:eastAsia="es-ES"/>
        </w:rPr>
        <w:t>(F</w:t>
      </w:r>
      <w:r w:rsidR="00623090" w:rsidRPr="008A16EB">
        <w:rPr>
          <w:rFonts w:ascii="Arial" w:eastAsia="Times New Roman" w:hAnsi="Arial" w:cs="Arial"/>
          <w:color w:val="000000"/>
          <w:sz w:val="24"/>
          <w:szCs w:val="24"/>
          <w:vertAlign w:val="subscript"/>
          <w:lang w:val="en-US" w:eastAsia="es-ES"/>
        </w:rPr>
        <w:t>1,36</w:t>
      </w:r>
      <w:r w:rsidR="00623090" w:rsidRPr="008A16EB">
        <w:rPr>
          <w:rFonts w:ascii="Arial" w:eastAsia="Times New Roman" w:hAnsi="Arial" w:cs="Arial"/>
          <w:color w:val="000000"/>
          <w:sz w:val="24"/>
          <w:szCs w:val="24"/>
          <w:lang w:val="en-US" w:eastAsia="es-ES"/>
        </w:rPr>
        <w:t>=4.408; p=0.043; η</w:t>
      </w:r>
      <w:r w:rsidR="00623090" w:rsidRPr="008A16EB">
        <w:rPr>
          <w:rFonts w:ascii="Arial" w:eastAsia="Times New Roman" w:hAnsi="Arial" w:cs="Arial"/>
          <w:color w:val="000000"/>
          <w:sz w:val="24"/>
          <w:szCs w:val="24"/>
          <w:vertAlign w:val="subscript"/>
          <w:lang w:val="en-US" w:eastAsia="es-ES"/>
        </w:rPr>
        <w:t>p</w:t>
      </w:r>
      <w:r w:rsidR="00623090" w:rsidRPr="008A16EB">
        <w:rPr>
          <w:rFonts w:ascii="Arial" w:eastAsia="Times New Roman" w:hAnsi="Arial" w:cs="Arial"/>
          <w:color w:val="000000"/>
          <w:sz w:val="24"/>
          <w:szCs w:val="24"/>
          <w:vertAlign w:val="superscript"/>
          <w:lang w:val="en-US" w:eastAsia="es-ES"/>
        </w:rPr>
        <w:t>2</w:t>
      </w:r>
      <w:r w:rsidR="00623090" w:rsidRPr="008A16EB">
        <w:rPr>
          <w:rFonts w:ascii="Arial" w:eastAsia="Times New Roman" w:hAnsi="Arial" w:cs="Arial"/>
          <w:color w:val="000000"/>
          <w:sz w:val="24"/>
          <w:szCs w:val="24"/>
          <w:lang w:val="en-US" w:eastAsia="es-ES"/>
        </w:rPr>
        <w:t>=0.11)</w:t>
      </w:r>
      <w:r w:rsidR="00E60939" w:rsidRPr="008A16EB">
        <w:rPr>
          <w:rFonts w:ascii="Arial" w:eastAsia="Arial Unicode MS" w:hAnsi="Arial" w:cs="Arial"/>
          <w:b/>
          <w:sz w:val="24"/>
          <w:szCs w:val="24"/>
          <w:lang w:val="en-GB"/>
        </w:rPr>
        <w:t>,</w:t>
      </w:r>
      <w:r w:rsidR="00E60939" w:rsidRPr="008A16EB">
        <w:rPr>
          <w:rFonts w:ascii="Arial" w:eastAsia="Arial Unicode MS" w:hAnsi="Arial" w:cs="Arial"/>
          <w:sz w:val="24"/>
          <w:szCs w:val="24"/>
          <w:lang w:val="en-GB"/>
        </w:rPr>
        <w:t xml:space="preserve"> </w:t>
      </w:r>
      <w:r w:rsidR="00623090" w:rsidRPr="008A16EB">
        <w:rPr>
          <w:rFonts w:ascii="Arial" w:eastAsia="Arial Unicode MS" w:hAnsi="Arial" w:cs="Arial"/>
          <w:sz w:val="24"/>
          <w:szCs w:val="24"/>
          <w:lang w:val="en-GB"/>
        </w:rPr>
        <w:t>although the</w:t>
      </w:r>
      <w:r w:rsidR="00E60939" w:rsidRPr="008A16EB">
        <w:rPr>
          <w:rFonts w:ascii="Arial" w:eastAsia="Arial Unicode MS" w:hAnsi="Arial" w:cs="Arial"/>
          <w:sz w:val="24"/>
          <w:szCs w:val="24"/>
          <w:lang w:val="en-GB"/>
        </w:rPr>
        <w:t xml:space="preserve"> </w:t>
      </w:r>
      <w:r w:rsidR="00623090" w:rsidRPr="008A16EB">
        <w:rPr>
          <w:rFonts w:ascii="Arial" w:eastAsia="Arial Unicode MS" w:hAnsi="Arial" w:cs="Arial"/>
          <w:bCs/>
          <w:sz w:val="24"/>
          <w:szCs w:val="24"/>
          <w:lang w:val="en-GB"/>
        </w:rPr>
        <w:t xml:space="preserve">response bias </w:t>
      </w:r>
      <w:r w:rsidR="00623090" w:rsidRPr="008A16EB">
        <w:rPr>
          <w:rFonts w:ascii="Arial" w:eastAsia="Arial Unicode MS" w:hAnsi="Arial" w:cs="Arial"/>
          <w:sz w:val="24"/>
          <w:szCs w:val="24"/>
          <w:lang w:val="en-GB"/>
        </w:rPr>
        <w:t xml:space="preserve">did not </w:t>
      </w:r>
      <w:r w:rsidR="00E16CCE" w:rsidRPr="008A16EB">
        <w:rPr>
          <w:rFonts w:ascii="Arial" w:eastAsia="Arial Unicode MS" w:hAnsi="Arial" w:cs="Arial"/>
          <w:sz w:val="24"/>
          <w:szCs w:val="24"/>
          <w:lang w:val="en-GB"/>
        </w:rPr>
        <w:t>reach</w:t>
      </w:r>
      <w:r w:rsidR="00623090" w:rsidRPr="008A16EB">
        <w:rPr>
          <w:rFonts w:ascii="Arial" w:eastAsia="Arial Unicode MS" w:hAnsi="Arial" w:cs="Arial"/>
          <w:sz w:val="24"/>
          <w:szCs w:val="24"/>
          <w:lang w:val="en-GB"/>
        </w:rPr>
        <w:t xml:space="preserve"> the</w:t>
      </w:r>
      <w:r w:rsidR="00E60939" w:rsidRPr="008A16EB">
        <w:rPr>
          <w:rFonts w:ascii="Arial" w:eastAsia="Arial Unicode MS" w:hAnsi="Arial" w:cs="Arial"/>
          <w:sz w:val="24"/>
          <w:szCs w:val="24"/>
          <w:lang w:val="en-GB"/>
        </w:rPr>
        <w:t xml:space="preserve"> statistical significance </w:t>
      </w:r>
      <w:r w:rsidR="00623090" w:rsidRPr="008A16EB">
        <w:rPr>
          <w:rFonts w:ascii="Arial" w:eastAsia="Arial Unicode MS" w:hAnsi="Arial" w:cs="Arial"/>
          <w:sz w:val="24"/>
          <w:szCs w:val="24"/>
          <w:lang w:val="en-GB"/>
        </w:rPr>
        <w:t xml:space="preserve">level </w:t>
      </w:r>
      <w:r w:rsidR="00623090" w:rsidRPr="008A16EB">
        <w:rPr>
          <w:rFonts w:ascii="Arial" w:eastAsia="Times New Roman" w:hAnsi="Arial" w:cs="Arial"/>
          <w:color w:val="000000"/>
          <w:sz w:val="24"/>
          <w:szCs w:val="24"/>
          <w:lang w:val="en-US" w:eastAsia="es-ES"/>
        </w:rPr>
        <w:t>(F</w:t>
      </w:r>
      <w:r w:rsidR="00623090" w:rsidRPr="008A16EB">
        <w:rPr>
          <w:rFonts w:ascii="Arial" w:eastAsia="Times New Roman" w:hAnsi="Arial" w:cs="Arial"/>
          <w:color w:val="000000"/>
          <w:sz w:val="24"/>
          <w:szCs w:val="24"/>
          <w:vertAlign w:val="subscript"/>
          <w:lang w:val="en-US" w:eastAsia="es-ES"/>
        </w:rPr>
        <w:t>1,36</w:t>
      </w:r>
      <w:r w:rsidR="00623090" w:rsidRPr="008A16EB">
        <w:rPr>
          <w:rFonts w:ascii="Arial" w:eastAsia="Times New Roman" w:hAnsi="Arial" w:cs="Arial"/>
          <w:color w:val="000000"/>
          <w:sz w:val="24"/>
          <w:szCs w:val="24"/>
          <w:lang w:val="en-US" w:eastAsia="es-ES"/>
        </w:rPr>
        <w:t>=3.058; p=0.089; η</w:t>
      </w:r>
      <w:r w:rsidR="00623090" w:rsidRPr="008A16EB">
        <w:rPr>
          <w:rFonts w:ascii="Arial" w:eastAsia="Times New Roman" w:hAnsi="Arial" w:cs="Arial"/>
          <w:color w:val="000000"/>
          <w:sz w:val="24"/>
          <w:szCs w:val="24"/>
          <w:vertAlign w:val="subscript"/>
          <w:lang w:val="en-US" w:eastAsia="es-ES"/>
        </w:rPr>
        <w:t>p</w:t>
      </w:r>
      <w:r w:rsidR="00623090" w:rsidRPr="008A16EB">
        <w:rPr>
          <w:rFonts w:ascii="Arial" w:eastAsia="Times New Roman" w:hAnsi="Arial" w:cs="Arial"/>
          <w:color w:val="000000"/>
          <w:sz w:val="24"/>
          <w:szCs w:val="24"/>
          <w:vertAlign w:val="superscript"/>
          <w:lang w:val="en-US" w:eastAsia="es-ES"/>
        </w:rPr>
        <w:t>2</w:t>
      </w:r>
      <w:r w:rsidR="00623090" w:rsidRPr="008A16EB">
        <w:rPr>
          <w:rFonts w:ascii="Arial" w:eastAsia="Times New Roman" w:hAnsi="Arial" w:cs="Arial"/>
          <w:color w:val="000000"/>
          <w:sz w:val="24"/>
          <w:szCs w:val="24"/>
          <w:lang w:val="en-US" w:eastAsia="es-ES"/>
        </w:rPr>
        <w:t>=0.08)</w:t>
      </w:r>
      <w:r w:rsidR="00E60939" w:rsidRPr="008A16EB">
        <w:rPr>
          <w:rFonts w:ascii="Arial" w:eastAsia="Arial Unicode MS" w:hAnsi="Arial" w:cs="Arial"/>
          <w:b/>
          <w:sz w:val="24"/>
          <w:szCs w:val="24"/>
          <w:lang w:val="en-GB"/>
        </w:rPr>
        <w:t>.</w:t>
      </w:r>
      <w:r w:rsidRPr="008A16EB">
        <w:rPr>
          <w:rFonts w:ascii="Arial" w:eastAsia="Arial Unicode MS" w:hAnsi="Arial" w:cs="Arial"/>
          <w:sz w:val="24"/>
          <w:szCs w:val="24"/>
          <w:lang w:val="en-GB"/>
        </w:rPr>
        <w:t xml:space="preserve"> </w:t>
      </w:r>
      <w:r w:rsidR="00E60939" w:rsidRPr="008A16EB">
        <w:rPr>
          <w:rFonts w:ascii="Arial" w:eastAsia="Arial Unicode MS" w:hAnsi="Arial" w:cs="Arial"/>
          <w:sz w:val="24"/>
          <w:szCs w:val="24"/>
          <w:lang w:val="en-GB"/>
        </w:rPr>
        <w:t xml:space="preserve">This effect was also significant </w:t>
      </w:r>
      <w:r w:rsidR="005633B6">
        <w:rPr>
          <w:rFonts w:ascii="Arial" w:eastAsia="Arial Unicode MS" w:hAnsi="Arial" w:cs="Arial"/>
          <w:sz w:val="24"/>
          <w:szCs w:val="24"/>
          <w:lang w:val="en-GB"/>
        </w:rPr>
        <w:t>across</w:t>
      </w:r>
      <w:r w:rsidR="00E60939" w:rsidRPr="008A16EB">
        <w:rPr>
          <w:rFonts w:ascii="Arial" w:eastAsia="Arial Unicode MS" w:hAnsi="Arial" w:cs="Arial"/>
          <w:sz w:val="24"/>
          <w:szCs w:val="24"/>
          <w:lang w:val="en-GB"/>
        </w:rPr>
        <w:t xml:space="preserve"> the training sessions, but the components of the PCA index did not show any </w:t>
      </w:r>
      <w:r w:rsidR="00E16CCE">
        <w:rPr>
          <w:rFonts w:ascii="Arial" w:eastAsia="Arial Unicode MS" w:hAnsi="Arial" w:cs="Arial"/>
          <w:sz w:val="24"/>
          <w:szCs w:val="24"/>
          <w:lang w:val="en-GB"/>
        </w:rPr>
        <w:t>ACE</w:t>
      </w:r>
      <w:r w:rsidR="00E16CCE" w:rsidRPr="008A16EB">
        <w:rPr>
          <w:rFonts w:ascii="Arial" w:eastAsia="Arial Unicode MS" w:hAnsi="Arial" w:cs="Arial"/>
          <w:sz w:val="24"/>
          <w:szCs w:val="24"/>
          <w:lang w:val="en-GB"/>
        </w:rPr>
        <w:t xml:space="preserve"> </w:t>
      </w:r>
      <w:r w:rsidR="007E2E62">
        <w:rPr>
          <w:rFonts w:ascii="Arial" w:eastAsia="Arial Unicode MS" w:hAnsi="Arial" w:cs="Arial"/>
          <w:sz w:val="24"/>
          <w:szCs w:val="24"/>
          <w:lang w:val="en-GB"/>
        </w:rPr>
        <w:t>or</w:t>
      </w:r>
      <w:r w:rsidR="00F37AA8" w:rsidRPr="008A16EB">
        <w:rPr>
          <w:rFonts w:ascii="Arial" w:eastAsia="Arial Unicode MS" w:hAnsi="Arial" w:cs="Arial"/>
          <w:sz w:val="24"/>
          <w:szCs w:val="24"/>
          <w:lang w:val="en-GB"/>
        </w:rPr>
        <w:t xml:space="preserve"> Sex</w:t>
      </w:r>
      <w:r w:rsidR="00E60939" w:rsidRPr="008A16EB">
        <w:rPr>
          <w:rFonts w:ascii="Arial" w:eastAsia="Arial Unicode MS" w:hAnsi="Arial" w:cs="Arial"/>
          <w:sz w:val="24"/>
          <w:szCs w:val="24"/>
          <w:lang w:val="en-GB"/>
        </w:rPr>
        <w:t xml:space="preserve"> effect in the repeated measures analysis. </w:t>
      </w:r>
    </w:p>
    <w:p w14:paraId="0A013DB4" w14:textId="19822C9F" w:rsidR="001805A3" w:rsidRPr="008A16EB" w:rsidRDefault="00850070" w:rsidP="008A16EB">
      <w:pPr>
        <w:spacing w:line="360" w:lineRule="auto"/>
        <w:jc w:val="both"/>
        <w:rPr>
          <w:rFonts w:ascii="Arial" w:eastAsia="Arial Unicode MS" w:hAnsi="Arial" w:cs="Arial"/>
          <w:b/>
          <w:sz w:val="24"/>
          <w:szCs w:val="24"/>
          <w:lang w:val="en-GB"/>
        </w:rPr>
      </w:pPr>
      <w:r w:rsidRPr="008A16EB">
        <w:rPr>
          <w:rFonts w:ascii="Arial" w:eastAsia="Arial Unicode MS" w:hAnsi="Arial" w:cs="Arial"/>
          <w:b/>
          <w:sz w:val="24"/>
          <w:szCs w:val="24"/>
          <w:lang w:val="en-GB"/>
        </w:rPr>
        <w:t>Habit Formation</w:t>
      </w:r>
    </w:p>
    <w:p w14:paraId="6600E8BC" w14:textId="223AE482" w:rsidR="00DD408C" w:rsidRPr="0083088B" w:rsidRDefault="00DD408C" w:rsidP="008A16EB">
      <w:pPr>
        <w:spacing w:line="360" w:lineRule="auto"/>
        <w:ind w:firstLine="708"/>
        <w:jc w:val="both"/>
        <w:rPr>
          <w:rFonts w:ascii="Arial" w:eastAsia="Arial Unicode MS" w:hAnsi="Arial" w:cs="Arial"/>
          <w:sz w:val="24"/>
          <w:szCs w:val="24"/>
          <w:lang w:val="en-GB"/>
        </w:rPr>
      </w:pPr>
      <w:r w:rsidRPr="008A16EB">
        <w:rPr>
          <w:rFonts w:ascii="Arial" w:eastAsia="Arial Unicode MS" w:hAnsi="Arial" w:cs="Arial"/>
          <w:sz w:val="24"/>
          <w:szCs w:val="24"/>
          <w:lang w:val="en-GB"/>
        </w:rPr>
        <w:t xml:space="preserve">There were no differences in the Habit Formation </w:t>
      </w:r>
      <w:r w:rsidR="004E2092" w:rsidRPr="008A16EB">
        <w:rPr>
          <w:rFonts w:ascii="Arial" w:eastAsia="Arial Unicode MS" w:hAnsi="Arial" w:cs="Arial"/>
          <w:sz w:val="24"/>
          <w:szCs w:val="24"/>
          <w:lang w:val="en-GB"/>
        </w:rPr>
        <w:t>I</w:t>
      </w:r>
      <w:r w:rsidRPr="008A16EB">
        <w:rPr>
          <w:rFonts w:ascii="Arial" w:eastAsia="Arial Unicode MS" w:hAnsi="Arial" w:cs="Arial"/>
          <w:sz w:val="24"/>
          <w:szCs w:val="24"/>
          <w:lang w:val="en-GB"/>
        </w:rPr>
        <w:t>ndex due to</w:t>
      </w:r>
      <w:r w:rsidR="001E1274" w:rsidRPr="008A16EB">
        <w:rPr>
          <w:rFonts w:ascii="Arial" w:eastAsia="Arial Unicode MS" w:hAnsi="Arial" w:cs="Arial"/>
          <w:sz w:val="24"/>
          <w:szCs w:val="24"/>
          <w:lang w:val="en-GB"/>
        </w:rPr>
        <w:t xml:space="preserve"> </w:t>
      </w:r>
      <w:r w:rsidRPr="008A16EB">
        <w:rPr>
          <w:rFonts w:ascii="Arial" w:eastAsia="Arial Unicode MS" w:hAnsi="Arial" w:cs="Arial"/>
          <w:sz w:val="24"/>
          <w:szCs w:val="24"/>
          <w:lang w:val="en-GB"/>
        </w:rPr>
        <w:t xml:space="preserve">Sex or </w:t>
      </w:r>
      <w:r w:rsidR="00E16CCE">
        <w:rPr>
          <w:rFonts w:ascii="Arial" w:eastAsia="Arial Unicode MS" w:hAnsi="Arial" w:cs="Arial"/>
          <w:sz w:val="24"/>
          <w:szCs w:val="24"/>
          <w:lang w:val="en-GB"/>
        </w:rPr>
        <w:t>ACE</w:t>
      </w:r>
      <w:r w:rsidRPr="008A16EB">
        <w:rPr>
          <w:rFonts w:ascii="Arial" w:eastAsia="Arial Unicode MS" w:hAnsi="Arial" w:cs="Arial"/>
          <w:sz w:val="24"/>
          <w:szCs w:val="24"/>
          <w:lang w:val="en-GB"/>
        </w:rPr>
        <w:t xml:space="preserve">. The first outcome devaluation testing rendered </w:t>
      </w:r>
      <w:r w:rsidR="00D37355" w:rsidRPr="008A16EB">
        <w:rPr>
          <w:rFonts w:ascii="Arial" w:eastAsia="Arial Unicode MS" w:hAnsi="Arial" w:cs="Arial"/>
          <w:sz w:val="24"/>
          <w:szCs w:val="24"/>
          <w:lang w:val="en-GB"/>
        </w:rPr>
        <w:t xml:space="preserve">habit formation index </w:t>
      </w:r>
      <w:r w:rsidRPr="008A16EB">
        <w:rPr>
          <w:rFonts w:ascii="Arial" w:eastAsia="Arial Unicode MS" w:hAnsi="Arial" w:cs="Arial"/>
          <w:sz w:val="24"/>
          <w:szCs w:val="24"/>
          <w:lang w:val="en-GB"/>
        </w:rPr>
        <w:t xml:space="preserve">values </w:t>
      </w:r>
      <w:r w:rsidR="001E1274" w:rsidRPr="008A16EB">
        <w:rPr>
          <w:rFonts w:ascii="Arial" w:eastAsia="Arial Unicode MS" w:hAnsi="Arial" w:cs="Arial"/>
          <w:sz w:val="24"/>
          <w:szCs w:val="24"/>
          <w:lang w:val="en-GB"/>
        </w:rPr>
        <w:t>under 0.5</w:t>
      </w:r>
      <w:r w:rsidR="00D37355" w:rsidRPr="008A16EB">
        <w:rPr>
          <w:rFonts w:ascii="Arial" w:eastAsia="Arial Unicode MS" w:hAnsi="Arial" w:cs="Arial"/>
          <w:sz w:val="24"/>
          <w:szCs w:val="24"/>
          <w:lang w:val="en-GB"/>
        </w:rPr>
        <w:t xml:space="preserve"> (thus reflecting less LP</w:t>
      </w:r>
      <w:r w:rsidR="00D37355" w:rsidRPr="008A16EB">
        <w:rPr>
          <w:rFonts w:ascii="Arial" w:eastAsia="Arial Unicode MS" w:hAnsi="Arial" w:cs="Arial"/>
          <w:sz w:val="24"/>
          <w:szCs w:val="24"/>
          <w:vertAlign w:val="subscript"/>
          <w:lang w:val="en-GB"/>
        </w:rPr>
        <w:t xml:space="preserve">Devalued </w:t>
      </w:r>
      <w:r w:rsidR="00D37355" w:rsidRPr="008A16EB">
        <w:rPr>
          <w:rFonts w:ascii="Arial" w:eastAsia="Arial Unicode MS" w:hAnsi="Arial" w:cs="Arial"/>
          <w:sz w:val="24"/>
          <w:szCs w:val="24"/>
          <w:lang w:val="en-GB"/>
        </w:rPr>
        <w:t>compared to</w:t>
      </w:r>
      <w:r w:rsidR="00D37355" w:rsidRPr="008A16EB">
        <w:rPr>
          <w:rFonts w:ascii="Arial" w:eastAsia="Arial Unicode MS" w:hAnsi="Arial" w:cs="Arial"/>
          <w:sz w:val="24"/>
          <w:szCs w:val="24"/>
          <w:vertAlign w:val="subscript"/>
          <w:lang w:val="en-GB"/>
        </w:rPr>
        <w:t xml:space="preserve"> </w:t>
      </w:r>
      <w:r w:rsidR="00D37355" w:rsidRPr="008A16EB">
        <w:rPr>
          <w:rFonts w:ascii="Arial" w:eastAsia="Arial Unicode MS" w:hAnsi="Arial" w:cs="Arial"/>
          <w:sz w:val="24"/>
          <w:szCs w:val="24"/>
          <w:lang w:val="en-GB"/>
        </w:rPr>
        <w:t>LP</w:t>
      </w:r>
      <w:r w:rsidR="00D37355" w:rsidRPr="008A16EB">
        <w:rPr>
          <w:rFonts w:ascii="Arial" w:eastAsia="Arial Unicode MS" w:hAnsi="Arial" w:cs="Arial"/>
          <w:sz w:val="24"/>
          <w:szCs w:val="24"/>
          <w:vertAlign w:val="subscript"/>
          <w:lang w:val="en-GB"/>
        </w:rPr>
        <w:t>Non-Devalued</w:t>
      </w:r>
      <w:r w:rsidR="00D37355" w:rsidRPr="008A16EB">
        <w:rPr>
          <w:rFonts w:ascii="Arial" w:eastAsia="Arial Unicode MS" w:hAnsi="Arial" w:cs="Arial"/>
          <w:sz w:val="24"/>
          <w:szCs w:val="24"/>
          <w:lang w:val="en-GB"/>
        </w:rPr>
        <w:t xml:space="preserve">), </w:t>
      </w:r>
      <w:r w:rsidR="001E1274" w:rsidRPr="008A16EB">
        <w:rPr>
          <w:rFonts w:ascii="Arial" w:eastAsia="Arial Unicode MS" w:hAnsi="Arial" w:cs="Arial"/>
          <w:sz w:val="24"/>
          <w:szCs w:val="24"/>
          <w:lang w:val="en-GB"/>
        </w:rPr>
        <w:t xml:space="preserve">with </w:t>
      </w:r>
      <w:r w:rsidR="00D37355" w:rsidRPr="008A16EB">
        <w:rPr>
          <w:rFonts w:ascii="Arial" w:eastAsia="Arial Unicode MS" w:hAnsi="Arial" w:cs="Arial"/>
          <w:sz w:val="24"/>
          <w:szCs w:val="24"/>
          <w:lang w:val="en-GB"/>
        </w:rPr>
        <w:t>a</w:t>
      </w:r>
      <w:r w:rsidR="001E1274" w:rsidRPr="008A16EB">
        <w:rPr>
          <w:rFonts w:ascii="Arial" w:eastAsia="Arial Unicode MS" w:hAnsi="Arial" w:cs="Arial"/>
          <w:sz w:val="24"/>
          <w:szCs w:val="24"/>
          <w:lang w:val="en-GB"/>
        </w:rPr>
        <w:t xml:space="preserve"> homogenous distribution among </w:t>
      </w:r>
      <w:r w:rsidR="00D37355" w:rsidRPr="008A16EB">
        <w:rPr>
          <w:rFonts w:ascii="Arial" w:eastAsia="Arial Unicode MS" w:hAnsi="Arial" w:cs="Arial"/>
          <w:sz w:val="24"/>
          <w:szCs w:val="24"/>
          <w:lang w:val="en-GB"/>
        </w:rPr>
        <w:t>the</w:t>
      </w:r>
      <w:r w:rsidR="001E1274" w:rsidRPr="008A16EB">
        <w:rPr>
          <w:rFonts w:ascii="Arial" w:eastAsia="Arial Unicode MS" w:hAnsi="Arial" w:cs="Arial"/>
          <w:sz w:val="24"/>
          <w:szCs w:val="24"/>
          <w:lang w:val="en-GB"/>
        </w:rPr>
        <w:t xml:space="preserve"> animals f</w:t>
      </w:r>
      <w:r w:rsidR="007E2E62">
        <w:rPr>
          <w:rFonts w:ascii="Arial" w:eastAsia="Arial Unicode MS" w:hAnsi="Arial" w:cs="Arial"/>
          <w:sz w:val="24"/>
          <w:szCs w:val="24"/>
          <w:lang w:val="en-GB"/>
        </w:rPr>
        <w:t>ro</w:t>
      </w:r>
      <w:r w:rsidR="001E1274" w:rsidRPr="008A16EB">
        <w:rPr>
          <w:rFonts w:ascii="Arial" w:eastAsia="Arial Unicode MS" w:hAnsi="Arial" w:cs="Arial"/>
          <w:sz w:val="24"/>
          <w:szCs w:val="24"/>
          <w:lang w:val="en-GB"/>
        </w:rPr>
        <w:t xml:space="preserve">m all </w:t>
      </w:r>
      <w:r w:rsidR="007E2E62">
        <w:rPr>
          <w:rFonts w:ascii="Arial" w:eastAsia="Arial Unicode MS" w:hAnsi="Arial" w:cs="Arial"/>
          <w:sz w:val="24"/>
          <w:szCs w:val="24"/>
          <w:lang w:val="en-GB"/>
        </w:rPr>
        <w:t xml:space="preserve">the </w:t>
      </w:r>
      <w:r w:rsidR="001E1274" w:rsidRPr="008A16EB">
        <w:rPr>
          <w:rFonts w:ascii="Arial" w:eastAsia="Arial Unicode MS" w:hAnsi="Arial" w:cs="Arial"/>
          <w:sz w:val="24"/>
          <w:szCs w:val="24"/>
          <w:lang w:val="en-GB"/>
        </w:rPr>
        <w:t xml:space="preserve">four groups. </w:t>
      </w:r>
      <w:r w:rsidR="00384389" w:rsidRPr="008A16EB">
        <w:rPr>
          <w:rFonts w:ascii="Arial" w:eastAsia="Arial Unicode MS" w:hAnsi="Arial" w:cs="Arial"/>
          <w:sz w:val="24"/>
          <w:szCs w:val="24"/>
          <w:lang w:val="en-GB"/>
        </w:rPr>
        <w:t>After the extended (habit-forming) training</w:t>
      </w:r>
      <w:r w:rsidR="001E21C0" w:rsidRPr="008A16EB">
        <w:rPr>
          <w:rFonts w:ascii="Arial" w:eastAsia="Arial Unicode MS" w:hAnsi="Arial" w:cs="Arial"/>
          <w:sz w:val="24"/>
          <w:szCs w:val="24"/>
          <w:lang w:val="en-GB"/>
        </w:rPr>
        <w:t>,</w:t>
      </w:r>
      <w:r w:rsidR="00D37355" w:rsidRPr="008A16EB">
        <w:rPr>
          <w:rFonts w:ascii="Arial" w:eastAsia="Arial Unicode MS" w:hAnsi="Arial" w:cs="Arial"/>
          <w:sz w:val="24"/>
          <w:szCs w:val="24"/>
          <w:lang w:val="en-GB"/>
        </w:rPr>
        <w:t xml:space="preserve"> </w:t>
      </w:r>
      <w:r w:rsidR="001E21C0" w:rsidRPr="008A16EB">
        <w:rPr>
          <w:rFonts w:ascii="Arial" w:eastAsia="Arial Unicode MS" w:hAnsi="Arial" w:cs="Arial"/>
          <w:sz w:val="24"/>
          <w:szCs w:val="24"/>
          <w:lang w:val="en-GB"/>
        </w:rPr>
        <w:t xml:space="preserve">we found </w:t>
      </w:r>
      <w:r w:rsidR="00384389" w:rsidRPr="008A16EB">
        <w:rPr>
          <w:rFonts w:ascii="Arial" w:eastAsia="Arial Unicode MS" w:hAnsi="Arial" w:cs="Arial"/>
          <w:sz w:val="24"/>
          <w:szCs w:val="24"/>
          <w:lang w:val="en-GB"/>
        </w:rPr>
        <w:t xml:space="preserve">more </w:t>
      </w:r>
      <w:r w:rsidR="00D37355" w:rsidRPr="008A16EB">
        <w:rPr>
          <w:rFonts w:ascii="Arial" w:eastAsia="Arial Unicode MS" w:hAnsi="Arial" w:cs="Arial"/>
          <w:sz w:val="24"/>
          <w:szCs w:val="24"/>
          <w:lang w:val="en-GB"/>
        </w:rPr>
        <w:t xml:space="preserve">Habit Formation </w:t>
      </w:r>
      <w:r w:rsidR="004E2092" w:rsidRPr="008A16EB">
        <w:rPr>
          <w:rFonts w:ascii="Arial" w:eastAsia="Arial Unicode MS" w:hAnsi="Arial" w:cs="Arial"/>
          <w:sz w:val="24"/>
          <w:szCs w:val="24"/>
          <w:lang w:val="en-GB"/>
        </w:rPr>
        <w:t>I</w:t>
      </w:r>
      <w:r w:rsidR="00D37355" w:rsidRPr="008A16EB">
        <w:rPr>
          <w:rFonts w:ascii="Arial" w:eastAsia="Arial Unicode MS" w:hAnsi="Arial" w:cs="Arial"/>
          <w:sz w:val="24"/>
          <w:szCs w:val="24"/>
          <w:lang w:val="en-GB"/>
        </w:rPr>
        <w:t xml:space="preserve">ndex </w:t>
      </w:r>
      <w:r w:rsidR="00384389" w:rsidRPr="008A16EB">
        <w:rPr>
          <w:rFonts w:ascii="Arial" w:eastAsia="Arial Unicode MS" w:hAnsi="Arial" w:cs="Arial"/>
          <w:sz w:val="24"/>
          <w:szCs w:val="24"/>
          <w:lang w:val="en-GB"/>
        </w:rPr>
        <w:t>score</w:t>
      </w:r>
      <w:r w:rsidR="004E2092" w:rsidRPr="008A16EB">
        <w:rPr>
          <w:rFonts w:ascii="Arial" w:eastAsia="Arial Unicode MS" w:hAnsi="Arial" w:cs="Arial"/>
          <w:sz w:val="24"/>
          <w:szCs w:val="24"/>
          <w:lang w:val="en-GB"/>
        </w:rPr>
        <w:t>s</w:t>
      </w:r>
      <w:r w:rsidR="00D37355" w:rsidRPr="008A16EB">
        <w:rPr>
          <w:rFonts w:ascii="Arial" w:eastAsia="Arial Unicode MS" w:hAnsi="Arial" w:cs="Arial"/>
          <w:sz w:val="24"/>
          <w:szCs w:val="24"/>
          <w:lang w:val="en-GB"/>
        </w:rPr>
        <w:t xml:space="preserve"> </w:t>
      </w:r>
      <w:r w:rsidR="001E21C0" w:rsidRPr="008A16EB">
        <w:rPr>
          <w:rFonts w:ascii="Arial" w:eastAsia="Arial Unicode MS" w:hAnsi="Arial" w:cs="Arial"/>
          <w:sz w:val="24"/>
          <w:szCs w:val="24"/>
          <w:lang w:val="en-GB"/>
        </w:rPr>
        <w:t xml:space="preserve">around and above the 0.5 </w:t>
      </w:r>
      <w:r w:rsidR="001E21C0" w:rsidRPr="0083088B">
        <w:rPr>
          <w:rFonts w:ascii="Arial" w:eastAsia="Arial Unicode MS" w:hAnsi="Arial" w:cs="Arial"/>
          <w:sz w:val="24"/>
          <w:szCs w:val="24"/>
          <w:lang w:val="en-GB"/>
        </w:rPr>
        <w:t xml:space="preserve">threshold </w:t>
      </w:r>
      <w:r w:rsidR="001E1274" w:rsidRPr="0083088B">
        <w:rPr>
          <w:rFonts w:ascii="Arial" w:eastAsia="Arial Unicode MS" w:hAnsi="Arial" w:cs="Arial"/>
          <w:sz w:val="24"/>
          <w:szCs w:val="24"/>
          <w:lang w:val="en-GB"/>
        </w:rPr>
        <w:t>(See figure S2A)</w:t>
      </w:r>
      <w:r w:rsidR="00384389" w:rsidRPr="0083088B">
        <w:rPr>
          <w:rFonts w:ascii="Arial" w:eastAsia="Arial Unicode MS" w:hAnsi="Arial" w:cs="Arial"/>
          <w:sz w:val="24"/>
          <w:szCs w:val="24"/>
          <w:lang w:val="en-GB"/>
        </w:rPr>
        <w:t>, thus indicating a blunted devaluation in some individuals</w:t>
      </w:r>
      <w:r w:rsidR="001E1274" w:rsidRPr="0083088B">
        <w:rPr>
          <w:rFonts w:ascii="Arial" w:eastAsia="Arial Unicode MS" w:hAnsi="Arial" w:cs="Arial"/>
          <w:sz w:val="24"/>
          <w:szCs w:val="24"/>
          <w:lang w:val="en-GB"/>
        </w:rPr>
        <w:t>.</w:t>
      </w:r>
      <w:r w:rsidR="00384389" w:rsidRPr="0083088B">
        <w:rPr>
          <w:rFonts w:ascii="Arial" w:eastAsia="Arial Unicode MS" w:hAnsi="Arial" w:cs="Arial"/>
          <w:sz w:val="24"/>
          <w:szCs w:val="24"/>
          <w:lang w:val="en-GB"/>
        </w:rPr>
        <w:t xml:space="preserve"> </w:t>
      </w:r>
      <w:r w:rsidR="004E2092" w:rsidRPr="0083088B">
        <w:rPr>
          <w:rFonts w:ascii="Arial" w:eastAsia="Arial Unicode MS" w:hAnsi="Arial" w:cs="Arial"/>
          <w:sz w:val="24"/>
          <w:szCs w:val="24"/>
          <w:lang w:val="en-GB"/>
        </w:rPr>
        <w:t>However,</w:t>
      </w:r>
      <w:r w:rsidR="00384389" w:rsidRPr="0083088B">
        <w:rPr>
          <w:rFonts w:ascii="Arial" w:eastAsia="Arial Unicode MS" w:hAnsi="Arial" w:cs="Arial"/>
          <w:sz w:val="24"/>
          <w:szCs w:val="24"/>
          <w:lang w:val="en-GB"/>
        </w:rPr>
        <w:t xml:space="preserve"> there were also no differences due to Sex or </w:t>
      </w:r>
      <w:r w:rsidR="00E16CCE">
        <w:rPr>
          <w:rFonts w:ascii="Arial" w:eastAsia="Arial Unicode MS" w:hAnsi="Arial" w:cs="Arial"/>
          <w:sz w:val="24"/>
          <w:szCs w:val="24"/>
          <w:lang w:val="en-GB"/>
        </w:rPr>
        <w:t>ACE</w:t>
      </w:r>
      <w:r w:rsidR="00E16CCE" w:rsidRPr="0083088B">
        <w:rPr>
          <w:rFonts w:ascii="Arial" w:eastAsia="Arial Unicode MS" w:hAnsi="Arial" w:cs="Arial"/>
          <w:sz w:val="24"/>
          <w:szCs w:val="24"/>
          <w:lang w:val="en-GB"/>
        </w:rPr>
        <w:t xml:space="preserve"> </w:t>
      </w:r>
      <w:r w:rsidR="00384389" w:rsidRPr="0083088B">
        <w:rPr>
          <w:rFonts w:ascii="Arial" w:eastAsia="Arial Unicode MS" w:hAnsi="Arial" w:cs="Arial"/>
          <w:sz w:val="24"/>
          <w:szCs w:val="24"/>
          <w:lang w:val="en-GB"/>
        </w:rPr>
        <w:t xml:space="preserve">in the Habit Formation </w:t>
      </w:r>
      <w:r w:rsidR="004E2092" w:rsidRPr="0083088B">
        <w:rPr>
          <w:rFonts w:ascii="Arial" w:eastAsia="Arial Unicode MS" w:hAnsi="Arial" w:cs="Arial"/>
          <w:sz w:val="24"/>
          <w:szCs w:val="24"/>
          <w:lang w:val="en-GB"/>
        </w:rPr>
        <w:t>I</w:t>
      </w:r>
      <w:r w:rsidR="00384389" w:rsidRPr="0083088B">
        <w:rPr>
          <w:rFonts w:ascii="Arial" w:eastAsia="Arial Unicode MS" w:hAnsi="Arial" w:cs="Arial"/>
          <w:sz w:val="24"/>
          <w:szCs w:val="24"/>
          <w:lang w:val="en-GB"/>
        </w:rPr>
        <w:t>ndex after the extended training.</w:t>
      </w:r>
    </w:p>
    <w:p w14:paraId="13C160BA" w14:textId="485D0C85" w:rsidR="00850070" w:rsidRPr="0083088B" w:rsidRDefault="00384389" w:rsidP="008A16EB">
      <w:pPr>
        <w:spacing w:line="360" w:lineRule="auto"/>
        <w:ind w:firstLine="708"/>
        <w:jc w:val="both"/>
        <w:rPr>
          <w:rFonts w:ascii="Arial" w:eastAsia="Arial Unicode MS" w:hAnsi="Arial" w:cs="Arial"/>
          <w:sz w:val="24"/>
          <w:szCs w:val="24"/>
          <w:lang w:val="en-GB"/>
        </w:rPr>
      </w:pPr>
      <w:r w:rsidRPr="0083088B">
        <w:rPr>
          <w:rFonts w:ascii="Arial" w:eastAsia="Arial Unicode MS" w:hAnsi="Arial" w:cs="Arial"/>
          <w:sz w:val="24"/>
          <w:szCs w:val="24"/>
          <w:lang w:val="en-GB"/>
        </w:rPr>
        <w:t xml:space="preserve">The analysis of the HE found no significant effects during the short training and the following outcome devaluation tests. We did find a Sex x </w:t>
      </w:r>
      <w:r w:rsidR="00E16CCE">
        <w:rPr>
          <w:rFonts w:ascii="Arial" w:eastAsia="Arial Unicode MS" w:hAnsi="Arial" w:cs="Arial"/>
          <w:sz w:val="24"/>
          <w:szCs w:val="24"/>
          <w:lang w:val="en-GB"/>
        </w:rPr>
        <w:t>ACE</w:t>
      </w:r>
      <w:r w:rsidR="00E16CCE" w:rsidRPr="0083088B">
        <w:rPr>
          <w:rFonts w:ascii="Arial" w:eastAsia="Arial Unicode MS" w:hAnsi="Arial" w:cs="Arial"/>
          <w:sz w:val="24"/>
          <w:szCs w:val="24"/>
          <w:lang w:val="en-GB"/>
        </w:rPr>
        <w:t xml:space="preserve"> </w:t>
      </w:r>
      <w:r w:rsidRPr="0083088B">
        <w:rPr>
          <w:rFonts w:ascii="Arial" w:eastAsia="Arial Unicode MS" w:hAnsi="Arial" w:cs="Arial"/>
          <w:sz w:val="24"/>
          <w:szCs w:val="24"/>
          <w:lang w:val="en-GB"/>
        </w:rPr>
        <w:t>x Sessions interaction on HEs a</w:t>
      </w:r>
      <w:r w:rsidR="00850070" w:rsidRPr="0083088B">
        <w:rPr>
          <w:rFonts w:ascii="Arial" w:eastAsia="Arial Unicode MS" w:hAnsi="Arial" w:cs="Arial"/>
          <w:sz w:val="24"/>
          <w:szCs w:val="24"/>
          <w:lang w:val="en-GB"/>
        </w:rPr>
        <w:t>cross the extended training sessions</w:t>
      </w:r>
      <w:r w:rsidR="004E2092" w:rsidRPr="0083088B">
        <w:rPr>
          <w:rFonts w:ascii="Arial" w:eastAsia="Arial Unicode MS" w:hAnsi="Arial" w:cs="Arial"/>
          <w:sz w:val="24"/>
          <w:szCs w:val="24"/>
          <w:lang w:val="en-GB"/>
        </w:rPr>
        <w:t xml:space="preserve">. </w:t>
      </w:r>
      <w:r w:rsidR="007E2E62">
        <w:rPr>
          <w:rFonts w:ascii="Arial" w:eastAsia="Arial Unicode MS" w:hAnsi="Arial" w:cs="Arial"/>
          <w:sz w:val="24"/>
          <w:szCs w:val="24"/>
          <w:lang w:val="en-GB"/>
        </w:rPr>
        <w:t>The s</w:t>
      </w:r>
      <w:r w:rsidR="000B0BD2" w:rsidRPr="0083088B">
        <w:rPr>
          <w:rFonts w:ascii="Arial" w:eastAsia="Arial Unicode MS" w:hAnsi="Arial" w:cs="Arial"/>
          <w:sz w:val="24"/>
          <w:szCs w:val="24"/>
          <w:lang w:val="en-GB"/>
        </w:rPr>
        <w:t>imple effect analysis showed that</w:t>
      </w:r>
      <w:r w:rsidR="00850070" w:rsidRPr="0083088B">
        <w:rPr>
          <w:rFonts w:ascii="Arial" w:eastAsia="Arial Unicode MS" w:hAnsi="Arial" w:cs="Arial"/>
          <w:sz w:val="24"/>
          <w:szCs w:val="24"/>
          <w:lang w:val="en-GB"/>
        </w:rPr>
        <w:t xml:space="preserve"> there</w:t>
      </w:r>
      <w:r w:rsidR="007E2E62">
        <w:rPr>
          <w:rFonts w:ascii="Arial" w:eastAsia="Arial Unicode MS" w:hAnsi="Arial" w:cs="Arial"/>
          <w:sz w:val="24"/>
          <w:szCs w:val="24"/>
          <w:lang w:val="en-GB"/>
        </w:rPr>
        <w:t xml:space="preserve"> were</w:t>
      </w:r>
      <w:r w:rsidR="00850070" w:rsidRPr="0083088B">
        <w:rPr>
          <w:rFonts w:ascii="Arial" w:eastAsia="Arial Unicode MS" w:hAnsi="Arial" w:cs="Arial"/>
          <w:sz w:val="24"/>
          <w:szCs w:val="24"/>
          <w:lang w:val="en-GB"/>
        </w:rPr>
        <w:t xml:space="preserve"> fewer HEs performed by THC-</w:t>
      </w:r>
      <w:r w:rsidR="007E2E62">
        <w:rPr>
          <w:rFonts w:ascii="Arial" w:eastAsia="Arial Unicode MS" w:hAnsi="Arial" w:cs="Arial"/>
          <w:sz w:val="24"/>
          <w:szCs w:val="24"/>
          <w:lang w:val="en-GB"/>
        </w:rPr>
        <w:t xml:space="preserve">exposed </w:t>
      </w:r>
      <w:r w:rsidR="00850070" w:rsidRPr="0083088B">
        <w:rPr>
          <w:rFonts w:ascii="Arial" w:eastAsia="Arial Unicode MS" w:hAnsi="Arial" w:cs="Arial"/>
          <w:sz w:val="24"/>
          <w:szCs w:val="24"/>
          <w:lang w:val="en-GB"/>
        </w:rPr>
        <w:t>females compared to THC-</w:t>
      </w:r>
      <w:r w:rsidR="007E2E62">
        <w:rPr>
          <w:rFonts w:ascii="Arial" w:eastAsia="Arial Unicode MS" w:hAnsi="Arial" w:cs="Arial"/>
          <w:sz w:val="24"/>
          <w:szCs w:val="24"/>
          <w:lang w:val="en-GB"/>
        </w:rPr>
        <w:t xml:space="preserve">exposed </w:t>
      </w:r>
      <w:r w:rsidR="00850070" w:rsidRPr="0083088B">
        <w:rPr>
          <w:rFonts w:ascii="Arial" w:eastAsia="Arial Unicode MS" w:hAnsi="Arial" w:cs="Arial"/>
          <w:sz w:val="24"/>
          <w:szCs w:val="24"/>
          <w:lang w:val="en-GB"/>
        </w:rPr>
        <w:t>males</w:t>
      </w:r>
      <w:r w:rsidR="00477B7A" w:rsidRPr="0083088B">
        <w:rPr>
          <w:rFonts w:ascii="Arial" w:eastAsia="Arial Unicode MS" w:hAnsi="Arial" w:cs="Arial"/>
          <w:sz w:val="24"/>
          <w:szCs w:val="24"/>
          <w:lang w:val="en-GB"/>
        </w:rPr>
        <w:t xml:space="preserve"> </w:t>
      </w:r>
      <w:r w:rsidR="00477B7A" w:rsidRPr="0083088B">
        <w:rPr>
          <w:rFonts w:ascii="Arial" w:eastAsia="Times New Roman" w:hAnsi="Arial" w:cs="Arial"/>
          <w:sz w:val="24"/>
          <w:szCs w:val="24"/>
          <w:lang w:val="en-US" w:eastAsia="es-ES"/>
        </w:rPr>
        <w:t>(F</w:t>
      </w:r>
      <w:r w:rsidR="003A353F" w:rsidRPr="0083088B">
        <w:rPr>
          <w:rFonts w:ascii="Arial" w:eastAsia="Times New Roman" w:hAnsi="Arial" w:cs="Arial"/>
          <w:sz w:val="24"/>
          <w:szCs w:val="24"/>
          <w:vertAlign w:val="subscript"/>
          <w:lang w:val="en-US" w:eastAsia="es-ES"/>
        </w:rPr>
        <w:t>3.91,70.43</w:t>
      </w:r>
      <w:r w:rsidR="00477B7A" w:rsidRPr="0083088B">
        <w:rPr>
          <w:rFonts w:ascii="Arial" w:eastAsia="Times New Roman" w:hAnsi="Arial" w:cs="Arial"/>
          <w:sz w:val="24"/>
          <w:szCs w:val="24"/>
          <w:lang w:val="en-US" w:eastAsia="es-ES"/>
        </w:rPr>
        <w:t>=</w:t>
      </w:r>
      <w:r w:rsidR="003A353F" w:rsidRPr="0083088B">
        <w:rPr>
          <w:rFonts w:ascii="Arial" w:eastAsia="Times New Roman" w:hAnsi="Arial" w:cs="Arial"/>
          <w:sz w:val="24"/>
          <w:szCs w:val="24"/>
          <w:lang w:val="en-US" w:eastAsia="es-ES"/>
        </w:rPr>
        <w:t>3.925</w:t>
      </w:r>
      <w:r w:rsidR="00477B7A" w:rsidRPr="0083088B">
        <w:rPr>
          <w:rFonts w:ascii="Arial" w:eastAsia="Times New Roman" w:hAnsi="Arial" w:cs="Arial"/>
          <w:sz w:val="24"/>
          <w:szCs w:val="24"/>
          <w:lang w:val="en-US" w:eastAsia="es-ES"/>
        </w:rPr>
        <w:t>; p=</w:t>
      </w:r>
      <w:r w:rsidR="003A353F" w:rsidRPr="0083088B">
        <w:rPr>
          <w:rFonts w:ascii="Arial" w:eastAsia="Times New Roman" w:hAnsi="Arial" w:cs="Arial"/>
          <w:sz w:val="24"/>
          <w:szCs w:val="24"/>
          <w:lang w:val="en-US" w:eastAsia="es-ES"/>
        </w:rPr>
        <w:t>0.007</w:t>
      </w:r>
      <w:r w:rsidR="00477B7A" w:rsidRPr="0083088B">
        <w:rPr>
          <w:rFonts w:ascii="Arial" w:eastAsia="Times New Roman" w:hAnsi="Arial" w:cs="Arial"/>
          <w:sz w:val="24"/>
          <w:szCs w:val="24"/>
          <w:lang w:val="en-US" w:eastAsia="es-ES"/>
        </w:rPr>
        <w:t>; η</w:t>
      </w:r>
      <w:r w:rsidR="00477B7A" w:rsidRPr="0083088B">
        <w:rPr>
          <w:rFonts w:ascii="Arial" w:eastAsia="Times New Roman" w:hAnsi="Arial" w:cs="Arial"/>
          <w:sz w:val="24"/>
          <w:szCs w:val="24"/>
          <w:vertAlign w:val="subscript"/>
          <w:lang w:val="en-US" w:eastAsia="es-ES"/>
        </w:rPr>
        <w:t>p</w:t>
      </w:r>
      <w:r w:rsidR="00477B7A" w:rsidRPr="0083088B">
        <w:rPr>
          <w:rFonts w:ascii="Arial" w:eastAsia="Times New Roman" w:hAnsi="Arial" w:cs="Arial"/>
          <w:sz w:val="24"/>
          <w:szCs w:val="24"/>
          <w:vertAlign w:val="superscript"/>
          <w:lang w:val="en-US" w:eastAsia="es-ES"/>
        </w:rPr>
        <w:t>2</w:t>
      </w:r>
      <w:r w:rsidR="00477B7A" w:rsidRPr="0083088B">
        <w:rPr>
          <w:rFonts w:ascii="Arial" w:eastAsia="Times New Roman" w:hAnsi="Arial" w:cs="Arial"/>
          <w:sz w:val="24"/>
          <w:szCs w:val="24"/>
          <w:lang w:val="en-US" w:eastAsia="es-ES"/>
        </w:rPr>
        <w:t>=</w:t>
      </w:r>
      <w:r w:rsidR="003A353F" w:rsidRPr="0083088B">
        <w:rPr>
          <w:rFonts w:ascii="Arial" w:eastAsia="Times New Roman" w:hAnsi="Arial" w:cs="Arial"/>
          <w:sz w:val="24"/>
          <w:szCs w:val="24"/>
          <w:lang w:val="en-US" w:eastAsia="es-ES"/>
        </w:rPr>
        <w:t>0.18</w:t>
      </w:r>
      <w:r w:rsidR="00477B7A" w:rsidRPr="0083088B">
        <w:rPr>
          <w:rFonts w:ascii="Arial" w:eastAsia="Times New Roman" w:hAnsi="Arial" w:cs="Arial"/>
          <w:sz w:val="24"/>
          <w:szCs w:val="24"/>
          <w:lang w:val="en-US" w:eastAsia="es-ES"/>
        </w:rPr>
        <w:t>)</w:t>
      </w:r>
      <w:r w:rsidR="00850070" w:rsidRPr="0083088B">
        <w:rPr>
          <w:rFonts w:ascii="Arial" w:eastAsia="Arial Unicode MS" w:hAnsi="Arial" w:cs="Arial"/>
          <w:sz w:val="24"/>
          <w:szCs w:val="24"/>
          <w:lang w:val="en-GB"/>
        </w:rPr>
        <w:t>.</w:t>
      </w:r>
    </w:p>
    <w:p w14:paraId="049F8950" w14:textId="6C28012F" w:rsidR="00807731" w:rsidRPr="008A16EB" w:rsidRDefault="001E1274" w:rsidP="008A16EB">
      <w:pPr>
        <w:spacing w:line="360" w:lineRule="auto"/>
        <w:ind w:firstLine="708"/>
        <w:jc w:val="both"/>
        <w:rPr>
          <w:rFonts w:ascii="Arial" w:eastAsia="Arial Unicode MS" w:hAnsi="Arial" w:cs="Arial"/>
          <w:sz w:val="24"/>
          <w:szCs w:val="24"/>
          <w:lang w:val="en-GB"/>
        </w:rPr>
      </w:pPr>
      <w:r w:rsidRPr="0083088B">
        <w:rPr>
          <w:rFonts w:ascii="Arial" w:eastAsia="Arial Unicode MS" w:hAnsi="Arial" w:cs="Arial"/>
          <w:sz w:val="24"/>
          <w:szCs w:val="24"/>
          <w:lang w:val="en-GB"/>
        </w:rPr>
        <w:t>None of the contingency degradation test</w:t>
      </w:r>
      <w:r w:rsidR="004E2092" w:rsidRPr="0083088B">
        <w:rPr>
          <w:rFonts w:ascii="Arial" w:eastAsia="Arial Unicode MS" w:hAnsi="Arial" w:cs="Arial"/>
          <w:sz w:val="24"/>
          <w:szCs w:val="24"/>
          <w:lang w:val="en-GB"/>
        </w:rPr>
        <w:t>s</w:t>
      </w:r>
      <w:r w:rsidRPr="0083088B">
        <w:rPr>
          <w:rFonts w:ascii="Arial" w:eastAsia="Arial Unicode MS" w:hAnsi="Arial" w:cs="Arial"/>
          <w:sz w:val="24"/>
          <w:szCs w:val="24"/>
          <w:lang w:val="en-GB"/>
        </w:rPr>
        <w:t xml:space="preserve"> </w:t>
      </w:r>
      <w:r w:rsidR="004E2092" w:rsidRPr="0083088B">
        <w:rPr>
          <w:rFonts w:ascii="Arial" w:eastAsia="Arial Unicode MS" w:hAnsi="Arial" w:cs="Arial"/>
          <w:sz w:val="24"/>
          <w:szCs w:val="24"/>
          <w:lang w:val="en-GB"/>
        </w:rPr>
        <w:t xml:space="preserve">(after short and extended training) </w:t>
      </w:r>
      <w:r w:rsidRPr="0083088B">
        <w:rPr>
          <w:rFonts w:ascii="Arial" w:eastAsia="Arial Unicode MS" w:hAnsi="Arial" w:cs="Arial"/>
          <w:sz w:val="24"/>
          <w:szCs w:val="24"/>
          <w:lang w:val="en-GB"/>
        </w:rPr>
        <w:t>showed treatment</w:t>
      </w:r>
      <w:r w:rsidR="007E2E62">
        <w:rPr>
          <w:rFonts w:ascii="Arial" w:eastAsia="Arial Unicode MS" w:hAnsi="Arial" w:cs="Arial"/>
          <w:sz w:val="24"/>
          <w:szCs w:val="24"/>
          <w:lang w:val="en-GB"/>
        </w:rPr>
        <w:t>-</w:t>
      </w:r>
      <w:r w:rsidRPr="0083088B">
        <w:rPr>
          <w:rFonts w:ascii="Arial" w:eastAsia="Arial Unicode MS" w:hAnsi="Arial" w:cs="Arial"/>
          <w:sz w:val="24"/>
          <w:szCs w:val="24"/>
          <w:lang w:val="en-GB"/>
        </w:rPr>
        <w:t xml:space="preserve">related differences </w:t>
      </w:r>
      <w:r w:rsidR="008A16EB" w:rsidRPr="0083088B">
        <w:rPr>
          <w:rFonts w:ascii="Arial" w:eastAsia="Arial Unicode MS" w:hAnsi="Arial" w:cs="Arial"/>
          <w:sz w:val="24"/>
          <w:szCs w:val="24"/>
          <w:lang w:val="en-GB"/>
        </w:rPr>
        <w:t xml:space="preserve">on lever pressing </w:t>
      </w:r>
      <w:r w:rsidR="00807731" w:rsidRPr="0083088B">
        <w:rPr>
          <w:rFonts w:ascii="Arial" w:eastAsia="Arial Unicode MS" w:hAnsi="Arial" w:cs="Arial"/>
          <w:sz w:val="24"/>
          <w:szCs w:val="24"/>
          <w:lang w:val="en-GB"/>
        </w:rPr>
        <w:t>(See figure S2</w:t>
      </w:r>
      <w:r w:rsidR="00B03D63">
        <w:rPr>
          <w:rFonts w:ascii="Arial" w:eastAsia="Arial Unicode MS" w:hAnsi="Arial" w:cs="Arial"/>
          <w:sz w:val="24"/>
          <w:szCs w:val="24"/>
          <w:lang w:val="en-GB"/>
        </w:rPr>
        <w:t xml:space="preserve"> </w:t>
      </w:r>
      <w:r w:rsidR="004E2092" w:rsidRPr="0083088B">
        <w:rPr>
          <w:rFonts w:ascii="Arial" w:eastAsia="Arial Unicode MS" w:hAnsi="Arial" w:cs="Arial"/>
          <w:sz w:val="24"/>
          <w:szCs w:val="24"/>
          <w:lang w:val="en-GB"/>
        </w:rPr>
        <w:t>B</w:t>
      </w:r>
      <w:r w:rsidR="00807731" w:rsidRPr="0083088B">
        <w:rPr>
          <w:rFonts w:ascii="Arial" w:eastAsia="Arial Unicode MS" w:hAnsi="Arial" w:cs="Arial"/>
          <w:sz w:val="24"/>
          <w:szCs w:val="24"/>
          <w:lang w:val="en-GB"/>
        </w:rPr>
        <w:t xml:space="preserve">). </w:t>
      </w:r>
      <w:r w:rsidR="004E2092" w:rsidRPr="0083088B">
        <w:rPr>
          <w:rFonts w:ascii="Arial" w:eastAsia="Arial Unicode MS" w:hAnsi="Arial" w:cs="Arial"/>
          <w:sz w:val="24"/>
          <w:szCs w:val="24"/>
          <w:lang w:val="en-GB"/>
        </w:rPr>
        <w:t>However, t</w:t>
      </w:r>
      <w:r w:rsidR="00484A4A" w:rsidRPr="0083088B">
        <w:rPr>
          <w:rFonts w:ascii="Arial" w:eastAsia="Arial Unicode MS" w:hAnsi="Arial" w:cs="Arial"/>
          <w:sz w:val="24"/>
          <w:szCs w:val="24"/>
          <w:lang w:val="en-GB"/>
        </w:rPr>
        <w:t xml:space="preserve">he time spent to obtain the </w:t>
      </w:r>
      <w:r w:rsidR="004E2092" w:rsidRPr="0083088B">
        <w:rPr>
          <w:rFonts w:ascii="Arial" w:eastAsia="Arial Unicode MS" w:hAnsi="Arial" w:cs="Arial"/>
          <w:sz w:val="24"/>
          <w:szCs w:val="24"/>
          <w:lang w:val="en-GB"/>
        </w:rPr>
        <w:t xml:space="preserve">limit of </w:t>
      </w:r>
      <w:r w:rsidR="004E2092" w:rsidRPr="008A16EB">
        <w:rPr>
          <w:rFonts w:ascii="Arial" w:eastAsia="Arial Unicode MS" w:hAnsi="Arial" w:cs="Arial"/>
          <w:sz w:val="24"/>
          <w:szCs w:val="24"/>
          <w:lang w:val="en-GB"/>
        </w:rPr>
        <w:t xml:space="preserve">30 </w:t>
      </w:r>
      <w:r w:rsidR="00484A4A" w:rsidRPr="008A16EB">
        <w:rPr>
          <w:rFonts w:ascii="Arial" w:eastAsia="Arial Unicode MS" w:hAnsi="Arial" w:cs="Arial"/>
          <w:sz w:val="24"/>
          <w:szCs w:val="24"/>
          <w:lang w:val="en-GB"/>
        </w:rPr>
        <w:t>rewards</w:t>
      </w:r>
      <w:r w:rsidR="004E2092" w:rsidRPr="008A16EB">
        <w:rPr>
          <w:rFonts w:ascii="Arial" w:eastAsia="Arial Unicode MS" w:hAnsi="Arial" w:cs="Arial"/>
          <w:sz w:val="24"/>
          <w:szCs w:val="24"/>
          <w:lang w:val="en-GB"/>
        </w:rPr>
        <w:t xml:space="preserve"> during the contingency degradation tests</w:t>
      </w:r>
      <w:r w:rsidR="008A16EB" w:rsidRPr="008A16EB">
        <w:rPr>
          <w:rFonts w:ascii="Arial" w:eastAsia="Arial Unicode MS" w:hAnsi="Arial" w:cs="Arial"/>
          <w:sz w:val="24"/>
          <w:szCs w:val="24"/>
          <w:lang w:val="en-GB"/>
        </w:rPr>
        <w:t xml:space="preserve"> was higher on female groups compared to male groups </w:t>
      </w:r>
      <w:r w:rsidRPr="008A16EB">
        <w:rPr>
          <w:rFonts w:ascii="Arial" w:eastAsia="Times New Roman" w:hAnsi="Arial" w:cs="Arial"/>
          <w:sz w:val="24"/>
          <w:szCs w:val="24"/>
          <w:lang w:val="en-US" w:eastAsia="es-ES"/>
        </w:rPr>
        <w:t>(F</w:t>
      </w:r>
      <w:r w:rsidRPr="008A16EB">
        <w:rPr>
          <w:rFonts w:ascii="Arial" w:eastAsia="Times New Roman" w:hAnsi="Arial" w:cs="Arial"/>
          <w:sz w:val="24"/>
          <w:szCs w:val="24"/>
          <w:vertAlign w:val="subscript"/>
          <w:lang w:val="en-US" w:eastAsia="es-ES"/>
        </w:rPr>
        <w:t>1,35</w:t>
      </w:r>
      <w:r w:rsidRPr="008A16EB">
        <w:rPr>
          <w:rFonts w:ascii="Arial" w:eastAsia="Times New Roman" w:hAnsi="Arial" w:cs="Arial"/>
          <w:sz w:val="24"/>
          <w:szCs w:val="24"/>
          <w:lang w:val="en-US" w:eastAsia="es-ES"/>
        </w:rPr>
        <w:t>=</w:t>
      </w:r>
      <w:r w:rsidRPr="008A16EB">
        <w:rPr>
          <w:rFonts w:ascii="Arial" w:eastAsia="Arial Unicode MS" w:hAnsi="Arial" w:cs="Arial"/>
          <w:sz w:val="24"/>
          <w:szCs w:val="24"/>
          <w:lang w:val="en-GB"/>
        </w:rPr>
        <w:t>0.10</w:t>
      </w:r>
      <w:r w:rsidRPr="008A16EB">
        <w:rPr>
          <w:rFonts w:ascii="Arial" w:eastAsia="Times New Roman" w:hAnsi="Arial" w:cs="Arial"/>
          <w:sz w:val="24"/>
          <w:szCs w:val="24"/>
          <w:lang w:val="en-US" w:eastAsia="es-ES"/>
        </w:rPr>
        <w:t>; p=</w:t>
      </w:r>
      <w:r w:rsidRPr="008A16EB">
        <w:rPr>
          <w:rFonts w:ascii="Arial" w:eastAsia="Arial Unicode MS" w:hAnsi="Arial" w:cs="Arial"/>
          <w:sz w:val="24"/>
          <w:szCs w:val="24"/>
          <w:lang w:val="en-GB"/>
        </w:rPr>
        <w:t>0.057</w:t>
      </w:r>
      <w:r w:rsidRPr="008A16EB">
        <w:rPr>
          <w:rFonts w:ascii="Arial" w:eastAsia="Times New Roman" w:hAnsi="Arial" w:cs="Arial"/>
          <w:sz w:val="24"/>
          <w:szCs w:val="24"/>
          <w:lang w:val="en-US" w:eastAsia="es-ES"/>
        </w:rPr>
        <w:t>; η</w:t>
      </w:r>
      <w:r w:rsidRPr="008A16EB">
        <w:rPr>
          <w:rFonts w:ascii="Arial" w:eastAsia="Times New Roman" w:hAnsi="Arial" w:cs="Arial"/>
          <w:sz w:val="24"/>
          <w:szCs w:val="24"/>
          <w:vertAlign w:val="subscript"/>
          <w:lang w:val="en-US" w:eastAsia="es-ES"/>
        </w:rPr>
        <w:t>p</w:t>
      </w:r>
      <w:r w:rsidRPr="008A16EB">
        <w:rPr>
          <w:rFonts w:ascii="Arial" w:eastAsia="Times New Roman" w:hAnsi="Arial" w:cs="Arial"/>
          <w:sz w:val="24"/>
          <w:szCs w:val="24"/>
          <w:vertAlign w:val="superscript"/>
          <w:lang w:val="en-US" w:eastAsia="es-ES"/>
        </w:rPr>
        <w:t>2</w:t>
      </w:r>
      <w:r w:rsidRPr="008A16EB">
        <w:rPr>
          <w:rFonts w:ascii="Arial" w:eastAsia="Times New Roman" w:hAnsi="Arial" w:cs="Arial"/>
          <w:sz w:val="24"/>
          <w:szCs w:val="24"/>
          <w:lang w:val="en-US" w:eastAsia="es-ES"/>
        </w:rPr>
        <w:t>=</w:t>
      </w:r>
      <w:r w:rsidRPr="008A16EB">
        <w:rPr>
          <w:rFonts w:ascii="Arial" w:eastAsia="Arial Unicode MS" w:hAnsi="Arial" w:cs="Arial"/>
          <w:sz w:val="24"/>
          <w:szCs w:val="24"/>
          <w:lang w:val="en-GB"/>
        </w:rPr>
        <w:t>0.10</w:t>
      </w:r>
      <w:r w:rsidRPr="008A16EB">
        <w:rPr>
          <w:rFonts w:ascii="Arial" w:eastAsia="Times New Roman" w:hAnsi="Arial" w:cs="Arial"/>
          <w:sz w:val="24"/>
          <w:szCs w:val="24"/>
          <w:lang w:val="en-US" w:eastAsia="es-ES"/>
        </w:rPr>
        <w:t>)</w:t>
      </w:r>
      <w:r w:rsidR="008A16EB" w:rsidRPr="008A16EB">
        <w:rPr>
          <w:rFonts w:ascii="Arial" w:eastAsia="Times New Roman" w:hAnsi="Arial" w:cs="Arial"/>
          <w:sz w:val="24"/>
          <w:szCs w:val="24"/>
          <w:lang w:val="en-US" w:eastAsia="es-ES"/>
        </w:rPr>
        <w:t>,</w:t>
      </w:r>
      <w:r w:rsidRPr="008A16EB">
        <w:rPr>
          <w:rFonts w:ascii="Arial" w:eastAsia="Arial Unicode MS" w:hAnsi="Arial" w:cs="Arial"/>
          <w:sz w:val="24"/>
          <w:szCs w:val="24"/>
          <w:lang w:val="en-GB"/>
        </w:rPr>
        <w:t xml:space="preserve"> </w:t>
      </w:r>
      <w:r w:rsidR="00807731" w:rsidRPr="008A16EB">
        <w:rPr>
          <w:rFonts w:ascii="Arial" w:eastAsia="Arial Unicode MS" w:hAnsi="Arial" w:cs="Arial"/>
          <w:sz w:val="24"/>
          <w:szCs w:val="24"/>
          <w:lang w:val="en-GB"/>
        </w:rPr>
        <w:t xml:space="preserve">being Mean±SEM minutes </w:t>
      </w:r>
      <w:r w:rsidR="00484A4A" w:rsidRPr="008A16EB">
        <w:rPr>
          <w:rFonts w:ascii="Arial" w:eastAsia="Arial Unicode MS" w:hAnsi="Arial" w:cs="Arial"/>
          <w:sz w:val="24"/>
          <w:szCs w:val="24"/>
          <w:lang w:val="en-GB"/>
        </w:rPr>
        <w:t xml:space="preserve">spent </w:t>
      </w:r>
      <w:r w:rsidR="00807731" w:rsidRPr="008A16EB">
        <w:rPr>
          <w:rFonts w:ascii="Arial" w:eastAsia="Arial Unicode MS" w:hAnsi="Arial" w:cs="Arial"/>
          <w:sz w:val="24"/>
          <w:szCs w:val="24"/>
          <w:lang w:val="en-GB"/>
        </w:rPr>
        <w:t xml:space="preserve">and group </w:t>
      </w:r>
      <w:r w:rsidR="008A16EB" w:rsidRPr="008A16EB">
        <w:rPr>
          <w:rFonts w:ascii="Arial" w:eastAsia="Arial Unicode MS" w:hAnsi="Arial" w:cs="Arial"/>
          <w:sz w:val="24"/>
          <w:szCs w:val="24"/>
          <w:lang w:val="en-GB"/>
        </w:rPr>
        <w:t>n</w:t>
      </w:r>
      <w:r w:rsidR="00807731" w:rsidRPr="008A16EB">
        <w:rPr>
          <w:rFonts w:ascii="Arial" w:eastAsia="Arial Unicode MS" w:hAnsi="Arial" w:cs="Arial"/>
          <w:sz w:val="24"/>
          <w:szCs w:val="24"/>
          <w:lang w:val="en-GB"/>
        </w:rPr>
        <w:t>: VEH-Males</w:t>
      </w:r>
      <w:r w:rsidR="008A16EB" w:rsidRPr="008A16EB">
        <w:rPr>
          <w:rFonts w:ascii="Arial" w:eastAsia="Arial Unicode MS" w:hAnsi="Arial" w:cs="Arial"/>
          <w:sz w:val="24"/>
          <w:szCs w:val="24"/>
          <w:lang w:val="en-GB"/>
        </w:rPr>
        <w:t>:</w:t>
      </w:r>
      <w:r w:rsidR="00807731" w:rsidRPr="008A16EB">
        <w:rPr>
          <w:rFonts w:ascii="Arial" w:eastAsia="Arial Unicode MS" w:hAnsi="Arial" w:cs="Arial"/>
          <w:sz w:val="24"/>
          <w:szCs w:val="24"/>
          <w:lang w:val="en-GB"/>
        </w:rPr>
        <w:t xml:space="preserve"> 29.80±0.998 | n=10; THC-males</w:t>
      </w:r>
      <w:r w:rsidR="008A16EB" w:rsidRPr="008A16EB">
        <w:rPr>
          <w:rFonts w:ascii="Arial" w:eastAsia="Arial Unicode MS" w:hAnsi="Arial" w:cs="Arial"/>
          <w:sz w:val="24"/>
          <w:szCs w:val="24"/>
          <w:lang w:val="en-GB"/>
        </w:rPr>
        <w:t>:</w:t>
      </w:r>
      <w:r w:rsidR="00807731" w:rsidRPr="008A16EB">
        <w:rPr>
          <w:rFonts w:ascii="Arial" w:eastAsia="Arial Unicode MS" w:hAnsi="Arial" w:cs="Arial"/>
          <w:sz w:val="24"/>
          <w:szCs w:val="24"/>
          <w:lang w:val="en-GB"/>
        </w:rPr>
        <w:t xml:space="preserve"> 32.9±3.44 | n=10; VEH-females</w:t>
      </w:r>
      <w:r w:rsidR="008A16EB" w:rsidRPr="008A16EB">
        <w:rPr>
          <w:rFonts w:ascii="Arial" w:eastAsia="Arial Unicode MS" w:hAnsi="Arial" w:cs="Arial"/>
          <w:sz w:val="24"/>
          <w:szCs w:val="24"/>
          <w:lang w:val="en-GB"/>
        </w:rPr>
        <w:t>:</w:t>
      </w:r>
      <w:r w:rsidR="00807731" w:rsidRPr="008A16EB">
        <w:rPr>
          <w:rFonts w:ascii="Arial" w:eastAsia="Arial Unicode MS" w:hAnsi="Arial" w:cs="Arial"/>
          <w:sz w:val="24"/>
          <w:szCs w:val="24"/>
          <w:lang w:val="en-GB"/>
        </w:rPr>
        <w:t xml:space="preserve"> 40.89±6.147 | n=9; THC-females</w:t>
      </w:r>
      <w:r w:rsidR="008A16EB" w:rsidRPr="008A16EB">
        <w:rPr>
          <w:rFonts w:ascii="Arial" w:eastAsia="Arial Unicode MS" w:hAnsi="Arial" w:cs="Arial"/>
          <w:sz w:val="24"/>
          <w:szCs w:val="24"/>
          <w:lang w:val="en-GB"/>
        </w:rPr>
        <w:t>:</w:t>
      </w:r>
      <w:r w:rsidR="00807731" w:rsidRPr="008A16EB">
        <w:rPr>
          <w:rFonts w:ascii="Arial" w:eastAsia="Arial Unicode MS" w:hAnsi="Arial" w:cs="Arial"/>
          <w:sz w:val="24"/>
          <w:szCs w:val="24"/>
          <w:lang w:val="en-GB"/>
        </w:rPr>
        <w:t xml:space="preserve"> 35.90±2.373 | n=10.</w:t>
      </w:r>
    </w:p>
    <w:p w14:paraId="48F18505" w14:textId="1DA02518" w:rsidR="00594580" w:rsidRPr="008A16EB" w:rsidRDefault="00594580" w:rsidP="008A16EB">
      <w:pPr>
        <w:spacing w:line="360" w:lineRule="auto"/>
        <w:jc w:val="both"/>
        <w:rPr>
          <w:rFonts w:ascii="Arial" w:eastAsia="Arial Unicode MS" w:hAnsi="Arial" w:cs="Arial"/>
          <w:b/>
          <w:bCs/>
          <w:sz w:val="24"/>
          <w:szCs w:val="24"/>
          <w:lang w:val="en-GB"/>
        </w:rPr>
      </w:pPr>
      <w:r w:rsidRPr="008A16EB">
        <w:rPr>
          <w:rFonts w:ascii="Arial" w:eastAsia="Arial Unicode MS" w:hAnsi="Arial" w:cs="Arial"/>
          <w:b/>
          <w:bCs/>
          <w:sz w:val="24"/>
          <w:szCs w:val="24"/>
          <w:lang w:val="en-GB"/>
        </w:rPr>
        <w:t>Pavlovian-to-Instrumental Transfer</w:t>
      </w:r>
    </w:p>
    <w:p w14:paraId="7488E9D4" w14:textId="34B6141F" w:rsidR="00594580" w:rsidRPr="0083088B" w:rsidRDefault="00594580" w:rsidP="00FA54E7">
      <w:pPr>
        <w:spacing w:line="360" w:lineRule="auto"/>
        <w:ind w:firstLine="708"/>
        <w:jc w:val="both"/>
        <w:rPr>
          <w:rFonts w:ascii="Arial" w:hAnsi="Arial" w:cs="Arial"/>
          <w:lang w:val="en-US"/>
        </w:rPr>
      </w:pPr>
      <w:r w:rsidRPr="008A16EB">
        <w:rPr>
          <w:rFonts w:ascii="Arial" w:eastAsia="Arial Unicode MS" w:hAnsi="Arial" w:cs="Arial"/>
          <w:sz w:val="24"/>
          <w:szCs w:val="24"/>
          <w:lang w:val="en-GB"/>
        </w:rPr>
        <w:t xml:space="preserve">Across Pavlovian training sessions, </w:t>
      </w:r>
      <w:r w:rsidR="006B6E54">
        <w:rPr>
          <w:rFonts w:ascii="Arial" w:eastAsia="Arial Unicode MS" w:hAnsi="Arial" w:cs="Arial"/>
          <w:sz w:val="24"/>
          <w:szCs w:val="24"/>
          <w:lang w:val="en-GB"/>
        </w:rPr>
        <w:t xml:space="preserve">the </w:t>
      </w:r>
      <w:r w:rsidRPr="008A16EB">
        <w:rPr>
          <w:rFonts w:ascii="Arial" w:eastAsia="Arial Unicode MS" w:hAnsi="Arial" w:cs="Arial"/>
          <w:sz w:val="24"/>
          <w:szCs w:val="24"/>
          <w:lang w:val="en-GB"/>
        </w:rPr>
        <w:t>CS</w:t>
      </w:r>
      <w:r w:rsidRPr="00AF2F18">
        <w:rPr>
          <w:rFonts w:ascii="Arial" w:eastAsia="Arial Unicode MS" w:hAnsi="Arial" w:cs="Arial"/>
          <w:sz w:val="24"/>
          <w:szCs w:val="24"/>
          <w:vertAlign w:val="superscript"/>
          <w:lang w:val="en-GB"/>
        </w:rPr>
        <w:t>+</w:t>
      </w:r>
      <w:r w:rsidRPr="008A16EB">
        <w:rPr>
          <w:rFonts w:ascii="Arial" w:eastAsia="Arial Unicode MS" w:hAnsi="Arial" w:cs="Arial"/>
          <w:sz w:val="24"/>
          <w:szCs w:val="24"/>
          <w:lang w:val="en-GB"/>
        </w:rPr>
        <w:t xml:space="preserve">HEs ratio showed a significant Sex x </w:t>
      </w:r>
      <w:r w:rsidR="00E16CCE">
        <w:rPr>
          <w:rFonts w:ascii="Arial" w:eastAsia="Arial Unicode MS" w:hAnsi="Arial" w:cs="Arial"/>
          <w:sz w:val="24"/>
          <w:szCs w:val="24"/>
          <w:lang w:val="en-GB"/>
        </w:rPr>
        <w:t>ACE</w:t>
      </w:r>
      <w:r w:rsidR="00E16CCE" w:rsidRPr="008A16EB">
        <w:rPr>
          <w:rFonts w:ascii="Arial" w:eastAsia="Arial Unicode MS" w:hAnsi="Arial" w:cs="Arial"/>
          <w:sz w:val="24"/>
          <w:szCs w:val="24"/>
          <w:lang w:val="en-GB"/>
        </w:rPr>
        <w:t xml:space="preserve"> </w:t>
      </w:r>
      <w:r w:rsidRPr="0083088B">
        <w:rPr>
          <w:rFonts w:ascii="Arial" w:eastAsia="Arial Unicode MS" w:hAnsi="Arial" w:cs="Arial"/>
          <w:sz w:val="24"/>
          <w:szCs w:val="24"/>
          <w:lang w:val="en-GB"/>
        </w:rPr>
        <w:t>interaction</w:t>
      </w:r>
      <w:r w:rsidR="00AF2F18" w:rsidRPr="0083088B">
        <w:rPr>
          <w:rFonts w:ascii="Arial" w:eastAsia="Arial Unicode MS" w:hAnsi="Arial" w:cs="Arial"/>
          <w:sz w:val="24"/>
          <w:szCs w:val="24"/>
          <w:lang w:val="en-GB"/>
        </w:rPr>
        <w:t xml:space="preserve"> (F</w:t>
      </w:r>
      <w:r w:rsidR="00E10008" w:rsidRPr="0083088B">
        <w:rPr>
          <w:rFonts w:ascii="Arial" w:eastAsia="Arial Unicode MS" w:hAnsi="Arial" w:cs="Arial"/>
          <w:sz w:val="24"/>
          <w:szCs w:val="24"/>
          <w:vertAlign w:val="subscript"/>
          <w:lang w:val="en-GB"/>
        </w:rPr>
        <w:t>4.9,202.8</w:t>
      </w:r>
      <w:r w:rsidR="00AF2F18" w:rsidRPr="0083088B">
        <w:rPr>
          <w:rFonts w:ascii="Arial" w:eastAsia="Arial Unicode MS" w:hAnsi="Arial" w:cs="Arial"/>
          <w:sz w:val="24"/>
          <w:szCs w:val="24"/>
          <w:lang w:val="en-GB"/>
        </w:rPr>
        <w:t>=2.37</w:t>
      </w:r>
      <w:r w:rsidR="00E10008" w:rsidRPr="0083088B">
        <w:rPr>
          <w:rFonts w:ascii="Arial" w:eastAsia="Arial Unicode MS" w:hAnsi="Arial" w:cs="Arial"/>
          <w:sz w:val="24"/>
          <w:szCs w:val="24"/>
          <w:lang w:val="en-GB"/>
        </w:rPr>
        <w:t>5</w:t>
      </w:r>
      <w:r w:rsidR="00E10008" w:rsidRPr="0083088B">
        <w:rPr>
          <w:rFonts w:ascii="Arial" w:eastAsia="Times New Roman" w:hAnsi="Arial" w:cs="Arial"/>
          <w:sz w:val="24"/>
          <w:szCs w:val="24"/>
          <w:lang w:val="en-US" w:eastAsia="es-ES"/>
        </w:rPr>
        <w:t>; p=</w:t>
      </w:r>
      <w:r w:rsidR="00E10008" w:rsidRPr="0083088B">
        <w:rPr>
          <w:rFonts w:ascii="Arial" w:eastAsia="Arial Unicode MS" w:hAnsi="Arial" w:cs="Arial"/>
          <w:sz w:val="24"/>
          <w:szCs w:val="24"/>
          <w:lang w:val="en-GB"/>
        </w:rPr>
        <w:t xml:space="preserve">0.041; </w:t>
      </w:r>
      <w:r w:rsidR="00E10008" w:rsidRPr="0083088B">
        <w:rPr>
          <w:rFonts w:ascii="Arial" w:eastAsia="Times New Roman" w:hAnsi="Arial" w:cs="Arial"/>
          <w:sz w:val="24"/>
          <w:szCs w:val="24"/>
          <w:lang w:val="en-US" w:eastAsia="es-ES"/>
        </w:rPr>
        <w:t>η</w:t>
      </w:r>
      <w:r w:rsidR="00E10008" w:rsidRPr="0083088B">
        <w:rPr>
          <w:rFonts w:ascii="Arial" w:eastAsia="Times New Roman" w:hAnsi="Arial" w:cs="Arial"/>
          <w:sz w:val="24"/>
          <w:szCs w:val="24"/>
          <w:vertAlign w:val="subscript"/>
          <w:lang w:val="en-US" w:eastAsia="es-ES"/>
        </w:rPr>
        <w:t>p</w:t>
      </w:r>
      <w:r w:rsidR="00E10008" w:rsidRPr="0083088B">
        <w:rPr>
          <w:rFonts w:ascii="Arial" w:eastAsia="Times New Roman" w:hAnsi="Arial" w:cs="Arial"/>
          <w:sz w:val="24"/>
          <w:szCs w:val="24"/>
          <w:vertAlign w:val="superscript"/>
          <w:lang w:val="en-US" w:eastAsia="es-ES"/>
        </w:rPr>
        <w:t>2</w:t>
      </w:r>
      <w:r w:rsidR="00E10008" w:rsidRPr="0083088B">
        <w:rPr>
          <w:rFonts w:ascii="Arial" w:eastAsia="Times New Roman" w:hAnsi="Arial" w:cs="Arial"/>
          <w:sz w:val="24"/>
          <w:szCs w:val="24"/>
          <w:lang w:val="en-US" w:eastAsia="es-ES"/>
        </w:rPr>
        <w:t>=</w:t>
      </w:r>
      <w:r w:rsidR="00AF2F18" w:rsidRPr="0083088B">
        <w:rPr>
          <w:rFonts w:ascii="Arial" w:eastAsia="Arial Unicode MS" w:hAnsi="Arial" w:cs="Arial"/>
          <w:sz w:val="24"/>
          <w:szCs w:val="24"/>
          <w:lang w:val="en-GB"/>
        </w:rPr>
        <w:t>0.06)</w:t>
      </w:r>
      <w:r w:rsidRPr="0083088B">
        <w:rPr>
          <w:rFonts w:ascii="Arial" w:eastAsia="Arial Unicode MS" w:hAnsi="Arial" w:cs="Arial"/>
          <w:sz w:val="24"/>
          <w:szCs w:val="24"/>
          <w:lang w:val="en-GB"/>
        </w:rPr>
        <w:t xml:space="preserve">, but there were no significant simple effects. All groups progressively increased their bias to perform </w:t>
      </w:r>
      <w:r w:rsidRPr="0083088B">
        <w:rPr>
          <w:rFonts w:ascii="Arial" w:eastAsia="Arial Unicode MS" w:hAnsi="Arial" w:cs="Arial"/>
          <w:sz w:val="24"/>
          <w:szCs w:val="24"/>
          <w:lang w:val="en-GB"/>
        </w:rPr>
        <w:lastRenderedPageBreak/>
        <w:t>more HE</w:t>
      </w:r>
      <w:r w:rsidR="00521C96" w:rsidRPr="0083088B">
        <w:rPr>
          <w:rFonts w:ascii="Arial" w:eastAsia="Arial Unicode MS" w:hAnsi="Arial" w:cs="Arial"/>
          <w:sz w:val="24"/>
          <w:szCs w:val="24"/>
          <w:lang w:val="en-GB"/>
        </w:rPr>
        <w:t>s</w:t>
      </w:r>
      <w:r w:rsidRPr="0083088B">
        <w:rPr>
          <w:rFonts w:ascii="Arial" w:eastAsia="Arial Unicode MS" w:hAnsi="Arial" w:cs="Arial"/>
          <w:sz w:val="24"/>
          <w:szCs w:val="24"/>
          <w:lang w:val="en-GB"/>
        </w:rPr>
        <w:t xml:space="preserve"> during CS</w:t>
      </w:r>
      <w:r w:rsidRPr="0083088B">
        <w:rPr>
          <w:rFonts w:ascii="Arial" w:eastAsia="Arial Unicode MS" w:hAnsi="Arial" w:cs="Arial"/>
          <w:sz w:val="24"/>
          <w:szCs w:val="24"/>
          <w:vertAlign w:val="superscript"/>
          <w:lang w:val="en-GB"/>
        </w:rPr>
        <w:t>+</w:t>
      </w:r>
      <w:r w:rsidRPr="0083088B">
        <w:rPr>
          <w:rFonts w:ascii="Arial" w:eastAsia="Arial Unicode MS" w:hAnsi="Arial" w:cs="Arial"/>
          <w:sz w:val="24"/>
          <w:szCs w:val="24"/>
          <w:lang w:val="en-GB"/>
        </w:rPr>
        <w:t xml:space="preserve"> than during CS</w:t>
      </w:r>
      <w:r w:rsidRPr="0083088B">
        <w:rPr>
          <w:rFonts w:ascii="Arial" w:eastAsia="Arial Unicode MS" w:hAnsi="Arial" w:cs="Arial"/>
          <w:sz w:val="24"/>
          <w:szCs w:val="24"/>
          <w:vertAlign w:val="superscript"/>
          <w:lang w:val="en-GB"/>
        </w:rPr>
        <w:t>-</w:t>
      </w:r>
      <w:r w:rsidRPr="0083088B">
        <w:rPr>
          <w:rFonts w:ascii="Arial" w:eastAsia="Arial Unicode MS" w:hAnsi="Arial" w:cs="Arial"/>
          <w:sz w:val="24"/>
          <w:szCs w:val="24"/>
          <w:lang w:val="en-GB"/>
        </w:rPr>
        <w:t xml:space="preserve"> </w:t>
      </w:r>
      <w:r w:rsidR="00AF2F18" w:rsidRPr="0083088B">
        <w:rPr>
          <w:rFonts w:ascii="Arial" w:eastAsia="Arial Unicode MS" w:hAnsi="Arial" w:cs="Arial"/>
          <w:sz w:val="24"/>
          <w:szCs w:val="24"/>
          <w:lang w:val="en-GB"/>
        </w:rPr>
        <w:t>(F</w:t>
      </w:r>
      <w:r w:rsidR="00E10008" w:rsidRPr="0083088B">
        <w:rPr>
          <w:rFonts w:ascii="Arial" w:eastAsia="Arial Unicode MS" w:hAnsi="Arial" w:cs="Arial"/>
          <w:sz w:val="24"/>
          <w:szCs w:val="24"/>
          <w:vertAlign w:val="subscript"/>
          <w:lang w:val="en-GB"/>
        </w:rPr>
        <w:t>4.9,202.8</w:t>
      </w:r>
      <w:r w:rsidR="00AF2F18" w:rsidRPr="0083088B">
        <w:rPr>
          <w:rFonts w:ascii="Arial" w:eastAsia="Arial Unicode MS" w:hAnsi="Arial" w:cs="Arial"/>
          <w:sz w:val="24"/>
          <w:szCs w:val="24"/>
          <w:lang w:val="en-GB"/>
        </w:rPr>
        <w:t>=11.33</w:t>
      </w:r>
      <w:r w:rsidR="00E10008" w:rsidRPr="0083088B">
        <w:rPr>
          <w:rFonts w:ascii="Arial" w:eastAsia="Times New Roman" w:hAnsi="Arial" w:cs="Arial"/>
          <w:sz w:val="24"/>
          <w:szCs w:val="24"/>
          <w:lang w:val="en-US" w:eastAsia="es-ES"/>
        </w:rPr>
        <w:t>; p=</w:t>
      </w:r>
      <w:r w:rsidR="00E10008" w:rsidRPr="0083088B">
        <w:rPr>
          <w:rFonts w:ascii="Arial" w:eastAsia="Arial Unicode MS" w:hAnsi="Arial" w:cs="Arial"/>
          <w:sz w:val="24"/>
          <w:szCs w:val="24"/>
          <w:lang w:val="en-GB"/>
        </w:rPr>
        <w:t xml:space="preserve">0.000; </w:t>
      </w:r>
      <w:r w:rsidR="00E10008" w:rsidRPr="0083088B">
        <w:rPr>
          <w:rFonts w:ascii="Arial" w:eastAsia="Times New Roman" w:hAnsi="Arial" w:cs="Arial"/>
          <w:sz w:val="24"/>
          <w:szCs w:val="24"/>
          <w:lang w:val="en-US" w:eastAsia="es-ES"/>
        </w:rPr>
        <w:t>η</w:t>
      </w:r>
      <w:r w:rsidR="00E10008" w:rsidRPr="0083088B">
        <w:rPr>
          <w:rFonts w:ascii="Arial" w:eastAsia="Times New Roman" w:hAnsi="Arial" w:cs="Arial"/>
          <w:sz w:val="24"/>
          <w:szCs w:val="24"/>
          <w:vertAlign w:val="subscript"/>
          <w:lang w:val="en-US" w:eastAsia="es-ES"/>
        </w:rPr>
        <w:t>p</w:t>
      </w:r>
      <w:r w:rsidR="00E10008" w:rsidRPr="0083088B">
        <w:rPr>
          <w:rFonts w:ascii="Arial" w:eastAsia="Times New Roman" w:hAnsi="Arial" w:cs="Arial"/>
          <w:sz w:val="24"/>
          <w:szCs w:val="24"/>
          <w:vertAlign w:val="superscript"/>
          <w:lang w:val="en-US" w:eastAsia="es-ES"/>
        </w:rPr>
        <w:t>2</w:t>
      </w:r>
      <w:r w:rsidR="00E10008" w:rsidRPr="0083088B">
        <w:rPr>
          <w:rFonts w:ascii="Arial" w:eastAsia="Times New Roman" w:hAnsi="Arial" w:cs="Arial"/>
          <w:sz w:val="24"/>
          <w:szCs w:val="24"/>
          <w:lang w:val="en-US" w:eastAsia="es-ES"/>
        </w:rPr>
        <w:t>=</w:t>
      </w:r>
      <w:r w:rsidR="00AF2F18" w:rsidRPr="0083088B">
        <w:rPr>
          <w:rFonts w:ascii="Arial" w:eastAsia="Arial Unicode MS" w:hAnsi="Arial" w:cs="Arial"/>
          <w:sz w:val="24"/>
          <w:szCs w:val="24"/>
          <w:lang w:val="en-GB"/>
        </w:rPr>
        <w:t xml:space="preserve">0.22) </w:t>
      </w:r>
      <w:r w:rsidRPr="0083088B">
        <w:rPr>
          <w:rFonts w:ascii="Arial" w:eastAsia="Arial Unicode MS" w:hAnsi="Arial" w:cs="Arial"/>
          <w:sz w:val="24"/>
          <w:szCs w:val="24"/>
          <w:lang w:val="en-GB"/>
        </w:rPr>
        <w:t xml:space="preserve">and </w:t>
      </w:r>
      <w:r w:rsidR="002524EB" w:rsidRPr="0083088B">
        <w:rPr>
          <w:rFonts w:ascii="Arial" w:eastAsia="Arial Unicode MS" w:hAnsi="Arial" w:cs="Arial"/>
          <w:sz w:val="24"/>
          <w:szCs w:val="24"/>
          <w:lang w:val="en-GB"/>
        </w:rPr>
        <w:t>finished</w:t>
      </w:r>
      <w:r w:rsidRPr="0083088B">
        <w:rPr>
          <w:rFonts w:ascii="Arial" w:eastAsia="Arial Unicode MS" w:hAnsi="Arial" w:cs="Arial"/>
          <w:sz w:val="24"/>
          <w:szCs w:val="24"/>
          <w:lang w:val="en-GB"/>
        </w:rPr>
        <w:t xml:space="preserve"> the Pavlovian training with ratios over 0</w:t>
      </w:r>
      <w:r w:rsidR="00521C96" w:rsidRPr="0083088B">
        <w:rPr>
          <w:rFonts w:ascii="Arial" w:eastAsia="Arial Unicode MS" w:hAnsi="Arial" w:cs="Arial"/>
          <w:sz w:val="24"/>
          <w:szCs w:val="24"/>
          <w:lang w:val="en-GB"/>
        </w:rPr>
        <w:t>.</w:t>
      </w:r>
      <w:r w:rsidRPr="0083088B">
        <w:rPr>
          <w:rFonts w:ascii="Arial" w:eastAsia="Arial Unicode MS" w:hAnsi="Arial" w:cs="Arial"/>
          <w:sz w:val="24"/>
          <w:szCs w:val="24"/>
          <w:lang w:val="en-GB"/>
        </w:rPr>
        <w:t>7</w:t>
      </w:r>
      <w:r w:rsidR="009E4085" w:rsidRPr="0083088B">
        <w:rPr>
          <w:rFonts w:ascii="Arial" w:eastAsia="Arial Unicode MS" w:hAnsi="Arial" w:cs="Arial"/>
          <w:sz w:val="24"/>
          <w:szCs w:val="24"/>
          <w:lang w:val="en-GB"/>
        </w:rPr>
        <w:t xml:space="preserve"> (see Figure </w:t>
      </w:r>
      <w:r w:rsidR="00EC2ECC" w:rsidRPr="0083088B">
        <w:rPr>
          <w:rFonts w:ascii="Arial" w:eastAsia="Arial Unicode MS" w:hAnsi="Arial" w:cs="Arial"/>
          <w:sz w:val="24"/>
          <w:szCs w:val="24"/>
          <w:lang w:val="en-GB"/>
        </w:rPr>
        <w:t>S</w:t>
      </w:r>
      <w:r w:rsidR="00AF2F18" w:rsidRPr="0083088B">
        <w:rPr>
          <w:rFonts w:ascii="Arial" w:eastAsia="Arial Unicode MS" w:hAnsi="Arial" w:cs="Arial"/>
          <w:sz w:val="24"/>
          <w:szCs w:val="24"/>
          <w:lang w:val="en-GB"/>
        </w:rPr>
        <w:t>3A</w:t>
      </w:r>
      <w:r w:rsidR="00EC2ECC" w:rsidRPr="0083088B">
        <w:rPr>
          <w:rFonts w:ascii="Arial" w:eastAsia="Arial Unicode MS" w:hAnsi="Arial" w:cs="Arial"/>
          <w:sz w:val="24"/>
          <w:szCs w:val="24"/>
          <w:lang w:val="en-GB"/>
        </w:rPr>
        <w:t>)</w:t>
      </w:r>
      <w:r w:rsidRPr="0083088B">
        <w:rPr>
          <w:rFonts w:ascii="Arial" w:eastAsia="Arial Unicode MS" w:hAnsi="Arial" w:cs="Arial"/>
          <w:sz w:val="24"/>
          <w:szCs w:val="24"/>
          <w:lang w:val="en-GB"/>
        </w:rPr>
        <w:t xml:space="preserve">. </w:t>
      </w:r>
    </w:p>
    <w:p w14:paraId="437F6220" w14:textId="2F2B918C" w:rsidR="00594580" w:rsidRPr="0083088B" w:rsidRDefault="006B6E54">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GB"/>
        </w:rPr>
        <w:t>Across</w:t>
      </w:r>
      <w:r w:rsidR="00594580" w:rsidRPr="0083088B">
        <w:rPr>
          <w:rFonts w:ascii="Arial" w:eastAsia="Arial Unicode MS" w:hAnsi="Arial" w:cs="Arial"/>
          <w:sz w:val="24"/>
          <w:szCs w:val="24"/>
          <w:lang w:val="en-GB"/>
        </w:rPr>
        <w:t xml:space="preserve"> the </w:t>
      </w:r>
      <w:r w:rsidR="00414F07" w:rsidRPr="0083088B">
        <w:rPr>
          <w:rFonts w:ascii="Arial" w:eastAsia="Arial Unicode MS" w:hAnsi="Arial" w:cs="Arial"/>
          <w:sz w:val="24"/>
          <w:szCs w:val="24"/>
          <w:lang w:val="en-GB"/>
        </w:rPr>
        <w:t xml:space="preserve">time </w:t>
      </w:r>
      <w:r w:rsidR="00594580" w:rsidRPr="0083088B">
        <w:rPr>
          <w:rFonts w:ascii="Arial" w:eastAsia="Arial Unicode MS" w:hAnsi="Arial" w:cs="Arial"/>
          <w:sz w:val="24"/>
          <w:szCs w:val="24"/>
          <w:lang w:val="en-GB"/>
        </w:rPr>
        <w:t xml:space="preserve">course of </w:t>
      </w:r>
      <w:r w:rsidR="00414F07" w:rsidRPr="0083088B">
        <w:rPr>
          <w:rFonts w:ascii="Arial" w:eastAsia="Arial Unicode MS" w:hAnsi="Arial" w:cs="Arial"/>
          <w:sz w:val="24"/>
          <w:szCs w:val="24"/>
          <w:lang w:val="en-GB"/>
        </w:rPr>
        <w:t>the instrumental training</w:t>
      </w:r>
      <w:r w:rsidR="00594580" w:rsidRPr="0083088B">
        <w:rPr>
          <w:rFonts w:ascii="Arial" w:eastAsia="Arial Unicode MS" w:hAnsi="Arial" w:cs="Arial"/>
          <w:sz w:val="24"/>
          <w:szCs w:val="24"/>
          <w:lang w:val="en-GB"/>
        </w:rPr>
        <w:t xml:space="preserve"> sessions</w:t>
      </w:r>
      <w:r w:rsidR="00414F07" w:rsidRPr="0083088B">
        <w:rPr>
          <w:rFonts w:ascii="Arial" w:eastAsia="Arial Unicode MS" w:hAnsi="Arial" w:cs="Arial"/>
          <w:sz w:val="24"/>
          <w:szCs w:val="24"/>
          <w:lang w:val="en-GB"/>
        </w:rPr>
        <w:t>,</w:t>
      </w:r>
      <w:r w:rsidR="00594580" w:rsidRPr="0083088B">
        <w:rPr>
          <w:rFonts w:ascii="Arial" w:eastAsia="Arial Unicode MS" w:hAnsi="Arial" w:cs="Arial"/>
          <w:sz w:val="24"/>
          <w:szCs w:val="24"/>
          <w:lang w:val="en-GB"/>
        </w:rPr>
        <w:t xml:space="preserve"> animals rapidly learned instrumental contingencies associated with both levers</w:t>
      </w:r>
      <w:r w:rsidR="00E10008" w:rsidRPr="0083088B">
        <w:rPr>
          <w:rFonts w:ascii="Arial" w:eastAsia="Arial Unicode MS" w:hAnsi="Arial" w:cs="Arial"/>
          <w:sz w:val="24"/>
          <w:szCs w:val="24"/>
          <w:lang w:val="en-GB"/>
        </w:rPr>
        <w:t xml:space="preserve"> </w:t>
      </w:r>
      <w:r w:rsidR="00F80189" w:rsidRPr="0083088B">
        <w:rPr>
          <w:rFonts w:ascii="Arial" w:eastAsia="Arial Unicode MS" w:hAnsi="Arial" w:cs="Arial"/>
          <w:sz w:val="24"/>
          <w:szCs w:val="24"/>
          <w:lang w:val="en-GB"/>
        </w:rPr>
        <w:t>(</w:t>
      </w:r>
      <w:r w:rsidR="00E10008" w:rsidRPr="0083088B">
        <w:rPr>
          <w:rFonts w:ascii="Arial" w:eastAsia="Arial Unicode MS" w:hAnsi="Arial" w:cs="Arial"/>
          <w:sz w:val="24"/>
          <w:szCs w:val="24"/>
          <w:lang w:val="en-GB"/>
        </w:rPr>
        <w:t>F</w:t>
      </w:r>
      <w:r w:rsidR="00E10008" w:rsidRPr="0083088B">
        <w:rPr>
          <w:rFonts w:ascii="Arial" w:eastAsia="Arial Unicode MS" w:hAnsi="Arial" w:cs="Arial"/>
          <w:sz w:val="24"/>
          <w:szCs w:val="24"/>
          <w:vertAlign w:val="subscript"/>
          <w:lang w:val="en-GB"/>
        </w:rPr>
        <w:t>6,252</w:t>
      </w:r>
      <w:r w:rsidR="00E10008" w:rsidRPr="0083088B">
        <w:rPr>
          <w:rFonts w:ascii="Arial" w:eastAsia="Arial Unicode MS" w:hAnsi="Arial" w:cs="Arial"/>
          <w:sz w:val="24"/>
          <w:szCs w:val="24"/>
          <w:lang w:val="en-GB"/>
        </w:rPr>
        <w:t>=6153;</w:t>
      </w:r>
      <w:r w:rsidR="00F80189" w:rsidRPr="0083088B">
        <w:rPr>
          <w:rFonts w:ascii="Arial" w:eastAsia="Arial Unicode MS" w:hAnsi="Arial" w:cs="Arial"/>
          <w:sz w:val="24"/>
          <w:szCs w:val="24"/>
          <w:lang w:val="en-GB"/>
        </w:rPr>
        <w:t xml:space="preserve"> </w:t>
      </w:r>
      <w:r w:rsidR="00E10008" w:rsidRPr="0083088B">
        <w:rPr>
          <w:rFonts w:ascii="Arial" w:eastAsia="Arial Unicode MS" w:hAnsi="Arial" w:cs="Arial"/>
          <w:sz w:val="24"/>
          <w:szCs w:val="24"/>
          <w:lang w:val="en-GB"/>
        </w:rPr>
        <w:t xml:space="preserve">p=0.000; </w:t>
      </w:r>
      <w:r w:rsidR="00E10008" w:rsidRPr="0083088B">
        <w:rPr>
          <w:rFonts w:ascii="Arial" w:eastAsia="Times New Roman" w:hAnsi="Arial" w:cs="Arial"/>
          <w:sz w:val="24"/>
          <w:szCs w:val="24"/>
          <w:lang w:val="en-US" w:eastAsia="es-ES"/>
        </w:rPr>
        <w:t>η</w:t>
      </w:r>
      <w:r w:rsidR="00E10008" w:rsidRPr="0083088B">
        <w:rPr>
          <w:rFonts w:ascii="Arial" w:eastAsia="Times New Roman" w:hAnsi="Arial" w:cs="Arial"/>
          <w:sz w:val="24"/>
          <w:szCs w:val="24"/>
          <w:vertAlign w:val="subscript"/>
          <w:lang w:val="en-US" w:eastAsia="es-ES"/>
        </w:rPr>
        <w:t>p</w:t>
      </w:r>
      <w:r w:rsidR="00E10008" w:rsidRPr="0083088B">
        <w:rPr>
          <w:rFonts w:ascii="Arial" w:eastAsia="Times New Roman" w:hAnsi="Arial" w:cs="Arial"/>
          <w:sz w:val="24"/>
          <w:szCs w:val="24"/>
          <w:vertAlign w:val="superscript"/>
          <w:lang w:val="en-US" w:eastAsia="es-ES"/>
        </w:rPr>
        <w:t>2</w:t>
      </w:r>
      <w:r w:rsidR="00F80189" w:rsidRPr="0083088B">
        <w:rPr>
          <w:rFonts w:ascii="Arial" w:eastAsia="Times New Roman" w:hAnsi="Arial" w:cs="Arial"/>
          <w:sz w:val="24"/>
          <w:szCs w:val="24"/>
          <w:lang w:val="en-US" w:eastAsia="es-ES"/>
        </w:rPr>
        <w:t>=</w:t>
      </w:r>
      <w:r w:rsidR="00E10008" w:rsidRPr="0083088B">
        <w:rPr>
          <w:rFonts w:ascii="Arial" w:eastAsia="Arial Unicode MS" w:hAnsi="Arial" w:cs="Arial"/>
          <w:sz w:val="24"/>
          <w:szCs w:val="24"/>
          <w:lang w:val="en-GB"/>
        </w:rPr>
        <w:t>0.99)</w:t>
      </w:r>
      <w:r w:rsidR="00533D63" w:rsidRPr="0083088B">
        <w:rPr>
          <w:rFonts w:ascii="Arial" w:eastAsia="Arial Unicode MS" w:hAnsi="Arial" w:cs="Arial"/>
          <w:sz w:val="24"/>
          <w:szCs w:val="24"/>
          <w:lang w:val="en-GB"/>
        </w:rPr>
        <w:t>. The</w:t>
      </w:r>
      <w:r w:rsidR="00594580" w:rsidRPr="0083088B">
        <w:rPr>
          <w:rFonts w:ascii="Arial" w:eastAsia="Arial Unicode MS" w:hAnsi="Arial" w:cs="Arial"/>
          <w:sz w:val="24"/>
          <w:szCs w:val="24"/>
          <w:lang w:val="en-GB"/>
        </w:rPr>
        <w:t xml:space="preserve"> </w:t>
      </w:r>
      <w:r w:rsidR="00F80189" w:rsidRPr="0083088B">
        <w:rPr>
          <w:rFonts w:ascii="Arial" w:eastAsia="Arial Unicode MS" w:hAnsi="Arial" w:cs="Arial"/>
          <w:sz w:val="24"/>
          <w:szCs w:val="24"/>
          <w:lang w:val="en-GB"/>
        </w:rPr>
        <w:t>ALP</w:t>
      </w:r>
      <w:r w:rsidR="00594580" w:rsidRPr="0083088B">
        <w:rPr>
          <w:rFonts w:ascii="Arial" w:eastAsia="Arial Unicode MS" w:hAnsi="Arial" w:cs="Arial"/>
          <w:sz w:val="24"/>
          <w:szCs w:val="24"/>
          <w:lang w:val="en-GB"/>
        </w:rPr>
        <w:t xml:space="preserve"> ratio at the end of the training was over 0.8</w:t>
      </w:r>
      <w:r w:rsidR="00D7226B" w:rsidRPr="0083088B">
        <w:rPr>
          <w:rFonts w:ascii="Arial" w:eastAsia="Arial Unicode MS" w:hAnsi="Arial" w:cs="Arial"/>
          <w:sz w:val="24"/>
          <w:szCs w:val="24"/>
          <w:lang w:val="en-GB"/>
        </w:rPr>
        <w:t xml:space="preserve"> (see Figure S</w:t>
      </w:r>
      <w:r w:rsidR="00151576" w:rsidRPr="0083088B">
        <w:rPr>
          <w:rFonts w:ascii="Arial" w:eastAsia="Arial Unicode MS" w:hAnsi="Arial" w:cs="Arial"/>
          <w:sz w:val="24"/>
          <w:szCs w:val="24"/>
          <w:lang w:val="en-GB"/>
        </w:rPr>
        <w:t>3</w:t>
      </w:r>
      <w:r w:rsidR="0083088B">
        <w:rPr>
          <w:rFonts w:ascii="Arial" w:eastAsia="Arial Unicode MS" w:hAnsi="Arial" w:cs="Arial"/>
          <w:sz w:val="24"/>
          <w:szCs w:val="24"/>
          <w:lang w:val="en-GB"/>
        </w:rPr>
        <w:t>B</w:t>
      </w:r>
      <w:r w:rsidR="00D7226B" w:rsidRPr="0083088B">
        <w:rPr>
          <w:rFonts w:ascii="Arial" w:eastAsia="Arial Unicode MS" w:hAnsi="Arial" w:cs="Arial"/>
          <w:sz w:val="24"/>
          <w:szCs w:val="24"/>
          <w:lang w:val="en-GB"/>
        </w:rPr>
        <w:t>)</w:t>
      </w:r>
      <w:r w:rsidR="00594580" w:rsidRPr="0083088B">
        <w:rPr>
          <w:rFonts w:ascii="Arial" w:eastAsia="Arial Unicode MS" w:hAnsi="Arial" w:cs="Arial"/>
          <w:sz w:val="24"/>
          <w:szCs w:val="24"/>
          <w:lang w:val="en-GB"/>
        </w:rPr>
        <w:t xml:space="preserve">. </w:t>
      </w:r>
    </w:p>
    <w:p w14:paraId="08E44610" w14:textId="482EBFE1" w:rsidR="00594580" w:rsidRPr="0083088B" w:rsidRDefault="008C2C31" w:rsidP="008A16EB">
      <w:pPr>
        <w:spacing w:line="360" w:lineRule="auto"/>
        <w:ind w:firstLine="708"/>
        <w:jc w:val="both"/>
        <w:rPr>
          <w:rFonts w:ascii="Arial" w:eastAsia="Arial Unicode MS" w:hAnsi="Arial" w:cs="Arial"/>
          <w:sz w:val="24"/>
          <w:szCs w:val="24"/>
          <w:lang w:val="en-GB"/>
        </w:rPr>
      </w:pPr>
      <w:r w:rsidRPr="0083088B">
        <w:rPr>
          <w:rFonts w:ascii="Arial" w:eastAsia="Arial Unicode MS" w:hAnsi="Arial" w:cs="Arial"/>
          <w:sz w:val="24"/>
          <w:szCs w:val="24"/>
          <w:lang w:val="en-GB"/>
        </w:rPr>
        <w:t>The</w:t>
      </w:r>
      <w:r w:rsidR="0031542A" w:rsidRPr="0083088B">
        <w:rPr>
          <w:rFonts w:ascii="Arial" w:eastAsia="Arial Unicode MS" w:hAnsi="Arial" w:cs="Arial"/>
          <w:sz w:val="24"/>
          <w:szCs w:val="24"/>
          <w:lang w:val="en-GB"/>
        </w:rPr>
        <w:t>re was</w:t>
      </w:r>
      <w:r w:rsidRPr="0083088B">
        <w:rPr>
          <w:rFonts w:ascii="Arial" w:eastAsia="Arial Unicode MS" w:hAnsi="Arial" w:cs="Arial"/>
          <w:sz w:val="24"/>
          <w:szCs w:val="24"/>
          <w:lang w:val="en-GB"/>
        </w:rPr>
        <w:t xml:space="preserve"> </w:t>
      </w:r>
      <w:r w:rsidR="0031542A" w:rsidRPr="0083088B">
        <w:rPr>
          <w:rFonts w:ascii="Arial" w:eastAsia="Arial Unicode MS" w:hAnsi="Arial" w:cs="Arial"/>
          <w:sz w:val="24"/>
          <w:szCs w:val="24"/>
          <w:lang w:val="en-GB"/>
        </w:rPr>
        <w:t>a decrease in the number of ALP across the extinction sessions</w:t>
      </w:r>
      <w:r w:rsidR="00AF2F18" w:rsidRPr="0083088B">
        <w:rPr>
          <w:rFonts w:ascii="Arial" w:eastAsia="Arial Unicode MS" w:hAnsi="Arial" w:cs="Arial"/>
          <w:sz w:val="24"/>
          <w:szCs w:val="24"/>
          <w:lang w:val="en-GB"/>
        </w:rPr>
        <w:t xml:space="preserve"> (F</w:t>
      </w:r>
      <w:r w:rsidR="00AF2F18" w:rsidRPr="0083088B">
        <w:rPr>
          <w:rFonts w:ascii="Arial" w:eastAsia="Arial Unicode MS" w:hAnsi="Arial" w:cs="Arial"/>
          <w:sz w:val="24"/>
          <w:szCs w:val="24"/>
          <w:vertAlign w:val="subscript"/>
          <w:lang w:val="en-GB"/>
        </w:rPr>
        <w:t>2,84</w:t>
      </w:r>
      <w:r w:rsidR="00AF2F18" w:rsidRPr="0083088B">
        <w:rPr>
          <w:rFonts w:ascii="Arial" w:eastAsia="Arial Unicode MS" w:hAnsi="Arial" w:cs="Arial"/>
          <w:sz w:val="24"/>
          <w:szCs w:val="24"/>
          <w:lang w:val="en-GB"/>
        </w:rPr>
        <w:t xml:space="preserve">=226.2; p=0.000; </w:t>
      </w:r>
      <w:r w:rsidR="00AF2F18" w:rsidRPr="0083088B">
        <w:rPr>
          <w:rFonts w:ascii="Arial" w:eastAsia="Times New Roman" w:hAnsi="Arial" w:cs="Arial"/>
          <w:sz w:val="24"/>
          <w:szCs w:val="24"/>
          <w:lang w:val="en-US" w:eastAsia="es-ES"/>
        </w:rPr>
        <w:t>η</w:t>
      </w:r>
      <w:r w:rsidR="00AF2F18" w:rsidRPr="0083088B">
        <w:rPr>
          <w:rFonts w:ascii="Arial" w:eastAsia="Times New Roman" w:hAnsi="Arial" w:cs="Arial"/>
          <w:sz w:val="24"/>
          <w:szCs w:val="24"/>
          <w:vertAlign w:val="subscript"/>
          <w:lang w:val="en-US" w:eastAsia="es-ES"/>
        </w:rPr>
        <w:t>p</w:t>
      </w:r>
      <w:r w:rsidR="00AF2F18" w:rsidRPr="0083088B">
        <w:rPr>
          <w:rFonts w:ascii="Arial" w:eastAsia="Times New Roman" w:hAnsi="Arial" w:cs="Arial"/>
          <w:sz w:val="24"/>
          <w:szCs w:val="24"/>
          <w:vertAlign w:val="superscript"/>
          <w:lang w:val="en-US" w:eastAsia="es-ES"/>
        </w:rPr>
        <w:t>2</w:t>
      </w:r>
      <w:r w:rsidR="00AF2F18" w:rsidRPr="0083088B">
        <w:rPr>
          <w:rFonts w:ascii="Arial" w:eastAsia="Times New Roman" w:hAnsi="Arial" w:cs="Arial"/>
          <w:sz w:val="24"/>
          <w:szCs w:val="24"/>
          <w:lang w:val="en-US" w:eastAsia="es-ES"/>
        </w:rPr>
        <w:t>=</w:t>
      </w:r>
      <w:r w:rsidR="00AF2F18" w:rsidRPr="0083088B">
        <w:rPr>
          <w:rFonts w:ascii="Arial" w:eastAsia="Arial Unicode MS" w:hAnsi="Arial" w:cs="Arial"/>
          <w:sz w:val="24"/>
          <w:szCs w:val="24"/>
          <w:lang w:val="en-GB"/>
        </w:rPr>
        <w:t>0.84) without significant factor effects</w:t>
      </w:r>
      <w:r w:rsidR="00594580" w:rsidRPr="0083088B">
        <w:rPr>
          <w:rFonts w:ascii="Arial" w:eastAsia="Arial Unicode MS" w:hAnsi="Arial" w:cs="Arial"/>
          <w:sz w:val="24"/>
          <w:szCs w:val="24"/>
          <w:lang w:val="en-GB"/>
        </w:rPr>
        <w:t xml:space="preserve">. </w:t>
      </w:r>
      <w:r w:rsidR="006D3934" w:rsidRPr="0083088B">
        <w:rPr>
          <w:rFonts w:ascii="Arial" w:eastAsia="Arial Unicode MS" w:hAnsi="Arial" w:cs="Arial"/>
          <w:sz w:val="24"/>
          <w:szCs w:val="24"/>
          <w:lang w:val="en-GB"/>
        </w:rPr>
        <w:t>The repeated measures</w:t>
      </w:r>
      <w:r w:rsidR="00594580" w:rsidRPr="0083088B">
        <w:rPr>
          <w:rFonts w:ascii="Arial" w:eastAsia="Arial Unicode MS" w:hAnsi="Arial" w:cs="Arial"/>
          <w:sz w:val="24"/>
          <w:szCs w:val="24"/>
          <w:lang w:val="en-GB"/>
        </w:rPr>
        <w:t xml:space="preserve"> ANOVA </w:t>
      </w:r>
      <w:r w:rsidR="006D3934" w:rsidRPr="0083088B">
        <w:rPr>
          <w:rFonts w:ascii="Arial" w:eastAsia="Arial Unicode MS" w:hAnsi="Arial" w:cs="Arial"/>
          <w:sz w:val="24"/>
          <w:szCs w:val="24"/>
          <w:lang w:val="en-GB"/>
        </w:rPr>
        <w:t>showed</w:t>
      </w:r>
      <w:r w:rsidR="00594580" w:rsidRPr="0083088B">
        <w:rPr>
          <w:rFonts w:ascii="Arial" w:eastAsia="Arial Unicode MS" w:hAnsi="Arial" w:cs="Arial"/>
          <w:sz w:val="24"/>
          <w:szCs w:val="24"/>
          <w:lang w:val="en-GB"/>
        </w:rPr>
        <w:t xml:space="preserve"> a </w:t>
      </w:r>
      <w:r w:rsidR="006D3934" w:rsidRPr="0083088B">
        <w:rPr>
          <w:rFonts w:ascii="Arial" w:eastAsia="Arial Unicode MS" w:hAnsi="Arial" w:cs="Arial"/>
          <w:sz w:val="24"/>
          <w:szCs w:val="24"/>
          <w:lang w:val="en-GB"/>
        </w:rPr>
        <w:t xml:space="preserve">Sex x </w:t>
      </w:r>
      <w:r w:rsidR="00E16CCE">
        <w:rPr>
          <w:rFonts w:ascii="Arial" w:eastAsia="Arial Unicode MS" w:hAnsi="Arial" w:cs="Arial"/>
          <w:sz w:val="24"/>
          <w:szCs w:val="24"/>
          <w:lang w:val="en-GB"/>
        </w:rPr>
        <w:t>ACE</w:t>
      </w:r>
      <w:r w:rsidR="00E16CCE" w:rsidRPr="0083088B">
        <w:rPr>
          <w:rFonts w:ascii="Arial" w:eastAsia="Arial Unicode MS" w:hAnsi="Arial" w:cs="Arial"/>
          <w:sz w:val="24"/>
          <w:szCs w:val="24"/>
          <w:lang w:val="en-GB"/>
        </w:rPr>
        <w:t xml:space="preserve"> </w:t>
      </w:r>
      <w:r w:rsidR="003D52B4" w:rsidRPr="0083088B">
        <w:rPr>
          <w:rFonts w:ascii="Arial" w:eastAsia="Arial Unicode MS" w:hAnsi="Arial" w:cs="Arial"/>
          <w:sz w:val="24"/>
          <w:szCs w:val="24"/>
          <w:lang w:val="en-GB"/>
        </w:rPr>
        <w:t>interaction</w:t>
      </w:r>
      <w:r w:rsidR="00594580" w:rsidRPr="0083088B">
        <w:rPr>
          <w:rFonts w:ascii="Arial" w:eastAsia="Arial Unicode MS" w:hAnsi="Arial" w:cs="Arial"/>
          <w:sz w:val="24"/>
          <w:szCs w:val="24"/>
          <w:lang w:val="en-GB"/>
        </w:rPr>
        <w:t xml:space="preserve"> on </w:t>
      </w:r>
      <w:r w:rsidR="00870EAE" w:rsidRPr="0083088B">
        <w:rPr>
          <w:rFonts w:ascii="Arial" w:eastAsia="Arial Unicode MS" w:hAnsi="Arial" w:cs="Arial"/>
          <w:sz w:val="24"/>
          <w:szCs w:val="24"/>
          <w:lang w:val="en-GB"/>
        </w:rPr>
        <w:t>ILPs</w:t>
      </w:r>
      <w:r w:rsidR="00AF2F18" w:rsidRPr="0083088B">
        <w:rPr>
          <w:rFonts w:ascii="Arial" w:eastAsia="Arial Unicode MS" w:hAnsi="Arial" w:cs="Arial"/>
          <w:sz w:val="24"/>
          <w:szCs w:val="24"/>
          <w:lang w:val="en-GB"/>
        </w:rPr>
        <w:t xml:space="preserve"> (F</w:t>
      </w:r>
      <w:r w:rsidR="00AF2F18" w:rsidRPr="0083088B">
        <w:rPr>
          <w:rFonts w:ascii="Arial" w:eastAsia="Arial Unicode MS" w:hAnsi="Arial" w:cs="Arial"/>
          <w:sz w:val="24"/>
          <w:szCs w:val="24"/>
          <w:vertAlign w:val="subscript"/>
          <w:lang w:val="en-GB"/>
        </w:rPr>
        <w:t>1.63,68.6</w:t>
      </w:r>
      <w:r w:rsidR="00AF2F18" w:rsidRPr="0083088B">
        <w:rPr>
          <w:rFonts w:ascii="Arial" w:eastAsia="Arial Unicode MS" w:hAnsi="Arial" w:cs="Arial"/>
          <w:sz w:val="24"/>
          <w:szCs w:val="24"/>
          <w:lang w:val="en-GB"/>
        </w:rPr>
        <w:t xml:space="preserve">=6.110; p=0.006; </w:t>
      </w:r>
      <w:r w:rsidR="00AF2F18" w:rsidRPr="0083088B">
        <w:rPr>
          <w:rFonts w:ascii="Arial" w:eastAsia="Times New Roman" w:hAnsi="Arial" w:cs="Arial"/>
          <w:sz w:val="24"/>
          <w:szCs w:val="24"/>
          <w:lang w:val="en-US" w:eastAsia="es-ES"/>
        </w:rPr>
        <w:t>η</w:t>
      </w:r>
      <w:r w:rsidR="00AF2F18" w:rsidRPr="0083088B">
        <w:rPr>
          <w:rFonts w:ascii="Arial" w:eastAsia="Times New Roman" w:hAnsi="Arial" w:cs="Arial"/>
          <w:sz w:val="24"/>
          <w:szCs w:val="24"/>
          <w:vertAlign w:val="subscript"/>
          <w:lang w:val="en-US" w:eastAsia="es-ES"/>
        </w:rPr>
        <w:t>p</w:t>
      </w:r>
      <w:r w:rsidR="00AF2F18" w:rsidRPr="0083088B">
        <w:rPr>
          <w:rFonts w:ascii="Arial" w:eastAsia="Times New Roman" w:hAnsi="Arial" w:cs="Arial"/>
          <w:sz w:val="24"/>
          <w:szCs w:val="24"/>
          <w:vertAlign w:val="superscript"/>
          <w:lang w:val="en-US" w:eastAsia="es-ES"/>
        </w:rPr>
        <w:t>2</w:t>
      </w:r>
      <w:r w:rsidR="00AF2F18" w:rsidRPr="0083088B">
        <w:rPr>
          <w:rFonts w:ascii="Arial" w:eastAsia="Times New Roman" w:hAnsi="Arial" w:cs="Arial"/>
          <w:sz w:val="24"/>
          <w:szCs w:val="24"/>
          <w:lang w:val="en-US" w:eastAsia="es-ES"/>
        </w:rPr>
        <w:t>=</w:t>
      </w:r>
      <w:r w:rsidR="00AF2F18" w:rsidRPr="0083088B">
        <w:rPr>
          <w:rFonts w:ascii="Arial" w:eastAsia="Arial Unicode MS" w:hAnsi="Arial" w:cs="Arial"/>
          <w:sz w:val="24"/>
          <w:szCs w:val="24"/>
          <w:lang w:val="en-GB"/>
        </w:rPr>
        <w:t>0.13)</w:t>
      </w:r>
      <w:r w:rsidR="00870EAE" w:rsidRPr="0083088B">
        <w:rPr>
          <w:rFonts w:ascii="Arial" w:eastAsia="Arial Unicode MS" w:hAnsi="Arial" w:cs="Arial"/>
          <w:sz w:val="24"/>
          <w:szCs w:val="24"/>
          <w:lang w:val="en-GB"/>
        </w:rPr>
        <w:t xml:space="preserve">, </w:t>
      </w:r>
      <w:r w:rsidR="00DE07CC">
        <w:rPr>
          <w:rFonts w:ascii="Arial" w:eastAsia="Arial Unicode MS" w:hAnsi="Arial" w:cs="Arial"/>
          <w:sz w:val="24"/>
          <w:szCs w:val="24"/>
          <w:lang w:val="en-GB"/>
        </w:rPr>
        <w:t>however,</w:t>
      </w:r>
      <w:r w:rsidR="00594580" w:rsidRPr="0083088B">
        <w:rPr>
          <w:rFonts w:ascii="Arial" w:eastAsia="Arial Unicode MS" w:hAnsi="Arial" w:cs="Arial"/>
          <w:sz w:val="24"/>
          <w:szCs w:val="24"/>
          <w:lang w:val="en-GB"/>
        </w:rPr>
        <w:t xml:space="preserve"> </w:t>
      </w:r>
      <w:r w:rsidR="00DE07CC">
        <w:rPr>
          <w:rFonts w:ascii="Arial" w:eastAsia="Arial Unicode MS" w:hAnsi="Arial" w:cs="Arial"/>
          <w:sz w:val="24"/>
          <w:szCs w:val="24"/>
          <w:lang w:val="en-GB"/>
        </w:rPr>
        <w:t xml:space="preserve">neither of the </w:t>
      </w:r>
      <w:r w:rsidR="00A90BC7" w:rsidRPr="0083088B">
        <w:rPr>
          <w:rFonts w:ascii="Arial" w:eastAsia="Arial Unicode MS" w:hAnsi="Arial" w:cs="Arial"/>
          <w:sz w:val="24"/>
          <w:szCs w:val="24"/>
          <w:lang w:val="en-GB"/>
        </w:rPr>
        <w:t xml:space="preserve">simple effects </w:t>
      </w:r>
      <w:r w:rsidR="00883DBC">
        <w:rPr>
          <w:rFonts w:ascii="Arial" w:eastAsia="Arial Unicode MS" w:hAnsi="Arial" w:cs="Arial"/>
          <w:sz w:val="24"/>
          <w:szCs w:val="24"/>
          <w:lang w:val="en-GB"/>
        </w:rPr>
        <w:t>reached</w:t>
      </w:r>
      <w:r w:rsidR="00AF2F18" w:rsidRPr="0083088B">
        <w:rPr>
          <w:rFonts w:ascii="Arial" w:eastAsia="Arial Unicode MS" w:hAnsi="Arial" w:cs="Arial"/>
          <w:sz w:val="24"/>
          <w:szCs w:val="24"/>
          <w:lang w:val="en-GB"/>
        </w:rPr>
        <w:t xml:space="preserve"> statistical significance.</w:t>
      </w:r>
    </w:p>
    <w:p w14:paraId="7BF73163" w14:textId="223CE00F" w:rsidR="00822B5C" w:rsidRPr="0083088B" w:rsidRDefault="002F5C9C" w:rsidP="00973880">
      <w:pPr>
        <w:spacing w:line="360" w:lineRule="auto"/>
        <w:ind w:firstLine="708"/>
        <w:jc w:val="both"/>
        <w:rPr>
          <w:rFonts w:ascii="Arial" w:eastAsia="Arial Unicode MS" w:hAnsi="Arial" w:cs="Arial"/>
          <w:sz w:val="24"/>
          <w:szCs w:val="24"/>
          <w:lang w:val="en-GB"/>
        </w:rPr>
      </w:pPr>
      <w:r w:rsidRPr="008A16EB">
        <w:rPr>
          <w:rFonts w:ascii="Arial" w:eastAsia="Arial Unicode MS" w:hAnsi="Arial" w:cs="Arial"/>
          <w:sz w:val="24"/>
          <w:szCs w:val="24"/>
          <w:lang w:val="en-GB"/>
        </w:rPr>
        <w:t>During the PIT testing session</w:t>
      </w:r>
      <w:r w:rsidR="00594580" w:rsidRPr="008A16EB">
        <w:rPr>
          <w:rFonts w:ascii="Arial" w:eastAsia="Arial Unicode MS" w:hAnsi="Arial" w:cs="Arial"/>
          <w:sz w:val="24"/>
          <w:szCs w:val="24"/>
          <w:lang w:val="en-GB"/>
        </w:rPr>
        <w:t xml:space="preserve"> </w:t>
      </w:r>
      <w:r w:rsidR="003E14F4">
        <w:rPr>
          <w:rFonts w:ascii="Arial" w:eastAsia="Arial Unicode MS" w:hAnsi="Arial" w:cs="Arial"/>
          <w:sz w:val="24"/>
          <w:szCs w:val="24"/>
          <w:lang w:val="en-GB"/>
        </w:rPr>
        <w:t>%</w:t>
      </w:r>
      <w:r w:rsidR="00594580" w:rsidRPr="008A16EB">
        <w:rPr>
          <w:rFonts w:ascii="Arial" w:eastAsia="Arial Unicode MS" w:hAnsi="Arial" w:cs="Arial"/>
          <w:sz w:val="24"/>
          <w:szCs w:val="24"/>
          <w:lang w:val="en-GB"/>
        </w:rPr>
        <w:t>CS</w:t>
      </w:r>
      <w:r w:rsidR="00594580" w:rsidRPr="008A16EB">
        <w:rPr>
          <w:rFonts w:ascii="Arial" w:eastAsia="Arial Unicode MS" w:hAnsi="Arial" w:cs="Arial"/>
          <w:sz w:val="24"/>
          <w:szCs w:val="24"/>
          <w:vertAlign w:val="superscript"/>
          <w:lang w:val="en-GB"/>
        </w:rPr>
        <w:t>+</w:t>
      </w:r>
      <w:r w:rsidR="00594580" w:rsidRPr="008A16EB">
        <w:rPr>
          <w:rFonts w:ascii="Arial" w:eastAsia="Arial Unicode MS" w:hAnsi="Arial" w:cs="Arial"/>
          <w:sz w:val="24"/>
          <w:szCs w:val="24"/>
          <w:lang w:val="en-GB"/>
        </w:rPr>
        <w:t xml:space="preserve">ALP </w:t>
      </w:r>
      <w:r w:rsidR="003E14F4">
        <w:rPr>
          <w:rFonts w:ascii="Arial" w:eastAsia="Arial Unicode MS" w:hAnsi="Arial" w:cs="Arial"/>
          <w:sz w:val="24"/>
          <w:szCs w:val="24"/>
          <w:lang w:val="en-GB"/>
        </w:rPr>
        <w:t xml:space="preserve">only showed significant Treatment effects when animals that </w:t>
      </w:r>
      <w:r w:rsidR="00822B5C">
        <w:rPr>
          <w:rFonts w:ascii="Arial" w:eastAsia="Arial Unicode MS" w:hAnsi="Arial" w:cs="Arial"/>
          <w:sz w:val="24"/>
          <w:szCs w:val="24"/>
          <w:lang w:val="en-GB"/>
        </w:rPr>
        <w:t>did not</w:t>
      </w:r>
      <w:r w:rsidR="003E14F4">
        <w:rPr>
          <w:rFonts w:ascii="Arial" w:eastAsia="Arial Unicode MS" w:hAnsi="Arial" w:cs="Arial"/>
          <w:sz w:val="24"/>
          <w:szCs w:val="24"/>
          <w:lang w:val="en-GB"/>
        </w:rPr>
        <w:t xml:space="preserve"> express PIT (%</w:t>
      </w:r>
      <w:r w:rsidR="003E14F4" w:rsidRPr="008A16EB">
        <w:rPr>
          <w:rFonts w:ascii="Arial" w:eastAsia="Arial Unicode MS" w:hAnsi="Arial" w:cs="Arial"/>
          <w:sz w:val="24"/>
          <w:szCs w:val="24"/>
          <w:lang w:val="en-GB"/>
        </w:rPr>
        <w:t>CS</w:t>
      </w:r>
      <w:r w:rsidR="003E14F4" w:rsidRPr="008A16EB">
        <w:rPr>
          <w:rFonts w:ascii="Arial" w:eastAsia="Arial Unicode MS" w:hAnsi="Arial" w:cs="Arial"/>
          <w:sz w:val="24"/>
          <w:szCs w:val="24"/>
          <w:vertAlign w:val="superscript"/>
          <w:lang w:val="en-GB"/>
        </w:rPr>
        <w:t>+</w:t>
      </w:r>
      <w:r w:rsidR="003E14F4" w:rsidRPr="008A16EB">
        <w:rPr>
          <w:rFonts w:ascii="Arial" w:eastAsia="Arial Unicode MS" w:hAnsi="Arial" w:cs="Arial"/>
          <w:sz w:val="24"/>
          <w:szCs w:val="24"/>
          <w:lang w:val="en-GB"/>
        </w:rPr>
        <w:t>ALP</w:t>
      </w:r>
      <w:r w:rsidR="003E14F4">
        <w:rPr>
          <w:rFonts w:ascii="Arial" w:eastAsia="Arial Unicode MS" w:hAnsi="Arial" w:cs="Arial"/>
          <w:sz w:val="24"/>
          <w:szCs w:val="24"/>
          <w:lang w:val="en-GB"/>
        </w:rPr>
        <w:t>&gt;50%)</w:t>
      </w:r>
      <w:r w:rsidR="00822B5C">
        <w:rPr>
          <w:rFonts w:ascii="Arial" w:eastAsia="Arial Unicode MS" w:hAnsi="Arial" w:cs="Arial"/>
          <w:sz w:val="24"/>
          <w:szCs w:val="24"/>
          <w:lang w:val="en-GB"/>
        </w:rPr>
        <w:t xml:space="preserve"> were excluded from the analysis. </w:t>
      </w:r>
      <w:r w:rsidR="003E14F4">
        <w:rPr>
          <w:rFonts w:ascii="Arial" w:eastAsia="Arial Unicode MS" w:hAnsi="Arial" w:cs="Arial"/>
          <w:sz w:val="24"/>
          <w:szCs w:val="24"/>
          <w:lang w:val="en-GB"/>
        </w:rPr>
        <w:t>The</w:t>
      </w:r>
      <w:r w:rsidR="00594580" w:rsidRPr="008A16EB">
        <w:rPr>
          <w:rFonts w:ascii="Arial" w:eastAsia="Arial Unicode MS" w:hAnsi="Arial" w:cs="Arial"/>
          <w:sz w:val="24"/>
          <w:szCs w:val="24"/>
          <w:lang w:val="en-GB"/>
        </w:rPr>
        <w:t xml:space="preserve"> global effect of THC and </w:t>
      </w:r>
      <w:r w:rsidR="003E14F4">
        <w:rPr>
          <w:rFonts w:ascii="Arial" w:eastAsia="Arial Unicode MS" w:hAnsi="Arial" w:cs="Arial"/>
          <w:sz w:val="24"/>
          <w:szCs w:val="24"/>
          <w:lang w:val="en-GB"/>
        </w:rPr>
        <w:t>the</w:t>
      </w:r>
      <w:r w:rsidR="00594580" w:rsidRPr="008A16EB">
        <w:rPr>
          <w:rFonts w:ascii="Arial" w:eastAsia="Arial Unicode MS" w:hAnsi="Arial" w:cs="Arial"/>
          <w:sz w:val="24"/>
          <w:szCs w:val="24"/>
          <w:lang w:val="en-GB"/>
        </w:rPr>
        <w:t xml:space="preserve"> </w:t>
      </w:r>
      <w:r w:rsidR="00BB0143" w:rsidRPr="008A16EB">
        <w:rPr>
          <w:rFonts w:ascii="Arial" w:eastAsia="Arial Unicode MS" w:hAnsi="Arial" w:cs="Arial"/>
          <w:sz w:val="24"/>
          <w:szCs w:val="24"/>
          <w:lang w:val="en-GB"/>
        </w:rPr>
        <w:t xml:space="preserve">Sex x </w:t>
      </w:r>
      <w:r w:rsidR="00E16CCE">
        <w:rPr>
          <w:rFonts w:ascii="Arial" w:eastAsia="Arial Unicode MS" w:hAnsi="Arial" w:cs="Arial"/>
          <w:sz w:val="24"/>
          <w:szCs w:val="24"/>
          <w:lang w:val="en-GB"/>
        </w:rPr>
        <w:t>ACE</w:t>
      </w:r>
      <w:r w:rsidR="00E16CCE" w:rsidRPr="008A16EB">
        <w:rPr>
          <w:rFonts w:ascii="Arial" w:eastAsia="Arial Unicode MS" w:hAnsi="Arial" w:cs="Arial"/>
          <w:sz w:val="24"/>
          <w:szCs w:val="24"/>
          <w:lang w:val="en-GB"/>
        </w:rPr>
        <w:t xml:space="preserve"> </w:t>
      </w:r>
      <w:r w:rsidR="00594580" w:rsidRPr="008A16EB">
        <w:rPr>
          <w:rFonts w:ascii="Arial" w:eastAsia="Arial Unicode MS" w:hAnsi="Arial" w:cs="Arial"/>
          <w:sz w:val="24"/>
          <w:szCs w:val="24"/>
          <w:lang w:val="en-GB"/>
        </w:rPr>
        <w:t>interaction</w:t>
      </w:r>
      <w:r w:rsidR="004C5EE3" w:rsidRPr="008A16EB">
        <w:rPr>
          <w:rFonts w:ascii="Arial" w:eastAsia="Arial Unicode MS" w:hAnsi="Arial" w:cs="Arial"/>
          <w:sz w:val="24"/>
          <w:szCs w:val="24"/>
          <w:lang w:val="en-GB"/>
        </w:rPr>
        <w:t xml:space="preserve"> </w:t>
      </w:r>
      <w:r w:rsidR="003E14F4" w:rsidRPr="0083088B">
        <w:rPr>
          <w:rFonts w:ascii="Arial" w:eastAsia="Arial Unicode MS" w:hAnsi="Arial" w:cs="Arial"/>
          <w:sz w:val="24"/>
          <w:szCs w:val="24"/>
          <w:lang w:val="en-GB"/>
        </w:rPr>
        <w:t>seemingly</w:t>
      </w:r>
      <w:r w:rsidR="00594580" w:rsidRPr="0083088B">
        <w:rPr>
          <w:rFonts w:ascii="Arial" w:eastAsia="Arial Unicode MS" w:hAnsi="Arial" w:cs="Arial"/>
          <w:sz w:val="24"/>
          <w:szCs w:val="24"/>
          <w:lang w:val="en-GB"/>
        </w:rPr>
        <w:t xml:space="preserve"> </w:t>
      </w:r>
      <w:r w:rsidR="00B00AC9" w:rsidRPr="008A16EB">
        <w:rPr>
          <w:rFonts w:ascii="Arial" w:eastAsia="Arial Unicode MS" w:hAnsi="Arial" w:cs="Arial"/>
          <w:sz w:val="24"/>
          <w:szCs w:val="24"/>
          <w:lang w:val="en-GB"/>
        </w:rPr>
        <w:t xml:space="preserve">resulted from </w:t>
      </w:r>
      <w:r w:rsidR="00594580" w:rsidRPr="008A16EB">
        <w:rPr>
          <w:rFonts w:ascii="Arial" w:eastAsia="Arial Unicode MS" w:hAnsi="Arial" w:cs="Arial"/>
          <w:sz w:val="24"/>
          <w:szCs w:val="24"/>
          <w:lang w:val="en-GB"/>
        </w:rPr>
        <w:t>lower CS</w:t>
      </w:r>
      <w:r w:rsidR="00594580" w:rsidRPr="008A16EB">
        <w:rPr>
          <w:rFonts w:ascii="Arial" w:eastAsia="Arial Unicode MS" w:hAnsi="Arial" w:cs="Arial"/>
          <w:sz w:val="24"/>
          <w:szCs w:val="24"/>
          <w:vertAlign w:val="superscript"/>
          <w:lang w:val="en-GB"/>
        </w:rPr>
        <w:t>-</w:t>
      </w:r>
      <w:r w:rsidR="00594580" w:rsidRPr="008A16EB">
        <w:rPr>
          <w:rFonts w:ascii="Arial" w:eastAsia="Arial Unicode MS" w:hAnsi="Arial" w:cs="Arial"/>
          <w:sz w:val="24"/>
          <w:szCs w:val="24"/>
          <w:lang w:val="en-GB"/>
        </w:rPr>
        <w:t xml:space="preserve">ALPs in the </w:t>
      </w:r>
      <w:r w:rsidR="007933D8" w:rsidRPr="008A16EB">
        <w:rPr>
          <w:rFonts w:ascii="Arial" w:eastAsia="Arial Unicode MS" w:hAnsi="Arial" w:cs="Arial"/>
          <w:sz w:val="24"/>
          <w:szCs w:val="24"/>
          <w:lang w:val="en-GB"/>
        </w:rPr>
        <w:t xml:space="preserve">group of </w:t>
      </w:r>
      <w:r w:rsidR="00594580" w:rsidRPr="008A16EB">
        <w:rPr>
          <w:rFonts w:ascii="Arial" w:eastAsia="Arial Unicode MS" w:hAnsi="Arial" w:cs="Arial"/>
          <w:sz w:val="24"/>
          <w:szCs w:val="24"/>
          <w:lang w:val="en-GB"/>
        </w:rPr>
        <w:t>THC</w:t>
      </w:r>
      <w:r w:rsidR="00B00AC9" w:rsidRPr="008A16EB">
        <w:rPr>
          <w:rFonts w:ascii="Arial" w:eastAsia="Arial Unicode MS" w:hAnsi="Arial" w:cs="Arial"/>
          <w:sz w:val="24"/>
          <w:szCs w:val="24"/>
          <w:lang w:val="en-GB"/>
        </w:rPr>
        <w:t>-exposed male</w:t>
      </w:r>
      <w:r w:rsidR="00DD5F53" w:rsidRPr="008A16EB">
        <w:rPr>
          <w:rFonts w:ascii="Arial" w:eastAsia="Arial Unicode MS" w:hAnsi="Arial" w:cs="Arial"/>
          <w:sz w:val="24"/>
          <w:szCs w:val="24"/>
          <w:lang w:val="en-GB"/>
        </w:rPr>
        <w:t>s</w:t>
      </w:r>
      <w:r w:rsidR="00594580" w:rsidRPr="008A16EB">
        <w:rPr>
          <w:rFonts w:ascii="Arial" w:eastAsia="Arial Unicode MS" w:hAnsi="Arial" w:cs="Arial"/>
          <w:sz w:val="24"/>
          <w:szCs w:val="24"/>
          <w:lang w:val="en-GB"/>
        </w:rPr>
        <w:t xml:space="preserve"> without differences in the rate of CS</w:t>
      </w:r>
      <w:r w:rsidR="00594580" w:rsidRPr="008A16EB">
        <w:rPr>
          <w:rFonts w:ascii="Arial" w:eastAsia="Arial Unicode MS" w:hAnsi="Arial" w:cs="Arial"/>
          <w:sz w:val="24"/>
          <w:szCs w:val="24"/>
          <w:vertAlign w:val="superscript"/>
          <w:lang w:val="en-GB"/>
        </w:rPr>
        <w:t>+</w:t>
      </w:r>
      <w:r w:rsidR="00594580" w:rsidRPr="008A16EB">
        <w:rPr>
          <w:rFonts w:ascii="Arial" w:eastAsia="Arial Unicode MS" w:hAnsi="Arial" w:cs="Arial"/>
          <w:sz w:val="24"/>
          <w:szCs w:val="24"/>
          <w:lang w:val="en-GB"/>
        </w:rPr>
        <w:t xml:space="preserve">ALPs </w:t>
      </w:r>
      <w:r w:rsidR="00B51F28" w:rsidRPr="008A16EB">
        <w:rPr>
          <w:rFonts w:ascii="Arial" w:eastAsia="Arial Unicode MS" w:hAnsi="Arial" w:cs="Arial"/>
          <w:sz w:val="24"/>
          <w:szCs w:val="24"/>
          <w:lang w:val="en-GB"/>
        </w:rPr>
        <w:t>as a result of THC</w:t>
      </w:r>
      <w:r w:rsidR="004C5EE3" w:rsidRPr="008A16EB">
        <w:rPr>
          <w:rFonts w:ascii="Arial" w:eastAsia="Arial Unicode MS" w:hAnsi="Arial" w:cs="Arial"/>
          <w:sz w:val="24"/>
          <w:szCs w:val="24"/>
          <w:lang w:val="en-GB"/>
        </w:rPr>
        <w:t xml:space="preserve"> </w:t>
      </w:r>
      <w:r w:rsidR="004C5EE3" w:rsidRPr="0083088B">
        <w:rPr>
          <w:rFonts w:ascii="Arial" w:eastAsia="Arial Unicode MS" w:hAnsi="Arial" w:cs="Arial"/>
          <w:sz w:val="24"/>
          <w:szCs w:val="24"/>
          <w:lang w:val="en-GB"/>
        </w:rPr>
        <w:t>(see Figure S</w:t>
      </w:r>
      <w:r w:rsidR="00606FD3" w:rsidRPr="0083088B">
        <w:rPr>
          <w:rFonts w:ascii="Arial" w:eastAsia="Arial Unicode MS" w:hAnsi="Arial" w:cs="Arial"/>
          <w:sz w:val="24"/>
          <w:szCs w:val="24"/>
          <w:lang w:val="en-GB"/>
        </w:rPr>
        <w:t>3</w:t>
      </w:r>
      <w:r w:rsidR="00822B5C" w:rsidRPr="0083088B">
        <w:rPr>
          <w:rFonts w:ascii="Arial" w:eastAsia="Arial Unicode MS" w:hAnsi="Arial" w:cs="Arial"/>
          <w:sz w:val="24"/>
          <w:szCs w:val="24"/>
          <w:lang w:val="en-GB"/>
        </w:rPr>
        <w:t>C</w:t>
      </w:r>
      <w:r w:rsidR="00B615AB" w:rsidRPr="0083088B">
        <w:rPr>
          <w:rFonts w:ascii="Arial" w:eastAsia="Arial Unicode MS" w:hAnsi="Arial" w:cs="Arial"/>
          <w:sz w:val="24"/>
          <w:szCs w:val="24"/>
          <w:lang w:val="en-GB"/>
        </w:rPr>
        <w:t xml:space="preserve">, </w:t>
      </w:r>
      <w:r w:rsidR="00822B5C" w:rsidRPr="0083088B">
        <w:rPr>
          <w:rFonts w:ascii="Arial" w:eastAsia="Arial Unicode MS" w:hAnsi="Arial" w:cs="Arial"/>
          <w:sz w:val="24"/>
          <w:szCs w:val="24"/>
          <w:lang w:val="en-GB"/>
        </w:rPr>
        <w:t>D</w:t>
      </w:r>
      <w:r w:rsidR="00B615AB" w:rsidRPr="0083088B">
        <w:rPr>
          <w:rFonts w:ascii="Arial" w:eastAsia="Arial Unicode MS" w:hAnsi="Arial" w:cs="Arial"/>
          <w:sz w:val="24"/>
          <w:szCs w:val="24"/>
          <w:lang w:val="en-GB"/>
        </w:rPr>
        <w:t xml:space="preserve"> and </w:t>
      </w:r>
      <w:r w:rsidR="00822B5C" w:rsidRPr="0083088B">
        <w:rPr>
          <w:rFonts w:ascii="Arial" w:eastAsia="Arial Unicode MS" w:hAnsi="Arial" w:cs="Arial"/>
          <w:sz w:val="24"/>
          <w:szCs w:val="24"/>
          <w:lang w:val="en-GB"/>
        </w:rPr>
        <w:t>E</w:t>
      </w:r>
      <w:r w:rsidR="004C5EE3" w:rsidRPr="0083088B">
        <w:rPr>
          <w:rFonts w:ascii="Arial" w:eastAsia="Arial Unicode MS" w:hAnsi="Arial" w:cs="Arial"/>
          <w:sz w:val="24"/>
          <w:szCs w:val="24"/>
          <w:lang w:val="en-GB"/>
        </w:rPr>
        <w:t>)</w:t>
      </w:r>
      <w:r w:rsidR="00594580" w:rsidRPr="0083088B">
        <w:rPr>
          <w:rFonts w:ascii="Arial" w:eastAsia="Arial Unicode MS" w:hAnsi="Arial" w:cs="Arial"/>
          <w:sz w:val="24"/>
          <w:szCs w:val="24"/>
          <w:lang w:val="en-GB"/>
        </w:rPr>
        <w:t xml:space="preserve">. </w:t>
      </w:r>
      <w:r w:rsidR="00B51F28" w:rsidRPr="0083088B">
        <w:rPr>
          <w:rFonts w:ascii="Arial" w:eastAsia="Arial Unicode MS" w:hAnsi="Arial" w:cs="Arial"/>
          <w:sz w:val="24"/>
          <w:szCs w:val="24"/>
          <w:lang w:val="en-GB"/>
        </w:rPr>
        <w:t xml:space="preserve">The </w:t>
      </w:r>
      <w:r w:rsidR="00594580" w:rsidRPr="0083088B">
        <w:rPr>
          <w:rFonts w:ascii="Arial" w:eastAsia="Arial Unicode MS" w:hAnsi="Arial" w:cs="Arial"/>
          <w:sz w:val="24"/>
          <w:szCs w:val="24"/>
          <w:lang w:val="en-GB"/>
        </w:rPr>
        <w:t>CS</w:t>
      </w:r>
      <w:r w:rsidR="00594580" w:rsidRPr="0083088B">
        <w:rPr>
          <w:rFonts w:ascii="Arial" w:eastAsia="Arial Unicode MS" w:hAnsi="Arial" w:cs="Arial"/>
          <w:sz w:val="24"/>
          <w:szCs w:val="24"/>
          <w:vertAlign w:val="superscript"/>
          <w:lang w:val="en-GB"/>
        </w:rPr>
        <w:t>+</w:t>
      </w:r>
      <w:r w:rsidR="00594580" w:rsidRPr="0083088B">
        <w:rPr>
          <w:rFonts w:ascii="Arial" w:eastAsia="Arial Unicode MS" w:hAnsi="Arial" w:cs="Arial"/>
          <w:sz w:val="24"/>
          <w:szCs w:val="24"/>
          <w:lang w:val="en-GB"/>
        </w:rPr>
        <w:t>HE ratio</w:t>
      </w:r>
      <w:r w:rsidR="00294EED" w:rsidRPr="0083088B">
        <w:rPr>
          <w:rFonts w:ascii="Arial" w:eastAsia="Arial Unicode MS" w:hAnsi="Arial" w:cs="Arial"/>
          <w:sz w:val="24"/>
          <w:szCs w:val="24"/>
          <w:lang w:val="en-GB"/>
        </w:rPr>
        <w:t xml:space="preserve"> </w:t>
      </w:r>
      <w:r w:rsidR="00594580" w:rsidRPr="0083088B">
        <w:rPr>
          <w:rFonts w:ascii="Arial" w:eastAsia="Arial Unicode MS" w:hAnsi="Arial" w:cs="Arial"/>
          <w:sz w:val="24"/>
          <w:szCs w:val="24"/>
          <w:lang w:val="en-GB"/>
        </w:rPr>
        <w:t xml:space="preserve">also showed a </w:t>
      </w:r>
      <w:r w:rsidR="00B51F28" w:rsidRPr="0083088B">
        <w:rPr>
          <w:rFonts w:ascii="Arial" w:eastAsia="Arial Unicode MS" w:hAnsi="Arial" w:cs="Arial"/>
          <w:sz w:val="24"/>
          <w:szCs w:val="24"/>
          <w:lang w:val="en-GB"/>
        </w:rPr>
        <w:t xml:space="preserve">significant Sex x </w:t>
      </w:r>
      <w:r w:rsidR="00E16CCE">
        <w:rPr>
          <w:rFonts w:ascii="Arial" w:eastAsia="Arial Unicode MS" w:hAnsi="Arial" w:cs="Arial"/>
          <w:sz w:val="24"/>
          <w:szCs w:val="24"/>
          <w:lang w:val="en-GB"/>
        </w:rPr>
        <w:t>ACE</w:t>
      </w:r>
      <w:r w:rsidR="00E16CCE" w:rsidRPr="0083088B">
        <w:rPr>
          <w:rFonts w:ascii="Arial" w:eastAsia="Arial Unicode MS" w:hAnsi="Arial" w:cs="Arial"/>
          <w:sz w:val="24"/>
          <w:szCs w:val="24"/>
          <w:lang w:val="en-GB"/>
        </w:rPr>
        <w:t xml:space="preserve"> </w:t>
      </w:r>
      <w:r w:rsidR="00594580" w:rsidRPr="0083088B">
        <w:rPr>
          <w:rFonts w:ascii="Arial" w:eastAsia="Arial Unicode MS" w:hAnsi="Arial" w:cs="Arial"/>
          <w:sz w:val="24"/>
          <w:szCs w:val="24"/>
          <w:lang w:val="en-GB"/>
        </w:rPr>
        <w:t xml:space="preserve">interaction </w:t>
      </w:r>
      <w:r w:rsidR="00B51F28" w:rsidRPr="0083088B">
        <w:rPr>
          <w:rFonts w:ascii="Arial" w:eastAsia="Arial Unicode MS" w:hAnsi="Arial" w:cs="Arial"/>
          <w:sz w:val="24"/>
          <w:szCs w:val="24"/>
          <w:lang w:val="en-GB"/>
        </w:rPr>
        <w:t xml:space="preserve">resulting from </w:t>
      </w:r>
      <w:r w:rsidR="00DE7AEA" w:rsidRPr="0083088B">
        <w:rPr>
          <w:rFonts w:ascii="Arial" w:eastAsia="Arial Unicode MS" w:hAnsi="Arial" w:cs="Arial"/>
          <w:sz w:val="24"/>
          <w:szCs w:val="24"/>
          <w:lang w:val="en-GB"/>
        </w:rPr>
        <w:t>the increased ratio</w:t>
      </w:r>
      <w:r w:rsidR="0017255F" w:rsidRPr="0083088B">
        <w:rPr>
          <w:rFonts w:ascii="Arial" w:eastAsia="Arial Unicode MS" w:hAnsi="Arial" w:cs="Arial"/>
          <w:sz w:val="24"/>
          <w:szCs w:val="24"/>
          <w:lang w:val="en-GB"/>
        </w:rPr>
        <w:t xml:space="preserve"> </w:t>
      </w:r>
      <w:r w:rsidR="00DE7AEA" w:rsidRPr="0083088B">
        <w:rPr>
          <w:rFonts w:ascii="Arial" w:eastAsia="Arial Unicode MS" w:hAnsi="Arial" w:cs="Arial"/>
          <w:sz w:val="24"/>
          <w:szCs w:val="24"/>
          <w:lang w:val="en-GB"/>
        </w:rPr>
        <w:t xml:space="preserve">in </w:t>
      </w:r>
      <w:r w:rsidR="00594580" w:rsidRPr="0083088B">
        <w:rPr>
          <w:rFonts w:ascii="Arial" w:eastAsia="Arial Unicode MS" w:hAnsi="Arial" w:cs="Arial"/>
          <w:sz w:val="24"/>
          <w:szCs w:val="24"/>
          <w:lang w:val="en-GB"/>
        </w:rPr>
        <w:t>THC</w:t>
      </w:r>
      <w:r w:rsidR="0031659D" w:rsidRPr="0083088B">
        <w:rPr>
          <w:rFonts w:ascii="Arial" w:eastAsia="Arial Unicode MS" w:hAnsi="Arial" w:cs="Arial"/>
          <w:sz w:val="24"/>
          <w:szCs w:val="24"/>
          <w:lang w:val="en-GB"/>
        </w:rPr>
        <w:t xml:space="preserve"> females, as</w:t>
      </w:r>
      <w:r w:rsidR="00594580" w:rsidRPr="0083088B">
        <w:rPr>
          <w:rFonts w:ascii="Arial" w:eastAsia="Arial Unicode MS" w:hAnsi="Arial" w:cs="Arial"/>
          <w:sz w:val="24"/>
          <w:szCs w:val="24"/>
          <w:lang w:val="en-GB"/>
        </w:rPr>
        <w:t xml:space="preserve"> compared </w:t>
      </w:r>
      <w:r w:rsidR="0031659D" w:rsidRPr="0083088B">
        <w:rPr>
          <w:rFonts w:ascii="Arial" w:eastAsia="Arial Unicode MS" w:hAnsi="Arial" w:cs="Arial"/>
          <w:sz w:val="24"/>
          <w:szCs w:val="24"/>
          <w:lang w:val="en-GB"/>
        </w:rPr>
        <w:t>to the</w:t>
      </w:r>
      <w:r w:rsidR="00594580" w:rsidRPr="0083088B">
        <w:rPr>
          <w:rFonts w:ascii="Arial" w:eastAsia="Arial Unicode MS" w:hAnsi="Arial" w:cs="Arial"/>
          <w:sz w:val="24"/>
          <w:szCs w:val="24"/>
          <w:lang w:val="en-GB"/>
        </w:rPr>
        <w:t xml:space="preserve"> VEH</w:t>
      </w:r>
      <w:r w:rsidR="00137FB3">
        <w:rPr>
          <w:rFonts w:ascii="Arial" w:eastAsia="Arial Unicode MS" w:hAnsi="Arial" w:cs="Arial"/>
          <w:sz w:val="24"/>
          <w:szCs w:val="24"/>
          <w:lang w:val="en-GB"/>
        </w:rPr>
        <w:t>-treated</w:t>
      </w:r>
      <w:r w:rsidR="0031659D" w:rsidRPr="0083088B">
        <w:rPr>
          <w:rFonts w:ascii="Arial" w:eastAsia="Arial Unicode MS" w:hAnsi="Arial" w:cs="Arial"/>
          <w:sz w:val="24"/>
          <w:szCs w:val="24"/>
          <w:lang w:val="en-GB"/>
        </w:rPr>
        <w:t xml:space="preserve"> females</w:t>
      </w:r>
      <w:r w:rsidR="00643EB6" w:rsidRPr="0083088B">
        <w:rPr>
          <w:rFonts w:ascii="Arial" w:eastAsia="Arial Unicode MS" w:hAnsi="Arial" w:cs="Arial"/>
          <w:sz w:val="24"/>
          <w:szCs w:val="24"/>
          <w:lang w:val="en-GB"/>
        </w:rPr>
        <w:t xml:space="preserve"> (</w:t>
      </w:r>
      <w:r w:rsidR="00822B5C" w:rsidRPr="0083088B">
        <w:rPr>
          <w:rFonts w:ascii="Arial" w:eastAsia="Arial Unicode MS" w:hAnsi="Arial" w:cs="Arial"/>
          <w:sz w:val="24"/>
          <w:szCs w:val="24"/>
          <w:lang w:val="en-GB"/>
        </w:rPr>
        <w:t xml:space="preserve">see </w:t>
      </w:r>
      <w:r w:rsidR="00643EB6" w:rsidRPr="0083088B">
        <w:rPr>
          <w:rFonts w:ascii="Arial" w:eastAsia="Arial Unicode MS" w:hAnsi="Arial" w:cs="Arial"/>
          <w:sz w:val="24"/>
          <w:szCs w:val="24"/>
          <w:lang w:val="en-GB"/>
        </w:rPr>
        <w:t xml:space="preserve">Figure </w:t>
      </w:r>
      <w:r w:rsidR="00C82FEE" w:rsidRPr="0083088B">
        <w:rPr>
          <w:rFonts w:ascii="Arial" w:eastAsia="Arial Unicode MS" w:hAnsi="Arial" w:cs="Arial"/>
          <w:sz w:val="24"/>
          <w:szCs w:val="24"/>
          <w:lang w:val="en-GB"/>
        </w:rPr>
        <w:t>S3</w:t>
      </w:r>
      <w:r w:rsidR="00822B5C" w:rsidRPr="0083088B">
        <w:rPr>
          <w:rFonts w:ascii="Arial" w:eastAsia="Arial Unicode MS" w:hAnsi="Arial" w:cs="Arial"/>
          <w:sz w:val="24"/>
          <w:szCs w:val="24"/>
          <w:lang w:val="en-GB"/>
        </w:rPr>
        <w:t xml:space="preserve">F, </w:t>
      </w:r>
      <w:r w:rsidR="00B615AB" w:rsidRPr="0083088B">
        <w:rPr>
          <w:rFonts w:ascii="Arial" w:eastAsia="Arial Unicode MS" w:hAnsi="Arial" w:cs="Arial"/>
          <w:sz w:val="24"/>
          <w:szCs w:val="24"/>
          <w:lang w:val="en-GB"/>
        </w:rPr>
        <w:t>G, H</w:t>
      </w:r>
      <w:r w:rsidR="00643EB6" w:rsidRPr="0083088B">
        <w:rPr>
          <w:rFonts w:ascii="Arial" w:eastAsia="Arial Unicode MS" w:hAnsi="Arial" w:cs="Arial"/>
          <w:sz w:val="24"/>
          <w:szCs w:val="24"/>
          <w:lang w:val="en-GB"/>
        </w:rPr>
        <w:t>)</w:t>
      </w:r>
      <w:r w:rsidR="00822B5C" w:rsidRPr="0083088B">
        <w:rPr>
          <w:rFonts w:ascii="Arial" w:eastAsia="Arial Unicode MS" w:hAnsi="Arial" w:cs="Arial"/>
          <w:sz w:val="24"/>
          <w:szCs w:val="24"/>
          <w:lang w:val="en-GB"/>
        </w:rPr>
        <w:t>.</w:t>
      </w:r>
    </w:p>
    <w:p w14:paraId="035E1327" w14:textId="4DB41206" w:rsidR="005A76BD" w:rsidRPr="008A16EB" w:rsidRDefault="005A76BD" w:rsidP="00973880">
      <w:pPr>
        <w:spacing w:before="240" w:line="360" w:lineRule="auto"/>
        <w:jc w:val="both"/>
        <w:rPr>
          <w:rFonts w:ascii="Arial" w:eastAsia="Arial Unicode MS" w:hAnsi="Arial" w:cs="Arial"/>
          <w:b/>
          <w:sz w:val="24"/>
          <w:szCs w:val="24"/>
          <w:lang w:val="en-GB"/>
        </w:rPr>
      </w:pPr>
      <w:r w:rsidRPr="008A16EB">
        <w:rPr>
          <w:rFonts w:ascii="Arial" w:eastAsia="Arial Unicode MS" w:hAnsi="Arial" w:cs="Arial"/>
          <w:b/>
          <w:sz w:val="24"/>
          <w:szCs w:val="24"/>
          <w:lang w:val="en-GB"/>
        </w:rPr>
        <w:t>2-Choice Serial Reaction Time Task</w:t>
      </w:r>
    </w:p>
    <w:p w14:paraId="794ADFE2" w14:textId="146C6F1A" w:rsidR="005A76BD" w:rsidRPr="008A16EB" w:rsidRDefault="00580391" w:rsidP="008A16EB">
      <w:pPr>
        <w:spacing w:line="360" w:lineRule="auto"/>
        <w:ind w:firstLine="708"/>
        <w:jc w:val="both"/>
        <w:rPr>
          <w:rFonts w:ascii="Arial" w:eastAsia="Arial Unicode MS" w:hAnsi="Arial" w:cs="Arial"/>
          <w:sz w:val="24"/>
          <w:szCs w:val="24"/>
          <w:lang w:val="en-GB"/>
        </w:rPr>
      </w:pPr>
      <w:bookmarkStart w:id="12" w:name="_Hlk68779183"/>
      <w:r w:rsidRPr="008A16EB">
        <w:rPr>
          <w:rFonts w:ascii="Arial" w:eastAsia="Arial Unicode MS" w:hAnsi="Arial" w:cs="Arial"/>
          <w:bCs/>
          <w:sz w:val="24"/>
          <w:szCs w:val="24"/>
          <w:lang w:val="en-GB"/>
        </w:rPr>
        <w:t>The number of t</w:t>
      </w:r>
      <w:r w:rsidR="005A76BD" w:rsidRPr="008A16EB">
        <w:rPr>
          <w:rFonts w:ascii="Arial" w:eastAsia="Arial Unicode MS" w:hAnsi="Arial" w:cs="Arial"/>
          <w:bCs/>
          <w:sz w:val="24"/>
          <w:szCs w:val="24"/>
          <w:lang w:val="en-GB"/>
        </w:rPr>
        <w:t>raining sessions</w:t>
      </w:r>
      <w:r w:rsidR="005A76BD" w:rsidRPr="008A16EB">
        <w:rPr>
          <w:rFonts w:ascii="Arial" w:eastAsia="Arial Unicode MS" w:hAnsi="Arial" w:cs="Arial"/>
          <w:sz w:val="24"/>
          <w:szCs w:val="24"/>
          <w:lang w:val="en-GB"/>
        </w:rPr>
        <w:t xml:space="preserve"> necessary to </w:t>
      </w:r>
      <w:r w:rsidR="00E463C7" w:rsidRPr="008A16EB">
        <w:rPr>
          <w:rFonts w:ascii="Arial" w:eastAsia="Arial Unicode MS" w:hAnsi="Arial" w:cs="Arial"/>
          <w:sz w:val="24"/>
          <w:szCs w:val="24"/>
          <w:lang w:val="en-GB"/>
        </w:rPr>
        <w:t xml:space="preserve">achieve </w:t>
      </w:r>
      <w:r w:rsidR="000338CE">
        <w:rPr>
          <w:rFonts w:ascii="Arial" w:eastAsia="Arial Unicode MS" w:hAnsi="Arial" w:cs="Arial"/>
          <w:sz w:val="24"/>
          <w:szCs w:val="24"/>
          <w:lang w:val="en-GB"/>
        </w:rPr>
        <w:t xml:space="preserve">the </w:t>
      </w:r>
      <w:r w:rsidR="005A76BD" w:rsidRPr="008A16EB">
        <w:rPr>
          <w:rFonts w:ascii="Arial" w:eastAsia="Arial Unicode MS" w:hAnsi="Arial" w:cs="Arial"/>
          <w:sz w:val="24"/>
          <w:szCs w:val="24"/>
          <w:lang w:val="en-GB"/>
        </w:rPr>
        <w:t xml:space="preserve">baseline </w:t>
      </w:r>
      <w:r w:rsidR="000338CE">
        <w:rPr>
          <w:rFonts w:ascii="Arial" w:eastAsia="Arial Unicode MS" w:hAnsi="Arial" w:cs="Arial"/>
          <w:sz w:val="24"/>
          <w:szCs w:val="24"/>
          <w:lang w:val="en-GB"/>
        </w:rPr>
        <w:t xml:space="preserve">phase </w:t>
      </w:r>
      <w:r w:rsidR="00E463C7" w:rsidRPr="008A16EB">
        <w:rPr>
          <w:rFonts w:ascii="Arial" w:eastAsia="Arial Unicode MS" w:hAnsi="Arial" w:cs="Arial"/>
          <w:sz w:val="24"/>
          <w:szCs w:val="24"/>
          <w:lang w:val="en-GB"/>
        </w:rPr>
        <w:t xml:space="preserve">showed a trend of </w:t>
      </w:r>
      <w:r w:rsidR="00E16CCE">
        <w:rPr>
          <w:rFonts w:ascii="Arial" w:eastAsia="Arial Unicode MS" w:hAnsi="Arial" w:cs="Arial"/>
          <w:sz w:val="24"/>
          <w:szCs w:val="24"/>
          <w:lang w:val="en-GB"/>
        </w:rPr>
        <w:t>ACE</w:t>
      </w:r>
      <w:r w:rsidR="00E16CCE" w:rsidRPr="008A16EB">
        <w:rPr>
          <w:rFonts w:ascii="Arial" w:eastAsia="Arial Unicode MS" w:hAnsi="Arial" w:cs="Arial"/>
          <w:sz w:val="24"/>
          <w:szCs w:val="24"/>
          <w:lang w:val="en-GB"/>
        </w:rPr>
        <w:t xml:space="preserve"> </w:t>
      </w:r>
      <w:r w:rsidR="00E463C7" w:rsidRPr="008A16EB">
        <w:rPr>
          <w:rFonts w:ascii="Arial" w:eastAsia="Arial Unicode MS" w:hAnsi="Arial" w:cs="Arial"/>
          <w:sz w:val="24"/>
          <w:szCs w:val="24"/>
          <w:lang w:val="en-GB"/>
        </w:rPr>
        <w:t>to have a significant effect</w:t>
      </w:r>
      <w:r w:rsidR="005A76BD" w:rsidRPr="008A16EB">
        <w:rPr>
          <w:rFonts w:ascii="Arial" w:eastAsia="Arial Unicode MS" w:hAnsi="Arial" w:cs="Arial"/>
          <w:sz w:val="24"/>
          <w:szCs w:val="24"/>
          <w:lang w:val="en-GB"/>
        </w:rPr>
        <w:t xml:space="preserve"> (0.055)</w:t>
      </w:r>
      <w:r w:rsidR="00E463C7" w:rsidRPr="008A16EB">
        <w:rPr>
          <w:rFonts w:ascii="Arial" w:eastAsia="Arial Unicode MS" w:hAnsi="Arial" w:cs="Arial"/>
          <w:sz w:val="24"/>
          <w:szCs w:val="24"/>
          <w:lang w:val="en-GB"/>
        </w:rPr>
        <w:t>,</w:t>
      </w:r>
      <w:r w:rsidR="005A76BD" w:rsidRPr="008A16EB">
        <w:rPr>
          <w:rFonts w:ascii="Arial" w:eastAsia="Arial Unicode MS" w:hAnsi="Arial" w:cs="Arial"/>
          <w:sz w:val="24"/>
          <w:szCs w:val="24"/>
          <w:lang w:val="en-GB"/>
        </w:rPr>
        <w:t xml:space="preserve"> </w:t>
      </w:r>
      <w:r w:rsidR="00E463C7" w:rsidRPr="008A16EB">
        <w:rPr>
          <w:rFonts w:ascii="Arial" w:eastAsia="Arial Unicode MS" w:hAnsi="Arial" w:cs="Arial"/>
          <w:sz w:val="24"/>
          <w:szCs w:val="24"/>
          <w:lang w:val="en-GB"/>
        </w:rPr>
        <w:t xml:space="preserve">suggesting </w:t>
      </w:r>
      <w:r w:rsidR="005A76BD" w:rsidRPr="008A16EB">
        <w:rPr>
          <w:rFonts w:ascii="Arial" w:eastAsia="Arial Unicode MS" w:hAnsi="Arial" w:cs="Arial"/>
          <w:sz w:val="24"/>
          <w:szCs w:val="24"/>
          <w:lang w:val="en-GB"/>
        </w:rPr>
        <w:t xml:space="preserve">that </w:t>
      </w:r>
      <w:r w:rsidR="005A76BD" w:rsidRPr="00016E4D">
        <w:rPr>
          <w:rFonts w:ascii="Arial" w:eastAsia="Arial Unicode MS" w:hAnsi="Arial" w:cs="Arial"/>
          <w:sz w:val="24"/>
          <w:szCs w:val="24"/>
          <w:lang w:val="en-GB"/>
        </w:rPr>
        <w:t>THC</w:t>
      </w:r>
      <w:r w:rsidR="00E463C7" w:rsidRPr="00016E4D">
        <w:rPr>
          <w:rFonts w:ascii="Arial" w:eastAsia="Arial Unicode MS" w:hAnsi="Arial" w:cs="Arial"/>
          <w:sz w:val="24"/>
          <w:szCs w:val="24"/>
          <w:lang w:val="en-GB"/>
        </w:rPr>
        <w:t>-exposed</w:t>
      </w:r>
      <w:r w:rsidR="005A76BD" w:rsidRPr="00016E4D">
        <w:rPr>
          <w:rFonts w:ascii="Arial" w:eastAsia="Arial Unicode MS" w:hAnsi="Arial" w:cs="Arial"/>
          <w:sz w:val="24"/>
          <w:szCs w:val="24"/>
          <w:lang w:val="en-GB"/>
        </w:rPr>
        <w:t xml:space="preserve"> animals </w:t>
      </w:r>
      <w:r w:rsidR="00E463C7" w:rsidRPr="00016E4D">
        <w:rPr>
          <w:rFonts w:ascii="Arial" w:eastAsia="Arial Unicode MS" w:hAnsi="Arial" w:cs="Arial"/>
          <w:sz w:val="24"/>
          <w:szCs w:val="24"/>
          <w:lang w:val="en-GB"/>
        </w:rPr>
        <w:t xml:space="preserve">required fewer training sessions </w:t>
      </w:r>
      <w:r w:rsidR="005A76BD" w:rsidRPr="00016E4D">
        <w:rPr>
          <w:rFonts w:ascii="Arial" w:eastAsia="Arial Unicode MS" w:hAnsi="Arial" w:cs="Arial"/>
          <w:sz w:val="24"/>
          <w:szCs w:val="24"/>
          <w:lang w:val="en-GB"/>
        </w:rPr>
        <w:t xml:space="preserve">to reach this </w:t>
      </w:r>
      <w:r w:rsidR="000338CE">
        <w:rPr>
          <w:rFonts w:ascii="Arial" w:eastAsia="Arial Unicode MS" w:hAnsi="Arial" w:cs="Arial"/>
          <w:sz w:val="24"/>
          <w:szCs w:val="24"/>
          <w:lang w:val="en-GB"/>
        </w:rPr>
        <w:t>phase</w:t>
      </w:r>
      <w:r w:rsidR="008D46EA" w:rsidRPr="00016E4D">
        <w:rPr>
          <w:rFonts w:ascii="Arial" w:eastAsia="Arial Unicode MS" w:hAnsi="Arial" w:cs="Arial"/>
          <w:sz w:val="24"/>
          <w:szCs w:val="24"/>
          <w:lang w:val="en-GB"/>
        </w:rPr>
        <w:t xml:space="preserve"> (</w:t>
      </w:r>
      <w:r w:rsidR="00822B5C" w:rsidRPr="00016E4D">
        <w:rPr>
          <w:rFonts w:ascii="Arial" w:eastAsia="Arial Unicode MS" w:hAnsi="Arial" w:cs="Arial"/>
          <w:sz w:val="24"/>
          <w:szCs w:val="24"/>
          <w:lang w:val="en-GB"/>
        </w:rPr>
        <w:t>F</w:t>
      </w:r>
      <w:r w:rsidR="00822B5C" w:rsidRPr="00016E4D">
        <w:rPr>
          <w:rFonts w:ascii="Arial" w:eastAsia="Arial Unicode MS" w:hAnsi="Arial" w:cs="Arial"/>
          <w:sz w:val="24"/>
          <w:szCs w:val="24"/>
          <w:vertAlign w:val="subscript"/>
          <w:lang w:val="en-GB"/>
        </w:rPr>
        <w:t>1,44</w:t>
      </w:r>
      <w:r w:rsidR="00822B5C" w:rsidRPr="00016E4D">
        <w:rPr>
          <w:rFonts w:ascii="Arial" w:eastAsia="Arial Unicode MS" w:hAnsi="Arial" w:cs="Arial"/>
          <w:sz w:val="24"/>
          <w:szCs w:val="24"/>
          <w:lang w:val="en-GB"/>
        </w:rPr>
        <w:t xml:space="preserve">=3.888; p=0.055; </w:t>
      </w:r>
      <w:r w:rsidR="00822B5C" w:rsidRPr="00016E4D">
        <w:rPr>
          <w:rFonts w:ascii="Arial" w:eastAsia="Times New Roman" w:hAnsi="Arial" w:cs="Arial"/>
          <w:sz w:val="24"/>
          <w:szCs w:val="24"/>
          <w:lang w:val="en-US" w:eastAsia="es-ES"/>
        </w:rPr>
        <w:t>η</w:t>
      </w:r>
      <w:r w:rsidR="00822B5C" w:rsidRPr="00016E4D">
        <w:rPr>
          <w:rFonts w:ascii="Arial" w:eastAsia="Times New Roman" w:hAnsi="Arial" w:cs="Arial"/>
          <w:sz w:val="24"/>
          <w:szCs w:val="24"/>
          <w:vertAlign w:val="subscript"/>
          <w:lang w:val="en-US" w:eastAsia="es-ES"/>
        </w:rPr>
        <w:t>p</w:t>
      </w:r>
      <w:r w:rsidR="00822B5C" w:rsidRPr="00016E4D">
        <w:rPr>
          <w:rFonts w:ascii="Arial" w:eastAsia="Times New Roman" w:hAnsi="Arial" w:cs="Arial"/>
          <w:sz w:val="24"/>
          <w:szCs w:val="24"/>
          <w:vertAlign w:val="superscript"/>
          <w:lang w:val="en-US" w:eastAsia="es-ES"/>
        </w:rPr>
        <w:t>2</w:t>
      </w:r>
      <w:r w:rsidR="00822B5C" w:rsidRPr="00016E4D">
        <w:rPr>
          <w:rFonts w:ascii="Arial" w:eastAsia="Times New Roman" w:hAnsi="Arial" w:cs="Arial"/>
          <w:sz w:val="24"/>
          <w:szCs w:val="24"/>
          <w:lang w:val="en-US" w:eastAsia="es-ES"/>
        </w:rPr>
        <w:t>=</w:t>
      </w:r>
      <w:r w:rsidR="00822B5C" w:rsidRPr="00016E4D">
        <w:rPr>
          <w:rFonts w:ascii="Arial" w:eastAsia="Arial Unicode MS" w:hAnsi="Arial" w:cs="Arial"/>
          <w:sz w:val="24"/>
          <w:szCs w:val="24"/>
          <w:lang w:val="en-GB"/>
        </w:rPr>
        <w:t>0.08</w:t>
      </w:r>
      <w:r w:rsidR="005F0831" w:rsidRPr="00016E4D">
        <w:rPr>
          <w:rFonts w:ascii="Arial" w:eastAsia="Arial Unicode MS" w:hAnsi="Arial" w:cs="Arial"/>
          <w:sz w:val="24"/>
          <w:szCs w:val="24"/>
          <w:lang w:val="en-GB"/>
        </w:rPr>
        <w:t xml:space="preserve">; </w:t>
      </w:r>
      <w:r w:rsidR="00822B5C" w:rsidRPr="00016E4D">
        <w:rPr>
          <w:rFonts w:ascii="Arial" w:eastAsia="Arial Unicode MS" w:hAnsi="Arial" w:cs="Arial"/>
          <w:sz w:val="24"/>
          <w:szCs w:val="24"/>
          <w:lang w:val="en-GB"/>
        </w:rPr>
        <w:t xml:space="preserve">See </w:t>
      </w:r>
      <w:r w:rsidR="008D46EA" w:rsidRPr="00016E4D">
        <w:rPr>
          <w:rFonts w:ascii="Arial" w:eastAsia="Arial Unicode MS" w:hAnsi="Arial" w:cs="Arial"/>
          <w:sz w:val="24"/>
          <w:szCs w:val="24"/>
          <w:lang w:val="en-GB"/>
        </w:rPr>
        <w:t xml:space="preserve">Figure </w:t>
      </w:r>
      <w:r w:rsidR="00246231" w:rsidRPr="00016E4D">
        <w:rPr>
          <w:rFonts w:ascii="Arial" w:eastAsia="Arial Unicode MS" w:hAnsi="Arial" w:cs="Arial"/>
          <w:sz w:val="24"/>
          <w:szCs w:val="24"/>
          <w:lang w:val="en-GB"/>
        </w:rPr>
        <w:t>S4</w:t>
      </w:r>
      <w:r w:rsidR="009124E8">
        <w:rPr>
          <w:rFonts w:ascii="Arial" w:eastAsia="Arial Unicode MS" w:hAnsi="Arial" w:cs="Arial"/>
          <w:sz w:val="24"/>
          <w:szCs w:val="24"/>
          <w:lang w:val="en-GB"/>
        </w:rPr>
        <w:t xml:space="preserve"> A</w:t>
      </w:r>
      <w:r w:rsidR="008D46EA" w:rsidRPr="00016E4D">
        <w:rPr>
          <w:rFonts w:ascii="Arial" w:eastAsia="Arial Unicode MS" w:hAnsi="Arial" w:cs="Arial"/>
          <w:sz w:val="24"/>
          <w:szCs w:val="24"/>
          <w:lang w:val="en-GB"/>
        </w:rPr>
        <w:t>)</w:t>
      </w:r>
      <w:r w:rsidR="00CD27FB" w:rsidRPr="00016E4D">
        <w:rPr>
          <w:rFonts w:ascii="Arial" w:eastAsia="Arial Unicode MS" w:hAnsi="Arial" w:cs="Arial"/>
          <w:sz w:val="24"/>
          <w:szCs w:val="24"/>
          <w:lang w:val="en-GB"/>
        </w:rPr>
        <w:t>.</w:t>
      </w:r>
      <w:r w:rsidR="00822B5C" w:rsidRPr="00016E4D">
        <w:rPr>
          <w:rFonts w:ascii="Arial" w:eastAsia="Arial Unicode MS" w:hAnsi="Arial" w:cs="Arial"/>
          <w:sz w:val="24"/>
          <w:szCs w:val="24"/>
          <w:lang w:val="en-GB"/>
        </w:rPr>
        <w:t xml:space="preserve"> </w:t>
      </w:r>
    </w:p>
    <w:bookmarkEnd w:id="12"/>
    <w:p w14:paraId="532902F6" w14:textId="4817EB15" w:rsidR="005A76BD" w:rsidRDefault="005A76BD" w:rsidP="00451907">
      <w:pPr>
        <w:spacing w:line="360" w:lineRule="auto"/>
        <w:ind w:firstLine="708"/>
        <w:jc w:val="both"/>
        <w:rPr>
          <w:rFonts w:ascii="Arial" w:eastAsia="Arial Unicode MS" w:hAnsi="Arial" w:cs="Arial"/>
          <w:sz w:val="24"/>
          <w:szCs w:val="24"/>
          <w:lang w:val="en-GB"/>
        </w:rPr>
      </w:pPr>
      <w:r w:rsidRPr="008A16EB">
        <w:rPr>
          <w:rFonts w:ascii="Arial" w:eastAsia="Arial Unicode MS" w:hAnsi="Arial" w:cs="Arial"/>
          <w:sz w:val="24"/>
          <w:szCs w:val="24"/>
          <w:lang w:val="en-GB"/>
        </w:rPr>
        <w:t xml:space="preserve">During the six </w:t>
      </w:r>
      <w:r w:rsidRPr="008A16EB">
        <w:rPr>
          <w:rFonts w:ascii="Arial" w:eastAsia="Arial Unicode MS" w:hAnsi="Arial" w:cs="Arial"/>
          <w:bCs/>
          <w:sz w:val="24"/>
          <w:szCs w:val="24"/>
          <w:lang w:val="en-GB"/>
        </w:rPr>
        <w:t>baseline sessions</w:t>
      </w:r>
      <w:r w:rsidRPr="008A16EB">
        <w:rPr>
          <w:rFonts w:ascii="Arial" w:eastAsia="Arial Unicode MS" w:hAnsi="Arial" w:cs="Arial"/>
          <w:sz w:val="24"/>
          <w:szCs w:val="24"/>
          <w:lang w:val="en-GB"/>
        </w:rPr>
        <w:t xml:space="preserve">, before long ITI sessions, </w:t>
      </w:r>
      <w:r w:rsidR="00220798" w:rsidRPr="008A16EB">
        <w:rPr>
          <w:rFonts w:ascii="Arial" w:eastAsia="Arial Unicode MS" w:hAnsi="Arial" w:cs="Arial"/>
          <w:sz w:val="24"/>
          <w:szCs w:val="24"/>
          <w:lang w:val="en-GB"/>
        </w:rPr>
        <w:t xml:space="preserve">there was a lower </w:t>
      </w:r>
      <w:r w:rsidRPr="008A16EB">
        <w:rPr>
          <w:rFonts w:ascii="Arial" w:eastAsia="Arial Unicode MS" w:hAnsi="Arial" w:cs="Arial"/>
          <w:sz w:val="24"/>
          <w:szCs w:val="24"/>
          <w:lang w:val="en-GB"/>
        </w:rPr>
        <w:t xml:space="preserve">CR rate in THC </w:t>
      </w:r>
      <w:r w:rsidRPr="00016E4D">
        <w:rPr>
          <w:rFonts w:ascii="Arial" w:eastAsia="Arial Unicode MS" w:hAnsi="Arial" w:cs="Arial"/>
          <w:sz w:val="24"/>
          <w:szCs w:val="24"/>
          <w:lang w:val="en-GB"/>
        </w:rPr>
        <w:t>animals</w:t>
      </w:r>
      <w:r w:rsidR="00451907" w:rsidRPr="00016E4D">
        <w:rPr>
          <w:rFonts w:ascii="Arial" w:eastAsia="Arial Unicode MS" w:hAnsi="Arial" w:cs="Arial"/>
          <w:sz w:val="24"/>
          <w:szCs w:val="24"/>
          <w:lang w:val="en-GB"/>
        </w:rPr>
        <w:t xml:space="preserve"> </w:t>
      </w:r>
      <w:r w:rsidR="00A57731" w:rsidRPr="00016E4D">
        <w:rPr>
          <w:rFonts w:ascii="Arial" w:eastAsia="Arial Unicode MS" w:hAnsi="Arial" w:cs="Arial"/>
          <w:sz w:val="24"/>
          <w:szCs w:val="24"/>
          <w:lang w:val="en-GB"/>
        </w:rPr>
        <w:t>(</w:t>
      </w:r>
      <w:r w:rsidR="00451907" w:rsidRPr="00016E4D">
        <w:rPr>
          <w:rFonts w:ascii="Arial" w:eastAsia="Arial Unicode MS" w:hAnsi="Arial" w:cs="Arial"/>
          <w:sz w:val="24"/>
          <w:szCs w:val="24"/>
          <w:lang w:val="en-GB"/>
        </w:rPr>
        <w:t>F</w:t>
      </w:r>
      <w:r w:rsidR="00A57731" w:rsidRPr="00016E4D">
        <w:rPr>
          <w:rFonts w:ascii="Arial" w:eastAsia="Arial Unicode MS" w:hAnsi="Arial" w:cs="Arial"/>
          <w:sz w:val="24"/>
          <w:szCs w:val="24"/>
          <w:vertAlign w:val="subscript"/>
          <w:lang w:val="en-GB"/>
        </w:rPr>
        <w:t>5,220</w:t>
      </w:r>
      <w:r w:rsidR="00451907" w:rsidRPr="00016E4D">
        <w:rPr>
          <w:rFonts w:ascii="Arial" w:eastAsia="Arial Unicode MS" w:hAnsi="Arial" w:cs="Arial"/>
          <w:sz w:val="24"/>
          <w:szCs w:val="24"/>
          <w:lang w:val="en-GB"/>
        </w:rPr>
        <w:t>=3.975</w:t>
      </w:r>
      <w:r w:rsidR="00A57731" w:rsidRPr="00016E4D">
        <w:rPr>
          <w:rFonts w:ascii="Arial" w:eastAsia="Arial Unicode MS" w:hAnsi="Arial" w:cs="Arial"/>
          <w:sz w:val="24"/>
          <w:szCs w:val="24"/>
          <w:lang w:val="en-GB"/>
        </w:rPr>
        <w:t xml:space="preserve">; </w:t>
      </w:r>
      <w:r w:rsidR="00451907" w:rsidRPr="00016E4D">
        <w:rPr>
          <w:rFonts w:ascii="Arial" w:eastAsia="Arial Unicode MS" w:hAnsi="Arial" w:cs="Arial"/>
          <w:sz w:val="24"/>
          <w:szCs w:val="24"/>
          <w:lang w:val="en-GB"/>
        </w:rPr>
        <w:t>p=</w:t>
      </w:r>
      <w:r w:rsidR="00A57731" w:rsidRPr="00016E4D">
        <w:rPr>
          <w:rFonts w:ascii="Arial" w:eastAsia="Arial Unicode MS" w:hAnsi="Arial" w:cs="Arial"/>
          <w:sz w:val="24"/>
          <w:szCs w:val="24"/>
          <w:lang w:val="en-GB"/>
        </w:rPr>
        <w:t>0.002</w:t>
      </w:r>
      <w:r w:rsidR="00451907" w:rsidRPr="00016E4D">
        <w:rPr>
          <w:rFonts w:ascii="Arial" w:eastAsia="Arial Unicode MS" w:hAnsi="Arial" w:cs="Arial"/>
          <w:sz w:val="24"/>
          <w:szCs w:val="24"/>
          <w:lang w:val="en-GB"/>
        </w:rPr>
        <w:t xml:space="preserve">; </w:t>
      </w:r>
      <w:r w:rsidR="00451907" w:rsidRPr="00016E4D">
        <w:rPr>
          <w:rFonts w:ascii="Arial" w:eastAsia="Times New Roman" w:hAnsi="Arial" w:cs="Arial"/>
          <w:sz w:val="24"/>
          <w:szCs w:val="24"/>
          <w:lang w:val="en-US" w:eastAsia="es-ES"/>
        </w:rPr>
        <w:t>η</w:t>
      </w:r>
      <w:r w:rsidR="00451907" w:rsidRPr="00016E4D">
        <w:rPr>
          <w:rFonts w:ascii="Arial" w:eastAsia="Times New Roman" w:hAnsi="Arial" w:cs="Arial"/>
          <w:sz w:val="24"/>
          <w:szCs w:val="24"/>
          <w:vertAlign w:val="subscript"/>
          <w:lang w:val="en-US" w:eastAsia="es-ES"/>
        </w:rPr>
        <w:t>p</w:t>
      </w:r>
      <w:r w:rsidR="00451907" w:rsidRPr="00016E4D">
        <w:rPr>
          <w:rFonts w:ascii="Arial" w:eastAsia="Times New Roman" w:hAnsi="Arial" w:cs="Arial"/>
          <w:sz w:val="24"/>
          <w:szCs w:val="24"/>
          <w:vertAlign w:val="superscript"/>
          <w:lang w:val="en-US" w:eastAsia="es-ES"/>
        </w:rPr>
        <w:t>2</w:t>
      </w:r>
      <w:r w:rsidR="00451907" w:rsidRPr="00016E4D">
        <w:rPr>
          <w:rFonts w:ascii="Arial" w:eastAsia="Times New Roman" w:hAnsi="Arial" w:cs="Arial"/>
          <w:sz w:val="24"/>
          <w:szCs w:val="24"/>
          <w:lang w:val="en-US" w:eastAsia="es-ES"/>
        </w:rPr>
        <w:t>=</w:t>
      </w:r>
      <w:r w:rsidR="00A57731" w:rsidRPr="00016E4D">
        <w:rPr>
          <w:rFonts w:ascii="Arial" w:eastAsia="Arial Unicode MS" w:hAnsi="Arial" w:cs="Arial"/>
          <w:sz w:val="24"/>
          <w:szCs w:val="24"/>
          <w:lang w:val="en-GB"/>
        </w:rPr>
        <w:t>0.08</w:t>
      </w:r>
      <w:r w:rsidR="00451907" w:rsidRPr="00016E4D">
        <w:rPr>
          <w:rFonts w:ascii="Arial" w:eastAsia="Arial Unicode MS" w:hAnsi="Arial" w:cs="Arial"/>
          <w:sz w:val="24"/>
          <w:szCs w:val="24"/>
          <w:lang w:val="en-GB"/>
        </w:rPr>
        <w:t>)</w:t>
      </w:r>
      <w:r w:rsidRPr="00016E4D">
        <w:rPr>
          <w:rFonts w:ascii="Arial" w:eastAsia="Arial Unicode MS" w:hAnsi="Arial" w:cs="Arial"/>
          <w:sz w:val="24"/>
          <w:szCs w:val="24"/>
          <w:lang w:val="en-GB"/>
        </w:rPr>
        <w:t xml:space="preserve">; IR showed a specular trend, </w:t>
      </w:r>
      <w:r w:rsidR="000650EE" w:rsidRPr="00016E4D">
        <w:rPr>
          <w:rFonts w:ascii="Arial" w:eastAsia="Arial Unicode MS" w:hAnsi="Arial" w:cs="Arial"/>
          <w:sz w:val="24"/>
          <w:szCs w:val="24"/>
          <w:lang w:val="en-GB"/>
        </w:rPr>
        <w:t xml:space="preserve">that is, an </w:t>
      </w:r>
      <w:r w:rsidRPr="00016E4D">
        <w:rPr>
          <w:rFonts w:ascii="Arial" w:eastAsia="Arial Unicode MS" w:hAnsi="Arial" w:cs="Arial"/>
          <w:sz w:val="24"/>
          <w:szCs w:val="24"/>
          <w:lang w:val="en-GB"/>
        </w:rPr>
        <w:t>increased IR in THC</w:t>
      </w:r>
      <w:r w:rsidR="000650EE" w:rsidRPr="00016E4D">
        <w:rPr>
          <w:rFonts w:ascii="Arial" w:eastAsia="Arial Unicode MS" w:hAnsi="Arial" w:cs="Arial"/>
          <w:sz w:val="24"/>
          <w:szCs w:val="24"/>
          <w:lang w:val="en-GB"/>
        </w:rPr>
        <w:t>-</w:t>
      </w:r>
      <w:r w:rsidRPr="00016E4D">
        <w:rPr>
          <w:rFonts w:ascii="Arial" w:eastAsia="Arial Unicode MS" w:hAnsi="Arial" w:cs="Arial"/>
          <w:sz w:val="24"/>
          <w:szCs w:val="24"/>
          <w:lang w:val="en-GB"/>
        </w:rPr>
        <w:t>treated animals</w:t>
      </w:r>
      <w:r w:rsidR="00A57731" w:rsidRPr="00016E4D">
        <w:rPr>
          <w:rFonts w:ascii="Arial" w:eastAsia="Arial Unicode MS" w:hAnsi="Arial" w:cs="Arial"/>
          <w:sz w:val="24"/>
          <w:szCs w:val="24"/>
          <w:lang w:val="en-GB"/>
        </w:rPr>
        <w:t xml:space="preserve"> (F</w:t>
      </w:r>
      <w:r w:rsidR="00A57731" w:rsidRPr="00016E4D">
        <w:rPr>
          <w:rFonts w:ascii="Arial" w:eastAsia="Arial Unicode MS" w:hAnsi="Arial" w:cs="Arial"/>
          <w:sz w:val="24"/>
          <w:szCs w:val="24"/>
          <w:vertAlign w:val="subscript"/>
          <w:lang w:val="en-GB"/>
        </w:rPr>
        <w:t>5,190.6</w:t>
      </w:r>
      <w:r w:rsidR="00A57731" w:rsidRPr="00016E4D">
        <w:rPr>
          <w:rFonts w:ascii="Arial" w:eastAsia="Arial Unicode MS" w:hAnsi="Arial" w:cs="Arial"/>
          <w:sz w:val="24"/>
          <w:szCs w:val="24"/>
          <w:lang w:val="en-GB"/>
        </w:rPr>
        <w:t xml:space="preserve">=2.120; </w:t>
      </w:r>
      <w:r w:rsidR="00451907" w:rsidRPr="00016E4D">
        <w:rPr>
          <w:rFonts w:ascii="Arial" w:eastAsia="Arial Unicode MS" w:hAnsi="Arial" w:cs="Arial"/>
          <w:sz w:val="24"/>
          <w:szCs w:val="24"/>
          <w:lang w:val="en-GB"/>
        </w:rPr>
        <w:t>p=</w:t>
      </w:r>
      <w:r w:rsidR="00A57731" w:rsidRPr="00016E4D">
        <w:rPr>
          <w:rFonts w:ascii="Arial" w:eastAsia="Arial Unicode MS" w:hAnsi="Arial" w:cs="Arial"/>
          <w:sz w:val="24"/>
          <w:szCs w:val="24"/>
          <w:lang w:val="en-GB"/>
        </w:rPr>
        <w:t>0.064</w:t>
      </w:r>
      <w:r w:rsidR="00451907" w:rsidRPr="00016E4D">
        <w:rPr>
          <w:rFonts w:ascii="Arial" w:eastAsia="Arial Unicode MS" w:hAnsi="Arial" w:cs="Arial"/>
          <w:sz w:val="24"/>
          <w:szCs w:val="24"/>
          <w:lang w:val="en-GB"/>
        </w:rPr>
        <w:t xml:space="preserve">; </w:t>
      </w:r>
      <w:r w:rsidR="00451907" w:rsidRPr="00016E4D">
        <w:rPr>
          <w:rFonts w:ascii="Arial" w:eastAsia="Times New Roman" w:hAnsi="Arial" w:cs="Arial"/>
          <w:sz w:val="24"/>
          <w:szCs w:val="24"/>
          <w:lang w:val="en-US" w:eastAsia="es-ES"/>
        </w:rPr>
        <w:t>η</w:t>
      </w:r>
      <w:r w:rsidR="00451907" w:rsidRPr="00016E4D">
        <w:rPr>
          <w:rFonts w:ascii="Arial" w:eastAsia="Times New Roman" w:hAnsi="Arial" w:cs="Arial"/>
          <w:sz w:val="24"/>
          <w:szCs w:val="24"/>
          <w:vertAlign w:val="subscript"/>
          <w:lang w:val="en-US" w:eastAsia="es-ES"/>
        </w:rPr>
        <w:t>p</w:t>
      </w:r>
      <w:r w:rsidR="00451907" w:rsidRPr="00016E4D">
        <w:rPr>
          <w:rFonts w:ascii="Arial" w:eastAsia="Times New Roman" w:hAnsi="Arial" w:cs="Arial"/>
          <w:sz w:val="24"/>
          <w:szCs w:val="24"/>
          <w:vertAlign w:val="superscript"/>
          <w:lang w:val="en-US" w:eastAsia="es-ES"/>
        </w:rPr>
        <w:t>2</w:t>
      </w:r>
      <w:r w:rsidR="00451907" w:rsidRPr="00016E4D">
        <w:rPr>
          <w:rFonts w:ascii="Arial" w:eastAsia="Times New Roman" w:hAnsi="Arial" w:cs="Arial"/>
          <w:sz w:val="24"/>
          <w:szCs w:val="24"/>
          <w:lang w:val="en-US" w:eastAsia="es-ES"/>
        </w:rPr>
        <w:t>=</w:t>
      </w:r>
      <w:r w:rsidR="00A57731" w:rsidRPr="00016E4D">
        <w:rPr>
          <w:rFonts w:ascii="Arial" w:eastAsia="Arial Unicode MS" w:hAnsi="Arial" w:cs="Arial"/>
          <w:sz w:val="24"/>
          <w:szCs w:val="24"/>
          <w:lang w:val="en-GB"/>
        </w:rPr>
        <w:t>0.05</w:t>
      </w:r>
      <w:r w:rsidR="00451907" w:rsidRPr="00016E4D">
        <w:rPr>
          <w:rFonts w:ascii="Arial" w:eastAsia="Arial Unicode MS" w:hAnsi="Arial" w:cs="Arial"/>
          <w:sz w:val="24"/>
          <w:szCs w:val="24"/>
          <w:lang w:val="en-GB"/>
        </w:rPr>
        <w:t>)</w:t>
      </w:r>
      <w:r w:rsidRPr="00016E4D">
        <w:rPr>
          <w:rFonts w:ascii="Arial" w:eastAsia="Arial Unicode MS" w:hAnsi="Arial" w:cs="Arial"/>
          <w:sz w:val="24"/>
          <w:szCs w:val="24"/>
          <w:lang w:val="en-GB"/>
        </w:rPr>
        <w:t xml:space="preserve">. </w:t>
      </w:r>
      <w:r w:rsidR="00CC4D18">
        <w:rPr>
          <w:rFonts w:ascii="Arial" w:hAnsi="Arial" w:cs="Arial"/>
          <w:sz w:val="24"/>
          <w:szCs w:val="24"/>
          <w:lang w:val="en-US"/>
        </w:rPr>
        <w:t>This effect was</w:t>
      </w:r>
      <w:r w:rsidR="00C62336" w:rsidRPr="00C62336">
        <w:rPr>
          <w:rFonts w:ascii="Arial" w:hAnsi="Arial" w:cs="Arial"/>
          <w:sz w:val="24"/>
          <w:szCs w:val="24"/>
          <w:lang w:val="en-US"/>
        </w:rPr>
        <w:t xml:space="preserve"> </w:t>
      </w:r>
      <w:r w:rsidR="00246231" w:rsidRPr="00C62336">
        <w:rPr>
          <w:rFonts w:ascii="Arial" w:hAnsi="Arial" w:cs="Arial"/>
          <w:sz w:val="24"/>
          <w:szCs w:val="24"/>
          <w:lang w:val="en-US"/>
        </w:rPr>
        <w:t xml:space="preserve">no longer evident on the last day of training and </w:t>
      </w:r>
      <w:r w:rsidR="00A91707">
        <w:rPr>
          <w:rFonts w:ascii="Arial" w:hAnsi="Arial" w:cs="Arial"/>
          <w:sz w:val="24"/>
          <w:szCs w:val="24"/>
          <w:lang w:val="en-US"/>
        </w:rPr>
        <w:t xml:space="preserve">was </w:t>
      </w:r>
      <w:r w:rsidR="00246231" w:rsidRPr="00C62336">
        <w:rPr>
          <w:rFonts w:ascii="Arial" w:hAnsi="Arial" w:cs="Arial"/>
          <w:sz w:val="24"/>
          <w:szCs w:val="24"/>
          <w:lang w:val="en-US"/>
        </w:rPr>
        <w:t>absent during the test</w:t>
      </w:r>
      <w:r w:rsidR="00C62336">
        <w:rPr>
          <w:rFonts w:ascii="Arial" w:hAnsi="Arial" w:cs="Arial"/>
          <w:sz w:val="24"/>
          <w:szCs w:val="24"/>
          <w:lang w:val="en-US"/>
        </w:rPr>
        <w:t>ing phase</w:t>
      </w:r>
      <w:r w:rsidR="00246231" w:rsidRPr="00C62336">
        <w:rPr>
          <w:rFonts w:ascii="Arial" w:hAnsi="Arial" w:cs="Arial"/>
          <w:sz w:val="24"/>
          <w:szCs w:val="24"/>
          <w:lang w:val="en-US"/>
        </w:rPr>
        <w:t xml:space="preserve">. </w:t>
      </w:r>
      <w:r w:rsidR="00C62336">
        <w:rPr>
          <w:rFonts w:ascii="Arial" w:hAnsi="Arial" w:cs="Arial"/>
          <w:sz w:val="24"/>
          <w:szCs w:val="24"/>
          <w:lang w:val="en-US"/>
        </w:rPr>
        <w:t xml:space="preserve">There </w:t>
      </w:r>
      <w:r w:rsidR="00C62336" w:rsidRPr="008A16EB">
        <w:rPr>
          <w:rFonts w:ascii="Arial" w:eastAsia="Arial Unicode MS" w:hAnsi="Arial" w:cs="Arial"/>
          <w:sz w:val="24"/>
          <w:szCs w:val="24"/>
          <w:lang w:val="en-GB"/>
        </w:rPr>
        <w:t>were no</w:t>
      </w:r>
      <w:r w:rsidR="00C62336">
        <w:rPr>
          <w:rFonts w:ascii="Arial" w:eastAsia="Arial Unicode MS" w:hAnsi="Arial" w:cs="Arial"/>
          <w:sz w:val="24"/>
          <w:szCs w:val="24"/>
          <w:lang w:val="en-GB"/>
        </w:rPr>
        <w:t xml:space="preserve"> </w:t>
      </w:r>
      <w:r w:rsidR="00C62336" w:rsidRPr="008A16EB">
        <w:rPr>
          <w:rFonts w:ascii="Arial" w:eastAsia="Arial Unicode MS" w:hAnsi="Arial" w:cs="Arial"/>
          <w:sz w:val="24"/>
          <w:szCs w:val="24"/>
          <w:lang w:val="en-GB"/>
        </w:rPr>
        <w:t>differen</w:t>
      </w:r>
      <w:r w:rsidR="00C62336">
        <w:rPr>
          <w:rFonts w:ascii="Arial" w:eastAsia="Arial Unicode MS" w:hAnsi="Arial" w:cs="Arial"/>
          <w:sz w:val="24"/>
          <w:szCs w:val="24"/>
          <w:lang w:val="en-GB"/>
        </w:rPr>
        <w:t>ces in</w:t>
      </w:r>
      <w:r w:rsidR="00C62336" w:rsidRPr="008A16EB">
        <w:rPr>
          <w:rFonts w:ascii="Arial" w:eastAsia="Arial Unicode MS" w:hAnsi="Arial" w:cs="Arial"/>
          <w:sz w:val="24"/>
          <w:szCs w:val="24"/>
          <w:lang w:val="en-GB"/>
        </w:rPr>
        <w:t xml:space="preserve"> </w:t>
      </w:r>
      <w:r w:rsidRPr="008A16EB">
        <w:rPr>
          <w:rFonts w:ascii="Arial" w:eastAsia="Arial Unicode MS" w:hAnsi="Arial" w:cs="Arial"/>
          <w:sz w:val="24"/>
          <w:szCs w:val="24"/>
          <w:lang w:val="en-GB"/>
        </w:rPr>
        <w:t xml:space="preserve">OR, PerR, TOR and HE </w:t>
      </w:r>
      <w:r w:rsidR="00C62336">
        <w:rPr>
          <w:rFonts w:ascii="Arial" w:eastAsia="Arial Unicode MS" w:hAnsi="Arial" w:cs="Arial"/>
          <w:sz w:val="24"/>
          <w:szCs w:val="24"/>
          <w:lang w:val="en-GB"/>
        </w:rPr>
        <w:t>between</w:t>
      </w:r>
      <w:r w:rsidR="00923DF1" w:rsidRPr="008A16EB">
        <w:rPr>
          <w:rFonts w:ascii="Arial" w:eastAsia="Arial Unicode MS" w:hAnsi="Arial" w:cs="Arial"/>
          <w:sz w:val="24"/>
          <w:szCs w:val="24"/>
          <w:lang w:val="en-GB"/>
        </w:rPr>
        <w:t xml:space="preserve"> groups</w:t>
      </w:r>
      <w:r w:rsidR="00C62336">
        <w:rPr>
          <w:rFonts w:ascii="Arial" w:eastAsia="Arial Unicode MS" w:hAnsi="Arial" w:cs="Arial"/>
          <w:sz w:val="24"/>
          <w:szCs w:val="24"/>
          <w:lang w:val="en-GB"/>
        </w:rPr>
        <w:t xml:space="preserve"> during baseline or testing phases.</w:t>
      </w:r>
      <w:r w:rsidR="009F113D">
        <w:rPr>
          <w:rFonts w:ascii="Arial" w:eastAsia="Arial Unicode MS" w:hAnsi="Arial" w:cs="Arial"/>
          <w:sz w:val="24"/>
          <w:szCs w:val="24"/>
          <w:lang w:val="en-GB"/>
        </w:rPr>
        <w:t xml:space="preserve"> See Table S1.</w:t>
      </w:r>
      <w:r w:rsidR="00C62336">
        <w:rPr>
          <w:rFonts w:ascii="Arial" w:eastAsia="Arial Unicode MS" w:hAnsi="Arial" w:cs="Arial"/>
          <w:sz w:val="24"/>
          <w:szCs w:val="24"/>
          <w:lang w:val="en-GB"/>
        </w:rPr>
        <w:t xml:space="preserve"> </w:t>
      </w:r>
      <w:r w:rsidR="00727737">
        <w:rPr>
          <w:rFonts w:ascii="Arial" w:eastAsia="Arial Unicode MS" w:hAnsi="Arial" w:cs="Arial"/>
          <w:sz w:val="24"/>
          <w:szCs w:val="24"/>
          <w:lang w:val="en-GB"/>
        </w:rPr>
        <w:tab/>
      </w:r>
    </w:p>
    <w:tbl>
      <w:tblPr>
        <w:tblStyle w:val="Tablaconcuadrcula"/>
        <w:tblpPr w:leftFromText="141" w:rightFromText="141" w:vertAnchor="text" w:horzAnchor="page" w:tblpX="961" w:tblpY="786"/>
        <w:tblW w:w="2520" w:type="dxa"/>
        <w:tblLook w:val="04A0" w:firstRow="1" w:lastRow="0" w:firstColumn="1" w:lastColumn="0" w:noHBand="0" w:noVBand="1"/>
      </w:tblPr>
      <w:tblGrid>
        <w:gridCol w:w="2520"/>
      </w:tblGrid>
      <w:tr w:rsidR="006C1148" w:rsidRPr="006C1148" w14:paraId="2A37192C" w14:textId="77777777" w:rsidTr="006C1148">
        <w:trPr>
          <w:trHeight w:val="255"/>
        </w:trPr>
        <w:tc>
          <w:tcPr>
            <w:tcW w:w="2520" w:type="dxa"/>
            <w:noWrap/>
            <w:hideMark/>
          </w:tcPr>
          <w:p w14:paraId="5DDAB3F8" w14:textId="77777777" w:rsidR="006C1148" w:rsidRPr="006C1148" w:rsidRDefault="006C1148" w:rsidP="006C1148">
            <w:pPr>
              <w:rPr>
                <w:rFonts w:ascii="Arial" w:eastAsia="Times New Roman" w:hAnsi="Arial" w:cs="Arial"/>
                <w:color w:val="000000"/>
                <w:sz w:val="20"/>
                <w:szCs w:val="20"/>
                <w:lang w:eastAsia="es-ES"/>
              </w:rPr>
            </w:pPr>
            <w:r w:rsidRPr="006C1148">
              <w:rPr>
                <w:rFonts w:ascii="Arial" w:eastAsia="Times New Roman" w:hAnsi="Arial" w:cs="Arial"/>
                <w:color w:val="000000"/>
                <w:sz w:val="20"/>
                <w:szCs w:val="20"/>
                <w:lang w:eastAsia="es-ES"/>
              </w:rPr>
              <w:lastRenderedPageBreak/>
              <w:t>Correct responses</w:t>
            </w:r>
          </w:p>
        </w:tc>
      </w:tr>
      <w:tr w:rsidR="006C1148" w:rsidRPr="006C1148" w14:paraId="49B22CC0" w14:textId="77777777" w:rsidTr="006C1148">
        <w:trPr>
          <w:trHeight w:val="255"/>
        </w:trPr>
        <w:tc>
          <w:tcPr>
            <w:tcW w:w="2520" w:type="dxa"/>
            <w:noWrap/>
            <w:hideMark/>
          </w:tcPr>
          <w:p w14:paraId="1ECD6BED" w14:textId="06B491FA" w:rsidR="006C1148" w:rsidRPr="006C1148" w:rsidRDefault="006C1148" w:rsidP="006C1148">
            <w:pPr>
              <w:rPr>
                <w:rFonts w:ascii="Arial" w:eastAsia="Times New Roman" w:hAnsi="Arial" w:cs="Arial"/>
                <w:color w:val="000000"/>
                <w:sz w:val="20"/>
                <w:szCs w:val="20"/>
                <w:lang w:eastAsia="es-ES"/>
              </w:rPr>
            </w:pPr>
            <w:r w:rsidRPr="006C1148">
              <w:rPr>
                <w:rFonts w:ascii="Arial" w:eastAsia="Times New Roman" w:hAnsi="Arial" w:cs="Arial"/>
                <w:color w:val="000000"/>
                <w:sz w:val="20"/>
                <w:szCs w:val="20"/>
                <w:lang w:eastAsia="es-ES"/>
              </w:rPr>
              <w:t xml:space="preserve">Omissions </w:t>
            </w:r>
          </w:p>
        </w:tc>
      </w:tr>
      <w:tr w:rsidR="006C1148" w:rsidRPr="006C1148" w14:paraId="656A3CED" w14:textId="77777777" w:rsidTr="006C1148">
        <w:trPr>
          <w:trHeight w:val="255"/>
        </w:trPr>
        <w:tc>
          <w:tcPr>
            <w:tcW w:w="2520" w:type="dxa"/>
            <w:noWrap/>
            <w:hideMark/>
          </w:tcPr>
          <w:p w14:paraId="536BB0CB" w14:textId="77777777" w:rsidR="006C1148" w:rsidRPr="006C1148" w:rsidRDefault="006C1148" w:rsidP="006C1148">
            <w:pPr>
              <w:rPr>
                <w:rFonts w:ascii="Arial" w:eastAsia="Times New Roman" w:hAnsi="Arial" w:cs="Arial"/>
                <w:color w:val="000000"/>
                <w:sz w:val="20"/>
                <w:szCs w:val="20"/>
                <w:lang w:eastAsia="es-ES"/>
              </w:rPr>
            </w:pPr>
            <w:r w:rsidRPr="006C1148">
              <w:rPr>
                <w:rFonts w:ascii="Arial" w:eastAsia="Times New Roman" w:hAnsi="Arial" w:cs="Arial"/>
                <w:color w:val="000000"/>
                <w:sz w:val="20"/>
                <w:szCs w:val="20"/>
                <w:lang w:eastAsia="es-ES"/>
              </w:rPr>
              <w:t>Incorrect responses</w:t>
            </w:r>
          </w:p>
        </w:tc>
      </w:tr>
      <w:tr w:rsidR="006C1148" w:rsidRPr="006C1148" w14:paraId="7FA6E6EE" w14:textId="77777777" w:rsidTr="006C1148">
        <w:trPr>
          <w:trHeight w:val="255"/>
        </w:trPr>
        <w:tc>
          <w:tcPr>
            <w:tcW w:w="2520" w:type="dxa"/>
            <w:noWrap/>
            <w:hideMark/>
          </w:tcPr>
          <w:p w14:paraId="37B0407E" w14:textId="77777777" w:rsidR="006C1148" w:rsidRPr="006C1148" w:rsidRDefault="006C1148" w:rsidP="006C1148">
            <w:pPr>
              <w:rPr>
                <w:rFonts w:ascii="Arial" w:eastAsia="Times New Roman" w:hAnsi="Arial" w:cs="Arial"/>
                <w:color w:val="000000"/>
                <w:sz w:val="20"/>
                <w:szCs w:val="20"/>
                <w:lang w:eastAsia="es-ES"/>
              </w:rPr>
            </w:pPr>
            <w:r w:rsidRPr="006C1148">
              <w:rPr>
                <w:rFonts w:ascii="Arial" w:eastAsia="Times New Roman" w:hAnsi="Arial" w:cs="Arial"/>
                <w:color w:val="000000"/>
                <w:sz w:val="20"/>
                <w:szCs w:val="20"/>
                <w:lang w:eastAsia="es-ES"/>
              </w:rPr>
              <w:t>Perseverative responses</w:t>
            </w:r>
          </w:p>
        </w:tc>
      </w:tr>
    </w:tbl>
    <w:tbl>
      <w:tblPr>
        <w:tblpPr w:leftFromText="141" w:rightFromText="141" w:vertAnchor="text" w:horzAnchor="page" w:tblpX="3481" w:tblpY="171"/>
        <w:tblW w:w="7345" w:type="dxa"/>
        <w:tblCellMar>
          <w:left w:w="70" w:type="dxa"/>
          <w:right w:w="70" w:type="dxa"/>
        </w:tblCellMar>
        <w:tblLook w:val="04A0" w:firstRow="1" w:lastRow="0" w:firstColumn="1" w:lastColumn="0" w:noHBand="0" w:noVBand="1"/>
      </w:tblPr>
      <w:tblGrid>
        <w:gridCol w:w="641"/>
        <w:gridCol w:w="147"/>
        <w:gridCol w:w="494"/>
        <w:gridCol w:w="186"/>
        <w:gridCol w:w="285"/>
        <w:gridCol w:w="752"/>
        <w:gridCol w:w="147"/>
        <w:gridCol w:w="494"/>
        <w:gridCol w:w="186"/>
        <w:gridCol w:w="285"/>
        <w:gridCol w:w="752"/>
        <w:gridCol w:w="147"/>
        <w:gridCol w:w="494"/>
        <w:gridCol w:w="186"/>
        <w:gridCol w:w="285"/>
        <w:gridCol w:w="752"/>
        <w:gridCol w:w="147"/>
        <w:gridCol w:w="494"/>
        <w:gridCol w:w="186"/>
        <w:gridCol w:w="285"/>
      </w:tblGrid>
      <w:tr w:rsidR="006C1148" w:rsidRPr="00673252" w14:paraId="53EBCA84" w14:textId="77777777" w:rsidTr="006C1148">
        <w:trPr>
          <w:trHeight w:val="299"/>
        </w:trPr>
        <w:tc>
          <w:tcPr>
            <w:tcW w:w="1753" w:type="dxa"/>
            <w:gridSpan w:val="5"/>
            <w:tcBorders>
              <w:top w:val="single" w:sz="4" w:space="0" w:color="auto"/>
              <w:left w:val="single" w:sz="4" w:space="0" w:color="auto"/>
              <w:bottom w:val="nil"/>
              <w:right w:val="nil"/>
            </w:tcBorders>
            <w:shd w:val="clear" w:color="000000" w:fill="FFFFFF"/>
            <w:noWrap/>
            <w:vAlign w:val="bottom"/>
            <w:hideMark/>
          </w:tcPr>
          <w:p w14:paraId="7756C6CB" w14:textId="77777777" w:rsidR="006C1148" w:rsidRPr="00673252" w:rsidRDefault="006C1148" w:rsidP="006C1148">
            <w:pPr>
              <w:spacing w:after="0" w:line="240" w:lineRule="auto"/>
              <w:jc w:val="center"/>
              <w:rPr>
                <w:rFonts w:ascii="Arial" w:eastAsia="Times New Roman" w:hAnsi="Arial" w:cs="Arial"/>
                <w:color w:val="000000"/>
                <w:lang w:eastAsia="es-ES"/>
              </w:rPr>
            </w:pPr>
            <w:r w:rsidRPr="00673252">
              <w:rPr>
                <w:rFonts w:ascii="Arial" w:eastAsia="Times New Roman" w:hAnsi="Arial" w:cs="Arial"/>
                <w:color w:val="000000"/>
                <w:lang w:eastAsia="es-ES"/>
              </w:rPr>
              <w:t>Male VEH</w:t>
            </w:r>
          </w:p>
        </w:tc>
        <w:tc>
          <w:tcPr>
            <w:tcW w:w="1864" w:type="dxa"/>
            <w:gridSpan w:val="5"/>
            <w:tcBorders>
              <w:top w:val="single" w:sz="4" w:space="0" w:color="auto"/>
              <w:left w:val="nil"/>
              <w:bottom w:val="nil"/>
              <w:right w:val="nil"/>
            </w:tcBorders>
            <w:shd w:val="clear" w:color="000000" w:fill="E2EFDA"/>
            <w:noWrap/>
            <w:vAlign w:val="bottom"/>
            <w:hideMark/>
          </w:tcPr>
          <w:p w14:paraId="57154677" w14:textId="77777777" w:rsidR="006C1148" w:rsidRPr="00673252" w:rsidRDefault="006C1148" w:rsidP="006C1148">
            <w:pPr>
              <w:spacing w:after="0" w:line="240" w:lineRule="auto"/>
              <w:jc w:val="center"/>
              <w:rPr>
                <w:rFonts w:ascii="Arial" w:eastAsia="Times New Roman" w:hAnsi="Arial" w:cs="Arial"/>
                <w:color w:val="000000"/>
                <w:lang w:eastAsia="es-ES"/>
              </w:rPr>
            </w:pPr>
            <w:r w:rsidRPr="00673252">
              <w:rPr>
                <w:rFonts w:ascii="Arial" w:eastAsia="Times New Roman" w:hAnsi="Arial" w:cs="Arial"/>
                <w:color w:val="000000"/>
                <w:lang w:eastAsia="es-ES"/>
              </w:rPr>
              <w:t>Male THC</w:t>
            </w:r>
          </w:p>
        </w:tc>
        <w:tc>
          <w:tcPr>
            <w:tcW w:w="1864" w:type="dxa"/>
            <w:gridSpan w:val="5"/>
            <w:tcBorders>
              <w:top w:val="single" w:sz="4" w:space="0" w:color="auto"/>
              <w:left w:val="nil"/>
              <w:bottom w:val="nil"/>
              <w:right w:val="nil"/>
            </w:tcBorders>
            <w:shd w:val="clear" w:color="000000" w:fill="FFFFFF"/>
            <w:noWrap/>
            <w:vAlign w:val="bottom"/>
            <w:hideMark/>
          </w:tcPr>
          <w:p w14:paraId="663D32A6" w14:textId="77777777" w:rsidR="006C1148" w:rsidRPr="00673252" w:rsidRDefault="006C1148" w:rsidP="006C1148">
            <w:pPr>
              <w:spacing w:after="0" w:line="240" w:lineRule="auto"/>
              <w:jc w:val="center"/>
              <w:rPr>
                <w:rFonts w:ascii="Arial" w:eastAsia="Times New Roman" w:hAnsi="Arial" w:cs="Arial"/>
                <w:color w:val="000000"/>
                <w:lang w:eastAsia="es-ES"/>
              </w:rPr>
            </w:pPr>
            <w:r w:rsidRPr="00673252">
              <w:rPr>
                <w:rFonts w:ascii="Arial" w:eastAsia="Times New Roman" w:hAnsi="Arial" w:cs="Arial"/>
                <w:color w:val="000000"/>
                <w:lang w:eastAsia="es-ES"/>
              </w:rPr>
              <w:t>Female VEH</w:t>
            </w:r>
          </w:p>
        </w:tc>
        <w:tc>
          <w:tcPr>
            <w:tcW w:w="1864" w:type="dxa"/>
            <w:gridSpan w:val="5"/>
            <w:tcBorders>
              <w:top w:val="single" w:sz="4" w:space="0" w:color="auto"/>
              <w:left w:val="nil"/>
              <w:bottom w:val="nil"/>
              <w:right w:val="nil"/>
            </w:tcBorders>
            <w:shd w:val="clear" w:color="000000" w:fill="E2EFDA"/>
            <w:noWrap/>
            <w:vAlign w:val="bottom"/>
            <w:hideMark/>
          </w:tcPr>
          <w:p w14:paraId="54CCE7F7" w14:textId="77777777" w:rsidR="006C1148" w:rsidRPr="00673252" w:rsidRDefault="006C1148" w:rsidP="006C1148">
            <w:pPr>
              <w:spacing w:after="0" w:line="240" w:lineRule="auto"/>
              <w:jc w:val="center"/>
              <w:rPr>
                <w:rFonts w:ascii="Arial" w:eastAsia="Times New Roman" w:hAnsi="Arial" w:cs="Arial"/>
                <w:color w:val="000000"/>
                <w:lang w:eastAsia="es-ES"/>
              </w:rPr>
            </w:pPr>
            <w:r w:rsidRPr="00673252">
              <w:rPr>
                <w:rFonts w:ascii="Arial" w:eastAsia="Times New Roman" w:hAnsi="Arial" w:cs="Arial"/>
                <w:color w:val="000000"/>
                <w:lang w:eastAsia="es-ES"/>
              </w:rPr>
              <w:t>Female THC</w:t>
            </w:r>
          </w:p>
        </w:tc>
      </w:tr>
      <w:tr w:rsidR="006C1148" w:rsidRPr="00673252" w14:paraId="0D529D0C" w14:textId="77777777" w:rsidTr="006C1148">
        <w:trPr>
          <w:trHeight w:val="299"/>
        </w:trPr>
        <w:tc>
          <w:tcPr>
            <w:tcW w:w="788" w:type="dxa"/>
            <w:gridSpan w:val="2"/>
            <w:tcBorders>
              <w:top w:val="nil"/>
              <w:left w:val="single" w:sz="4" w:space="0" w:color="auto"/>
              <w:bottom w:val="single" w:sz="4" w:space="0" w:color="auto"/>
              <w:right w:val="nil"/>
            </w:tcBorders>
            <w:shd w:val="clear" w:color="000000" w:fill="FFFFFF"/>
            <w:noWrap/>
            <w:vAlign w:val="center"/>
            <w:hideMark/>
          </w:tcPr>
          <w:p w14:paraId="17C5175A"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Mean</w:t>
            </w:r>
          </w:p>
        </w:tc>
        <w:tc>
          <w:tcPr>
            <w:tcW w:w="680" w:type="dxa"/>
            <w:gridSpan w:val="2"/>
            <w:tcBorders>
              <w:top w:val="nil"/>
              <w:left w:val="nil"/>
              <w:bottom w:val="single" w:sz="4" w:space="0" w:color="auto"/>
              <w:right w:val="nil"/>
            </w:tcBorders>
            <w:shd w:val="clear" w:color="000000" w:fill="FFFFFF"/>
            <w:noWrap/>
            <w:vAlign w:val="center"/>
            <w:hideMark/>
          </w:tcPr>
          <w:p w14:paraId="7F1D92A9"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SEM</w:t>
            </w:r>
          </w:p>
        </w:tc>
        <w:tc>
          <w:tcPr>
            <w:tcW w:w="285" w:type="dxa"/>
            <w:tcBorders>
              <w:top w:val="nil"/>
              <w:left w:val="nil"/>
              <w:bottom w:val="single" w:sz="4" w:space="0" w:color="auto"/>
              <w:right w:val="nil"/>
            </w:tcBorders>
            <w:shd w:val="clear" w:color="000000" w:fill="FFFFFF"/>
            <w:noWrap/>
            <w:vAlign w:val="center"/>
            <w:hideMark/>
          </w:tcPr>
          <w:p w14:paraId="2C905BBA"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N</w:t>
            </w:r>
          </w:p>
        </w:tc>
        <w:tc>
          <w:tcPr>
            <w:tcW w:w="899" w:type="dxa"/>
            <w:gridSpan w:val="2"/>
            <w:tcBorders>
              <w:top w:val="nil"/>
              <w:left w:val="nil"/>
              <w:bottom w:val="single" w:sz="4" w:space="0" w:color="auto"/>
              <w:right w:val="nil"/>
            </w:tcBorders>
            <w:shd w:val="clear" w:color="000000" w:fill="E2EFDA"/>
            <w:noWrap/>
            <w:vAlign w:val="center"/>
            <w:hideMark/>
          </w:tcPr>
          <w:p w14:paraId="391BABA3"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Mean</w:t>
            </w:r>
          </w:p>
        </w:tc>
        <w:tc>
          <w:tcPr>
            <w:tcW w:w="680" w:type="dxa"/>
            <w:gridSpan w:val="2"/>
            <w:tcBorders>
              <w:top w:val="nil"/>
              <w:left w:val="nil"/>
              <w:bottom w:val="single" w:sz="4" w:space="0" w:color="auto"/>
              <w:right w:val="nil"/>
            </w:tcBorders>
            <w:shd w:val="clear" w:color="000000" w:fill="E2EFDA"/>
            <w:noWrap/>
            <w:vAlign w:val="center"/>
            <w:hideMark/>
          </w:tcPr>
          <w:p w14:paraId="75946779"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SEM</w:t>
            </w:r>
          </w:p>
        </w:tc>
        <w:tc>
          <w:tcPr>
            <w:tcW w:w="285" w:type="dxa"/>
            <w:tcBorders>
              <w:top w:val="nil"/>
              <w:left w:val="nil"/>
              <w:bottom w:val="single" w:sz="4" w:space="0" w:color="auto"/>
              <w:right w:val="nil"/>
            </w:tcBorders>
            <w:shd w:val="clear" w:color="000000" w:fill="E2EFDA"/>
            <w:noWrap/>
            <w:vAlign w:val="center"/>
            <w:hideMark/>
          </w:tcPr>
          <w:p w14:paraId="5952964D"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N</w:t>
            </w:r>
          </w:p>
        </w:tc>
        <w:tc>
          <w:tcPr>
            <w:tcW w:w="899" w:type="dxa"/>
            <w:gridSpan w:val="2"/>
            <w:tcBorders>
              <w:top w:val="nil"/>
              <w:left w:val="nil"/>
              <w:bottom w:val="single" w:sz="4" w:space="0" w:color="auto"/>
              <w:right w:val="nil"/>
            </w:tcBorders>
            <w:shd w:val="clear" w:color="000000" w:fill="FFFFFF"/>
            <w:noWrap/>
            <w:vAlign w:val="center"/>
            <w:hideMark/>
          </w:tcPr>
          <w:p w14:paraId="505CDFDD"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Mean</w:t>
            </w:r>
          </w:p>
        </w:tc>
        <w:tc>
          <w:tcPr>
            <w:tcW w:w="680" w:type="dxa"/>
            <w:gridSpan w:val="2"/>
            <w:tcBorders>
              <w:top w:val="nil"/>
              <w:left w:val="nil"/>
              <w:bottom w:val="single" w:sz="4" w:space="0" w:color="auto"/>
              <w:right w:val="nil"/>
            </w:tcBorders>
            <w:shd w:val="clear" w:color="000000" w:fill="FFFFFF"/>
            <w:noWrap/>
            <w:vAlign w:val="center"/>
            <w:hideMark/>
          </w:tcPr>
          <w:p w14:paraId="1604FD9A"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SEM</w:t>
            </w:r>
          </w:p>
        </w:tc>
        <w:tc>
          <w:tcPr>
            <w:tcW w:w="285" w:type="dxa"/>
            <w:tcBorders>
              <w:top w:val="nil"/>
              <w:left w:val="nil"/>
              <w:bottom w:val="single" w:sz="4" w:space="0" w:color="auto"/>
              <w:right w:val="nil"/>
            </w:tcBorders>
            <w:shd w:val="clear" w:color="000000" w:fill="FFFFFF"/>
            <w:noWrap/>
            <w:vAlign w:val="center"/>
            <w:hideMark/>
          </w:tcPr>
          <w:p w14:paraId="5881A807"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N</w:t>
            </w:r>
          </w:p>
        </w:tc>
        <w:tc>
          <w:tcPr>
            <w:tcW w:w="899" w:type="dxa"/>
            <w:gridSpan w:val="2"/>
            <w:tcBorders>
              <w:top w:val="nil"/>
              <w:left w:val="nil"/>
              <w:bottom w:val="single" w:sz="4" w:space="0" w:color="auto"/>
              <w:right w:val="nil"/>
            </w:tcBorders>
            <w:shd w:val="clear" w:color="000000" w:fill="E2EFDA"/>
            <w:noWrap/>
            <w:vAlign w:val="center"/>
            <w:hideMark/>
          </w:tcPr>
          <w:p w14:paraId="0117FF65"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Mean</w:t>
            </w:r>
          </w:p>
        </w:tc>
        <w:tc>
          <w:tcPr>
            <w:tcW w:w="680" w:type="dxa"/>
            <w:gridSpan w:val="2"/>
            <w:tcBorders>
              <w:top w:val="nil"/>
              <w:left w:val="nil"/>
              <w:bottom w:val="single" w:sz="4" w:space="0" w:color="auto"/>
              <w:right w:val="nil"/>
            </w:tcBorders>
            <w:shd w:val="clear" w:color="000000" w:fill="E2EFDA"/>
            <w:noWrap/>
            <w:vAlign w:val="center"/>
            <w:hideMark/>
          </w:tcPr>
          <w:p w14:paraId="10AD79EB"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SEM</w:t>
            </w:r>
          </w:p>
        </w:tc>
        <w:tc>
          <w:tcPr>
            <w:tcW w:w="285" w:type="dxa"/>
            <w:tcBorders>
              <w:top w:val="nil"/>
              <w:left w:val="nil"/>
              <w:bottom w:val="single" w:sz="4" w:space="0" w:color="auto"/>
              <w:right w:val="nil"/>
            </w:tcBorders>
            <w:shd w:val="clear" w:color="000000" w:fill="E2EFDA"/>
            <w:noWrap/>
            <w:vAlign w:val="center"/>
            <w:hideMark/>
          </w:tcPr>
          <w:p w14:paraId="6A2AF700" w14:textId="77777777" w:rsidR="006C1148" w:rsidRPr="00673252" w:rsidRDefault="006C1148" w:rsidP="006C1148">
            <w:pPr>
              <w:spacing w:after="0" w:line="240" w:lineRule="auto"/>
              <w:jc w:val="center"/>
              <w:rPr>
                <w:rFonts w:ascii="Arial" w:eastAsia="Times New Roman" w:hAnsi="Arial" w:cs="Arial"/>
                <w:sz w:val="20"/>
                <w:szCs w:val="20"/>
                <w:lang w:eastAsia="es-ES"/>
              </w:rPr>
            </w:pPr>
            <w:r w:rsidRPr="00673252">
              <w:rPr>
                <w:rFonts w:ascii="Arial" w:eastAsia="Times New Roman" w:hAnsi="Arial" w:cs="Arial"/>
                <w:sz w:val="20"/>
                <w:szCs w:val="20"/>
                <w:lang w:eastAsia="es-ES"/>
              </w:rPr>
              <w:t>N</w:t>
            </w:r>
          </w:p>
        </w:tc>
      </w:tr>
      <w:tr w:rsidR="006C1148" w:rsidRPr="00673252" w14:paraId="4A5EF2D8" w14:textId="77777777" w:rsidTr="006C1148">
        <w:trPr>
          <w:trHeight w:val="254"/>
        </w:trPr>
        <w:tc>
          <w:tcPr>
            <w:tcW w:w="641" w:type="dxa"/>
            <w:tcBorders>
              <w:top w:val="nil"/>
              <w:left w:val="single" w:sz="4" w:space="0" w:color="auto"/>
              <w:bottom w:val="nil"/>
              <w:right w:val="nil"/>
            </w:tcBorders>
            <w:shd w:val="clear" w:color="000000" w:fill="F2F2F2"/>
            <w:noWrap/>
            <w:vAlign w:val="bottom"/>
            <w:hideMark/>
          </w:tcPr>
          <w:p w14:paraId="355F8FA8"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87,28</w:t>
            </w:r>
          </w:p>
        </w:tc>
        <w:tc>
          <w:tcPr>
            <w:tcW w:w="641" w:type="dxa"/>
            <w:gridSpan w:val="2"/>
            <w:tcBorders>
              <w:top w:val="nil"/>
              <w:left w:val="nil"/>
              <w:bottom w:val="nil"/>
              <w:right w:val="nil"/>
            </w:tcBorders>
            <w:shd w:val="clear" w:color="000000" w:fill="F2F2F2"/>
            <w:noWrap/>
            <w:vAlign w:val="bottom"/>
            <w:hideMark/>
          </w:tcPr>
          <w:p w14:paraId="2E16DFA6"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0,324</w:t>
            </w:r>
          </w:p>
        </w:tc>
        <w:tc>
          <w:tcPr>
            <w:tcW w:w="471" w:type="dxa"/>
            <w:gridSpan w:val="2"/>
            <w:tcBorders>
              <w:top w:val="nil"/>
              <w:left w:val="nil"/>
              <w:bottom w:val="nil"/>
              <w:right w:val="nil"/>
            </w:tcBorders>
            <w:shd w:val="clear" w:color="000000" w:fill="F2F2F2"/>
            <w:noWrap/>
            <w:vAlign w:val="bottom"/>
            <w:hideMark/>
          </w:tcPr>
          <w:p w14:paraId="3E8E9EF3"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00749A3C"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86,167</w:t>
            </w:r>
          </w:p>
        </w:tc>
        <w:tc>
          <w:tcPr>
            <w:tcW w:w="641" w:type="dxa"/>
            <w:gridSpan w:val="2"/>
            <w:tcBorders>
              <w:top w:val="nil"/>
              <w:left w:val="nil"/>
              <w:bottom w:val="nil"/>
              <w:right w:val="nil"/>
            </w:tcBorders>
            <w:shd w:val="clear" w:color="000000" w:fill="F2F2F2"/>
            <w:noWrap/>
            <w:vAlign w:val="bottom"/>
            <w:hideMark/>
          </w:tcPr>
          <w:p w14:paraId="144DADFE"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0,324</w:t>
            </w:r>
          </w:p>
        </w:tc>
        <w:tc>
          <w:tcPr>
            <w:tcW w:w="471" w:type="dxa"/>
            <w:gridSpan w:val="2"/>
            <w:tcBorders>
              <w:top w:val="nil"/>
              <w:left w:val="nil"/>
              <w:bottom w:val="nil"/>
              <w:right w:val="nil"/>
            </w:tcBorders>
            <w:shd w:val="clear" w:color="000000" w:fill="F2F2F2"/>
            <w:noWrap/>
            <w:vAlign w:val="bottom"/>
            <w:hideMark/>
          </w:tcPr>
          <w:p w14:paraId="0318939D"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60E39EB3"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87,764</w:t>
            </w:r>
          </w:p>
        </w:tc>
        <w:tc>
          <w:tcPr>
            <w:tcW w:w="641" w:type="dxa"/>
            <w:gridSpan w:val="2"/>
            <w:tcBorders>
              <w:top w:val="nil"/>
              <w:left w:val="nil"/>
              <w:bottom w:val="nil"/>
              <w:right w:val="nil"/>
            </w:tcBorders>
            <w:shd w:val="clear" w:color="000000" w:fill="F2F2F2"/>
            <w:noWrap/>
            <w:vAlign w:val="bottom"/>
            <w:hideMark/>
          </w:tcPr>
          <w:p w14:paraId="174C251E"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0,324</w:t>
            </w:r>
          </w:p>
        </w:tc>
        <w:tc>
          <w:tcPr>
            <w:tcW w:w="471" w:type="dxa"/>
            <w:gridSpan w:val="2"/>
            <w:tcBorders>
              <w:top w:val="nil"/>
              <w:left w:val="nil"/>
              <w:bottom w:val="nil"/>
              <w:right w:val="nil"/>
            </w:tcBorders>
            <w:shd w:val="clear" w:color="000000" w:fill="F2F2F2"/>
            <w:noWrap/>
            <w:vAlign w:val="bottom"/>
            <w:hideMark/>
          </w:tcPr>
          <w:p w14:paraId="5F38A7CB"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1B8A03EB"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87,875</w:t>
            </w:r>
          </w:p>
        </w:tc>
        <w:tc>
          <w:tcPr>
            <w:tcW w:w="641" w:type="dxa"/>
            <w:gridSpan w:val="2"/>
            <w:tcBorders>
              <w:top w:val="nil"/>
              <w:left w:val="nil"/>
              <w:bottom w:val="nil"/>
              <w:right w:val="nil"/>
            </w:tcBorders>
            <w:shd w:val="clear" w:color="000000" w:fill="F2F2F2"/>
            <w:noWrap/>
            <w:vAlign w:val="bottom"/>
            <w:hideMark/>
          </w:tcPr>
          <w:p w14:paraId="18C51ACD"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0,324</w:t>
            </w:r>
          </w:p>
        </w:tc>
        <w:tc>
          <w:tcPr>
            <w:tcW w:w="471" w:type="dxa"/>
            <w:gridSpan w:val="2"/>
            <w:tcBorders>
              <w:top w:val="nil"/>
              <w:left w:val="nil"/>
              <w:bottom w:val="nil"/>
              <w:right w:val="nil"/>
            </w:tcBorders>
            <w:shd w:val="clear" w:color="000000" w:fill="F2F2F2"/>
            <w:noWrap/>
            <w:vAlign w:val="bottom"/>
            <w:hideMark/>
          </w:tcPr>
          <w:p w14:paraId="5CA1E870"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r>
      <w:tr w:rsidR="006C1148" w:rsidRPr="00673252" w14:paraId="54CC8026" w14:textId="77777777" w:rsidTr="006C1148">
        <w:trPr>
          <w:trHeight w:val="254"/>
        </w:trPr>
        <w:tc>
          <w:tcPr>
            <w:tcW w:w="641" w:type="dxa"/>
            <w:tcBorders>
              <w:top w:val="nil"/>
              <w:left w:val="single" w:sz="4" w:space="0" w:color="auto"/>
              <w:bottom w:val="nil"/>
              <w:right w:val="nil"/>
            </w:tcBorders>
            <w:shd w:val="clear" w:color="000000" w:fill="F2F2F2"/>
            <w:noWrap/>
            <w:vAlign w:val="bottom"/>
            <w:hideMark/>
          </w:tcPr>
          <w:p w14:paraId="3797205C"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6,042</w:t>
            </w:r>
          </w:p>
        </w:tc>
        <w:tc>
          <w:tcPr>
            <w:tcW w:w="641" w:type="dxa"/>
            <w:gridSpan w:val="2"/>
            <w:tcBorders>
              <w:top w:val="nil"/>
              <w:left w:val="nil"/>
              <w:bottom w:val="nil"/>
              <w:right w:val="nil"/>
            </w:tcBorders>
            <w:shd w:val="clear" w:color="000000" w:fill="F2F2F2"/>
            <w:noWrap/>
            <w:vAlign w:val="bottom"/>
            <w:hideMark/>
          </w:tcPr>
          <w:p w14:paraId="3BC145BC"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0,243</w:t>
            </w:r>
          </w:p>
        </w:tc>
        <w:tc>
          <w:tcPr>
            <w:tcW w:w="471" w:type="dxa"/>
            <w:gridSpan w:val="2"/>
            <w:tcBorders>
              <w:top w:val="nil"/>
              <w:left w:val="nil"/>
              <w:bottom w:val="nil"/>
              <w:right w:val="nil"/>
            </w:tcBorders>
            <w:shd w:val="clear" w:color="000000" w:fill="F2F2F2"/>
            <w:noWrap/>
            <w:vAlign w:val="bottom"/>
            <w:hideMark/>
          </w:tcPr>
          <w:p w14:paraId="009D0EC0"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244B79E0"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4,694</w:t>
            </w:r>
          </w:p>
        </w:tc>
        <w:tc>
          <w:tcPr>
            <w:tcW w:w="641" w:type="dxa"/>
            <w:gridSpan w:val="2"/>
            <w:tcBorders>
              <w:top w:val="nil"/>
              <w:left w:val="nil"/>
              <w:bottom w:val="nil"/>
              <w:right w:val="nil"/>
            </w:tcBorders>
            <w:shd w:val="clear" w:color="000000" w:fill="F2F2F2"/>
            <w:noWrap/>
            <w:vAlign w:val="bottom"/>
            <w:hideMark/>
          </w:tcPr>
          <w:p w14:paraId="7E8F3A99"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0,243</w:t>
            </w:r>
          </w:p>
        </w:tc>
        <w:tc>
          <w:tcPr>
            <w:tcW w:w="471" w:type="dxa"/>
            <w:gridSpan w:val="2"/>
            <w:tcBorders>
              <w:top w:val="nil"/>
              <w:left w:val="nil"/>
              <w:bottom w:val="nil"/>
              <w:right w:val="nil"/>
            </w:tcBorders>
            <w:shd w:val="clear" w:color="000000" w:fill="F2F2F2"/>
            <w:noWrap/>
            <w:vAlign w:val="bottom"/>
            <w:hideMark/>
          </w:tcPr>
          <w:p w14:paraId="57C7FC13"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2E1E4A22"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5,292</w:t>
            </w:r>
          </w:p>
        </w:tc>
        <w:tc>
          <w:tcPr>
            <w:tcW w:w="641" w:type="dxa"/>
            <w:gridSpan w:val="2"/>
            <w:tcBorders>
              <w:top w:val="nil"/>
              <w:left w:val="nil"/>
              <w:bottom w:val="nil"/>
              <w:right w:val="nil"/>
            </w:tcBorders>
            <w:shd w:val="clear" w:color="000000" w:fill="F2F2F2"/>
            <w:noWrap/>
            <w:vAlign w:val="bottom"/>
            <w:hideMark/>
          </w:tcPr>
          <w:p w14:paraId="5B0EBD09"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0,243</w:t>
            </w:r>
          </w:p>
        </w:tc>
        <w:tc>
          <w:tcPr>
            <w:tcW w:w="471" w:type="dxa"/>
            <w:gridSpan w:val="2"/>
            <w:tcBorders>
              <w:top w:val="nil"/>
              <w:left w:val="nil"/>
              <w:bottom w:val="nil"/>
              <w:right w:val="nil"/>
            </w:tcBorders>
            <w:shd w:val="clear" w:color="000000" w:fill="F2F2F2"/>
            <w:noWrap/>
            <w:vAlign w:val="bottom"/>
            <w:hideMark/>
          </w:tcPr>
          <w:p w14:paraId="5F76F56F"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71B28421"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4,986</w:t>
            </w:r>
          </w:p>
        </w:tc>
        <w:tc>
          <w:tcPr>
            <w:tcW w:w="641" w:type="dxa"/>
            <w:gridSpan w:val="2"/>
            <w:tcBorders>
              <w:top w:val="nil"/>
              <w:left w:val="nil"/>
              <w:bottom w:val="nil"/>
              <w:right w:val="nil"/>
            </w:tcBorders>
            <w:shd w:val="clear" w:color="000000" w:fill="F2F2F2"/>
            <w:noWrap/>
            <w:vAlign w:val="bottom"/>
            <w:hideMark/>
          </w:tcPr>
          <w:p w14:paraId="6883D9E6"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0,243</w:t>
            </w:r>
          </w:p>
        </w:tc>
        <w:tc>
          <w:tcPr>
            <w:tcW w:w="471" w:type="dxa"/>
            <w:gridSpan w:val="2"/>
            <w:tcBorders>
              <w:top w:val="nil"/>
              <w:left w:val="nil"/>
              <w:bottom w:val="nil"/>
              <w:right w:val="nil"/>
            </w:tcBorders>
            <w:shd w:val="clear" w:color="000000" w:fill="F2F2F2"/>
            <w:noWrap/>
            <w:vAlign w:val="bottom"/>
            <w:hideMark/>
          </w:tcPr>
          <w:p w14:paraId="254B4CC2"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r>
      <w:tr w:rsidR="006C1148" w:rsidRPr="00673252" w14:paraId="07094D31" w14:textId="77777777" w:rsidTr="006C1148">
        <w:trPr>
          <w:trHeight w:val="254"/>
        </w:trPr>
        <w:tc>
          <w:tcPr>
            <w:tcW w:w="641" w:type="dxa"/>
            <w:tcBorders>
              <w:top w:val="nil"/>
              <w:left w:val="single" w:sz="4" w:space="0" w:color="auto"/>
              <w:bottom w:val="nil"/>
              <w:right w:val="nil"/>
            </w:tcBorders>
            <w:shd w:val="clear" w:color="000000" w:fill="F2F2F2"/>
            <w:noWrap/>
            <w:vAlign w:val="bottom"/>
            <w:hideMark/>
          </w:tcPr>
          <w:p w14:paraId="445D0B32"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6,681</w:t>
            </w:r>
          </w:p>
        </w:tc>
        <w:tc>
          <w:tcPr>
            <w:tcW w:w="641" w:type="dxa"/>
            <w:gridSpan w:val="2"/>
            <w:tcBorders>
              <w:top w:val="nil"/>
              <w:left w:val="nil"/>
              <w:bottom w:val="nil"/>
              <w:right w:val="nil"/>
            </w:tcBorders>
            <w:shd w:val="clear" w:color="000000" w:fill="F2F2F2"/>
            <w:noWrap/>
            <w:vAlign w:val="bottom"/>
            <w:hideMark/>
          </w:tcPr>
          <w:p w14:paraId="40834B64"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0,359</w:t>
            </w:r>
          </w:p>
        </w:tc>
        <w:tc>
          <w:tcPr>
            <w:tcW w:w="471" w:type="dxa"/>
            <w:gridSpan w:val="2"/>
            <w:tcBorders>
              <w:top w:val="nil"/>
              <w:left w:val="nil"/>
              <w:bottom w:val="nil"/>
              <w:right w:val="nil"/>
            </w:tcBorders>
            <w:shd w:val="clear" w:color="000000" w:fill="F2F2F2"/>
            <w:noWrap/>
            <w:vAlign w:val="bottom"/>
            <w:hideMark/>
          </w:tcPr>
          <w:p w14:paraId="07F00716"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1E4C7C9C"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9,139</w:t>
            </w:r>
          </w:p>
        </w:tc>
        <w:tc>
          <w:tcPr>
            <w:tcW w:w="641" w:type="dxa"/>
            <w:gridSpan w:val="2"/>
            <w:tcBorders>
              <w:top w:val="nil"/>
              <w:left w:val="nil"/>
              <w:bottom w:val="nil"/>
              <w:right w:val="nil"/>
            </w:tcBorders>
            <w:shd w:val="clear" w:color="000000" w:fill="F2F2F2"/>
            <w:noWrap/>
            <w:vAlign w:val="bottom"/>
            <w:hideMark/>
          </w:tcPr>
          <w:p w14:paraId="77552730"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0,359</w:t>
            </w:r>
          </w:p>
        </w:tc>
        <w:tc>
          <w:tcPr>
            <w:tcW w:w="471" w:type="dxa"/>
            <w:gridSpan w:val="2"/>
            <w:tcBorders>
              <w:top w:val="nil"/>
              <w:left w:val="nil"/>
              <w:bottom w:val="nil"/>
              <w:right w:val="nil"/>
            </w:tcBorders>
            <w:shd w:val="clear" w:color="000000" w:fill="F2F2F2"/>
            <w:noWrap/>
            <w:vAlign w:val="bottom"/>
            <w:hideMark/>
          </w:tcPr>
          <w:p w14:paraId="18CD5753"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189BBA6F"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6,944</w:t>
            </w:r>
          </w:p>
        </w:tc>
        <w:tc>
          <w:tcPr>
            <w:tcW w:w="641" w:type="dxa"/>
            <w:gridSpan w:val="2"/>
            <w:tcBorders>
              <w:top w:val="nil"/>
              <w:left w:val="nil"/>
              <w:bottom w:val="nil"/>
              <w:right w:val="nil"/>
            </w:tcBorders>
            <w:shd w:val="clear" w:color="000000" w:fill="F2F2F2"/>
            <w:noWrap/>
            <w:vAlign w:val="bottom"/>
            <w:hideMark/>
          </w:tcPr>
          <w:p w14:paraId="294BFF67"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0,359</w:t>
            </w:r>
          </w:p>
        </w:tc>
        <w:tc>
          <w:tcPr>
            <w:tcW w:w="471" w:type="dxa"/>
            <w:gridSpan w:val="2"/>
            <w:tcBorders>
              <w:top w:val="nil"/>
              <w:left w:val="nil"/>
              <w:bottom w:val="nil"/>
              <w:right w:val="nil"/>
            </w:tcBorders>
            <w:shd w:val="clear" w:color="000000" w:fill="F2F2F2"/>
            <w:noWrap/>
            <w:vAlign w:val="bottom"/>
            <w:hideMark/>
          </w:tcPr>
          <w:p w14:paraId="6391EC68"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70273163"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7,139</w:t>
            </w:r>
          </w:p>
        </w:tc>
        <w:tc>
          <w:tcPr>
            <w:tcW w:w="641" w:type="dxa"/>
            <w:gridSpan w:val="2"/>
            <w:tcBorders>
              <w:top w:val="nil"/>
              <w:left w:val="nil"/>
              <w:bottom w:val="nil"/>
              <w:right w:val="nil"/>
            </w:tcBorders>
            <w:shd w:val="clear" w:color="000000" w:fill="F2F2F2"/>
            <w:noWrap/>
            <w:vAlign w:val="bottom"/>
            <w:hideMark/>
          </w:tcPr>
          <w:p w14:paraId="2A9E9A7A"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0,359</w:t>
            </w:r>
          </w:p>
        </w:tc>
        <w:tc>
          <w:tcPr>
            <w:tcW w:w="471" w:type="dxa"/>
            <w:gridSpan w:val="2"/>
            <w:tcBorders>
              <w:top w:val="nil"/>
              <w:left w:val="nil"/>
              <w:bottom w:val="nil"/>
              <w:right w:val="nil"/>
            </w:tcBorders>
            <w:shd w:val="clear" w:color="000000" w:fill="F2F2F2"/>
            <w:noWrap/>
            <w:vAlign w:val="bottom"/>
            <w:hideMark/>
          </w:tcPr>
          <w:p w14:paraId="2199095F"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r>
      <w:tr w:rsidR="006C1148" w:rsidRPr="00673252" w14:paraId="6A6D0602" w14:textId="77777777" w:rsidTr="006C1148">
        <w:trPr>
          <w:trHeight w:val="254"/>
        </w:trPr>
        <w:tc>
          <w:tcPr>
            <w:tcW w:w="641" w:type="dxa"/>
            <w:tcBorders>
              <w:top w:val="nil"/>
              <w:left w:val="single" w:sz="4" w:space="0" w:color="auto"/>
              <w:bottom w:val="nil"/>
              <w:right w:val="nil"/>
            </w:tcBorders>
            <w:shd w:val="clear" w:color="000000" w:fill="F2F2F2"/>
            <w:noWrap/>
            <w:vAlign w:val="bottom"/>
            <w:hideMark/>
          </w:tcPr>
          <w:p w14:paraId="0AE315D0"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1,528</w:t>
            </w:r>
          </w:p>
        </w:tc>
        <w:tc>
          <w:tcPr>
            <w:tcW w:w="641" w:type="dxa"/>
            <w:gridSpan w:val="2"/>
            <w:tcBorders>
              <w:top w:val="nil"/>
              <w:left w:val="nil"/>
              <w:bottom w:val="nil"/>
              <w:right w:val="nil"/>
            </w:tcBorders>
            <w:shd w:val="clear" w:color="000000" w:fill="F2F2F2"/>
            <w:noWrap/>
            <w:vAlign w:val="bottom"/>
            <w:hideMark/>
          </w:tcPr>
          <w:p w14:paraId="44C88B34"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0,106</w:t>
            </w:r>
          </w:p>
        </w:tc>
        <w:tc>
          <w:tcPr>
            <w:tcW w:w="471" w:type="dxa"/>
            <w:gridSpan w:val="2"/>
            <w:tcBorders>
              <w:top w:val="nil"/>
              <w:left w:val="nil"/>
              <w:bottom w:val="nil"/>
              <w:right w:val="nil"/>
            </w:tcBorders>
            <w:shd w:val="clear" w:color="000000" w:fill="F2F2F2"/>
            <w:noWrap/>
            <w:vAlign w:val="bottom"/>
            <w:hideMark/>
          </w:tcPr>
          <w:p w14:paraId="5C911E09"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463A186F"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1,319</w:t>
            </w:r>
          </w:p>
        </w:tc>
        <w:tc>
          <w:tcPr>
            <w:tcW w:w="641" w:type="dxa"/>
            <w:gridSpan w:val="2"/>
            <w:tcBorders>
              <w:top w:val="nil"/>
              <w:left w:val="nil"/>
              <w:bottom w:val="nil"/>
              <w:right w:val="nil"/>
            </w:tcBorders>
            <w:shd w:val="clear" w:color="000000" w:fill="F2F2F2"/>
            <w:noWrap/>
            <w:vAlign w:val="bottom"/>
            <w:hideMark/>
          </w:tcPr>
          <w:p w14:paraId="3DC83A02"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0,106</w:t>
            </w:r>
          </w:p>
        </w:tc>
        <w:tc>
          <w:tcPr>
            <w:tcW w:w="471" w:type="dxa"/>
            <w:gridSpan w:val="2"/>
            <w:tcBorders>
              <w:top w:val="nil"/>
              <w:left w:val="nil"/>
              <w:bottom w:val="nil"/>
              <w:right w:val="nil"/>
            </w:tcBorders>
            <w:shd w:val="clear" w:color="000000" w:fill="F2F2F2"/>
            <w:noWrap/>
            <w:vAlign w:val="bottom"/>
            <w:hideMark/>
          </w:tcPr>
          <w:p w14:paraId="456636D8"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7D52C752"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1,833</w:t>
            </w:r>
          </w:p>
        </w:tc>
        <w:tc>
          <w:tcPr>
            <w:tcW w:w="641" w:type="dxa"/>
            <w:gridSpan w:val="2"/>
            <w:tcBorders>
              <w:top w:val="nil"/>
              <w:left w:val="nil"/>
              <w:bottom w:val="nil"/>
              <w:right w:val="nil"/>
            </w:tcBorders>
            <w:shd w:val="clear" w:color="000000" w:fill="F2F2F2"/>
            <w:noWrap/>
            <w:vAlign w:val="bottom"/>
            <w:hideMark/>
          </w:tcPr>
          <w:p w14:paraId="6BB5803C"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0,106</w:t>
            </w:r>
          </w:p>
        </w:tc>
        <w:tc>
          <w:tcPr>
            <w:tcW w:w="471" w:type="dxa"/>
            <w:gridSpan w:val="2"/>
            <w:tcBorders>
              <w:top w:val="nil"/>
              <w:left w:val="nil"/>
              <w:bottom w:val="nil"/>
              <w:right w:val="nil"/>
            </w:tcBorders>
            <w:shd w:val="clear" w:color="000000" w:fill="F2F2F2"/>
            <w:noWrap/>
            <w:vAlign w:val="bottom"/>
            <w:hideMark/>
          </w:tcPr>
          <w:p w14:paraId="2D0569EB"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c>
          <w:tcPr>
            <w:tcW w:w="752" w:type="dxa"/>
            <w:tcBorders>
              <w:top w:val="nil"/>
              <w:left w:val="nil"/>
              <w:bottom w:val="nil"/>
              <w:right w:val="nil"/>
            </w:tcBorders>
            <w:shd w:val="clear" w:color="000000" w:fill="F2F2F2"/>
            <w:noWrap/>
            <w:vAlign w:val="bottom"/>
            <w:hideMark/>
          </w:tcPr>
          <w:p w14:paraId="43BD3A68"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1,264</w:t>
            </w:r>
          </w:p>
        </w:tc>
        <w:tc>
          <w:tcPr>
            <w:tcW w:w="641" w:type="dxa"/>
            <w:gridSpan w:val="2"/>
            <w:tcBorders>
              <w:top w:val="nil"/>
              <w:left w:val="nil"/>
              <w:bottom w:val="nil"/>
              <w:right w:val="nil"/>
            </w:tcBorders>
            <w:shd w:val="clear" w:color="000000" w:fill="F2F2F2"/>
            <w:noWrap/>
            <w:vAlign w:val="bottom"/>
            <w:hideMark/>
          </w:tcPr>
          <w:p w14:paraId="4D76800C"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0,106</w:t>
            </w:r>
          </w:p>
        </w:tc>
        <w:tc>
          <w:tcPr>
            <w:tcW w:w="471" w:type="dxa"/>
            <w:gridSpan w:val="2"/>
            <w:tcBorders>
              <w:top w:val="nil"/>
              <w:left w:val="nil"/>
              <w:bottom w:val="nil"/>
              <w:right w:val="nil"/>
            </w:tcBorders>
            <w:shd w:val="clear" w:color="000000" w:fill="F2F2F2"/>
            <w:noWrap/>
            <w:vAlign w:val="bottom"/>
            <w:hideMark/>
          </w:tcPr>
          <w:p w14:paraId="561B2526" w14:textId="77777777" w:rsidR="006C1148" w:rsidRPr="00673252" w:rsidRDefault="006C1148" w:rsidP="006C1148">
            <w:pPr>
              <w:spacing w:after="0" w:line="240" w:lineRule="auto"/>
              <w:jc w:val="right"/>
              <w:rPr>
                <w:rFonts w:ascii="Arial" w:eastAsia="Times New Roman" w:hAnsi="Arial" w:cs="Arial"/>
                <w:sz w:val="20"/>
                <w:szCs w:val="20"/>
                <w:lang w:eastAsia="es-ES"/>
              </w:rPr>
            </w:pPr>
            <w:r w:rsidRPr="00673252">
              <w:rPr>
                <w:rFonts w:ascii="Arial" w:eastAsia="Times New Roman" w:hAnsi="Arial" w:cs="Arial"/>
                <w:sz w:val="20"/>
                <w:szCs w:val="20"/>
                <w:lang w:eastAsia="es-ES"/>
              </w:rPr>
              <w:t>12</w:t>
            </w:r>
          </w:p>
        </w:tc>
      </w:tr>
    </w:tbl>
    <w:p w14:paraId="59F39F0C" w14:textId="77777777" w:rsidR="005C15FC" w:rsidRDefault="005C15FC" w:rsidP="00451907">
      <w:pPr>
        <w:spacing w:line="360" w:lineRule="auto"/>
        <w:ind w:firstLine="708"/>
        <w:jc w:val="both"/>
        <w:rPr>
          <w:rFonts w:ascii="Arial" w:eastAsia="Arial Unicode MS" w:hAnsi="Arial" w:cs="Arial"/>
          <w:sz w:val="24"/>
          <w:szCs w:val="24"/>
          <w:lang w:val="en-GB"/>
        </w:rPr>
      </w:pPr>
    </w:p>
    <w:p w14:paraId="624BE531" w14:textId="77777777" w:rsidR="00673252" w:rsidRPr="00451907" w:rsidRDefault="00673252" w:rsidP="00451907">
      <w:pPr>
        <w:spacing w:line="360" w:lineRule="auto"/>
        <w:ind w:firstLine="708"/>
        <w:jc w:val="both"/>
        <w:rPr>
          <w:rFonts w:ascii="Arial" w:hAnsi="Arial" w:cs="Arial"/>
          <w:sz w:val="24"/>
          <w:szCs w:val="24"/>
          <w:lang w:val="en-US"/>
        </w:rPr>
      </w:pPr>
    </w:p>
    <w:p w14:paraId="3446F912" w14:textId="3F1FF572" w:rsidR="009F113D" w:rsidRDefault="009F113D" w:rsidP="00510884">
      <w:pPr>
        <w:spacing w:before="240" w:line="360" w:lineRule="auto"/>
        <w:jc w:val="both"/>
        <w:rPr>
          <w:rFonts w:ascii="Arial" w:hAnsi="Arial" w:cs="Arial"/>
          <w:sz w:val="24"/>
          <w:szCs w:val="24"/>
          <w:lang w:val="en-US"/>
        </w:rPr>
      </w:pPr>
      <w:r w:rsidRPr="009F113D">
        <w:rPr>
          <w:rFonts w:ascii="Arial" w:hAnsi="Arial" w:cs="Arial"/>
          <w:b/>
          <w:bCs/>
          <w:sz w:val="24"/>
          <w:szCs w:val="24"/>
          <w:lang w:val="en-US"/>
        </w:rPr>
        <w:t>Table S1</w:t>
      </w:r>
      <w:r>
        <w:rPr>
          <w:rFonts w:ascii="Arial" w:hAnsi="Arial" w:cs="Arial"/>
          <w:b/>
          <w:bCs/>
          <w:sz w:val="24"/>
          <w:szCs w:val="24"/>
          <w:lang w:val="en-US"/>
        </w:rPr>
        <w:t>.</w:t>
      </w:r>
      <w:r>
        <w:rPr>
          <w:rFonts w:ascii="Arial" w:hAnsi="Arial" w:cs="Arial"/>
          <w:sz w:val="24"/>
          <w:szCs w:val="24"/>
          <w:lang w:val="en-US"/>
        </w:rPr>
        <w:t xml:space="preserve"> </w:t>
      </w:r>
      <w:r w:rsidRPr="009F113D">
        <w:rPr>
          <w:rFonts w:ascii="Arial" w:hAnsi="Arial" w:cs="Arial"/>
          <w:b/>
          <w:bCs/>
          <w:sz w:val="24"/>
          <w:szCs w:val="24"/>
          <w:lang w:val="en-US"/>
        </w:rPr>
        <w:t>Attention-related measures averaged over the 6 baseline sessions in the 2-CSRTT</w:t>
      </w:r>
    </w:p>
    <w:p w14:paraId="0365BCCF" w14:textId="2A7DAFEE" w:rsidR="00BF4AAE" w:rsidRPr="00973880" w:rsidRDefault="001561F4" w:rsidP="00973880">
      <w:pPr>
        <w:spacing w:before="240" w:line="360" w:lineRule="auto"/>
        <w:ind w:firstLine="708"/>
        <w:jc w:val="both"/>
        <w:rPr>
          <w:rFonts w:ascii="Arial" w:hAnsi="Arial" w:cs="Arial"/>
          <w:sz w:val="24"/>
          <w:szCs w:val="24"/>
          <w:lang w:val="en-US"/>
        </w:rPr>
      </w:pPr>
      <w:r w:rsidRPr="00973880">
        <w:rPr>
          <w:rFonts w:ascii="Arial" w:hAnsi="Arial" w:cs="Arial"/>
          <w:sz w:val="24"/>
          <w:szCs w:val="24"/>
          <w:lang w:val="en-US"/>
        </w:rPr>
        <w:t>T</w:t>
      </w:r>
      <w:r w:rsidR="00C62336" w:rsidRPr="00973880">
        <w:rPr>
          <w:rFonts w:ascii="Arial" w:hAnsi="Arial" w:cs="Arial"/>
          <w:sz w:val="24"/>
          <w:szCs w:val="24"/>
          <w:lang w:val="en-US"/>
        </w:rPr>
        <w:t xml:space="preserve">he </w:t>
      </w:r>
      <w:r w:rsidRPr="00973880">
        <w:rPr>
          <w:rFonts w:ascii="Arial" w:hAnsi="Arial" w:cs="Arial"/>
          <w:sz w:val="24"/>
          <w:szCs w:val="24"/>
          <w:lang w:val="en-US"/>
        </w:rPr>
        <w:t xml:space="preserve">results obtained in the analysis of the %PreR </w:t>
      </w:r>
      <w:r w:rsidR="00686A58">
        <w:rPr>
          <w:rFonts w:ascii="Arial" w:hAnsi="Arial" w:cs="Arial"/>
          <w:sz w:val="24"/>
          <w:szCs w:val="24"/>
          <w:lang w:val="en-US"/>
        </w:rPr>
        <w:t xml:space="preserve">showed a </w:t>
      </w:r>
      <w:r w:rsidRPr="00973880">
        <w:rPr>
          <w:rFonts w:ascii="Arial" w:hAnsi="Arial" w:cs="Arial"/>
          <w:sz w:val="24"/>
          <w:szCs w:val="24"/>
          <w:lang w:val="en-US"/>
        </w:rPr>
        <w:t xml:space="preserve">Sessions x Sex x </w:t>
      </w:r>
      <w:r w:rsidR="00E16CCE">
        <w:rPr>
          <w:rFonts w:ascii="Arial" w:hAnsi="Arial" w:cs="Arial"/>
          <w:sz w:val="24"/>
          <w:szCs w:val="24"/>
          <w:lang w:val="en-US"/>
        </w:rPr>
        <w:t>ACE</w:t>
      </w:r>
      <w:r w:rsidR="00E16CCE" w:rsidRPr="00973880">
        <w:rPr>
          <w:rFonts w:ascii="Arial" w:hAnsi="Arial" w:cs="Arial"/>
          <w:sz w:val="24"/>
          <w:szCs w:val="24"/>
          <w:lang w:val="en-US"/>
        </w:rPr>
        <w:t xml:space="preserve"> </w:t>
      </w:r>
      <w:r w:rsidR="00686A58">
        <w:rPr>
          <w:rFonts w:ascii="Arial" w:hAnsi="Arial" w:cs="Arial"/>
          <w:sz w:val="24"/>
          <w:szCs w:val="24"/>
          <w:lang w:val="en-US"/>
        </w:rPr>
        <w:t>interaction</w:t>
      </w:r>
      <w:r w:rsidRPr="00973880">
        <w:rPr>
          <w:rFonts w:ascii="Arial" w:hAnsi="Arial" w:cs="Arial"/>
          <w:sz w:val="24"/>
          <w:szCs w:val="24"/>
          <w:lang w:val="en-US"/>
        </w:rPr>
        <w:t xml:space="preserve"> on the Long-ITI testing sessions, due to the higher %PreR of Males-VEH compared to Males-THC </w:t>
      </w:r>
      <w:r w:rsidR="00C62336" w:rsidRPr="00973880">
        <w:rPr>
          <w:rFonts w:ascii="Arial" w:hAnsi="Arial" w:cs="Arial"/>
          <w:sz w:val="24"/>
          <w:szCs w:val="24"/>
          <w:lang w:val="en-US"/>
        </w:rPr>
        <w:t>(F</w:t>
      </w:r>
      <w:r w:rsidR="00C62336" w:rsidRPr="00973880">
        <w:rPr>
          <w:rFonts w:ascii="Arial" w:hAnsi="Arial" w:cs="Arial"/>
          <w:sz w:val="24"/>
          <w:szCs w:val="24"/>
          <w:vertAlign w:val="subscript"/>
          <w:lang w:val="en-US"/>
        </w:rPr>
        <w:t>2,44</w:t>
      </w:r>
      <w:r w:rsidR="00C62336" w:rsidRPr="00973880">
        <w:rPr>
          <w:rFonts w:ascii="Arial" w:hAnsi="Arial" w:cs="Arial"/>
          <w:sz w:val="24"/>
          <w:szCs w:val="24"/>
          <w:lang w:val="en-US"/>
        </w:rPr>
        <w:t>=6.738; p=0.003; η</w:t>
      </w:r>
      <w:r w:rsidR="00C62336" w:rsidRPr="00973880">
        <w:rPr>
          <w:rFonts w:ascii="Arial" w:hAnsi="Arial" w:cs="Arial"/>
          <w:sz w:val="24"/>
          <w:szCs w:val="24"/>
          <w:vertAlign w:val="subscript"/>
          <w:lang w:val="en-US"/>
        </w:rPr>
        <w:t>p</w:t>
      </w:r>
      <w:r w:rsidR="00C62336" w:rsidRPr="00973880">
        <w:rPr>
          <w:rFonts w:ascii="Arial" w:hAnsi="Arial" w:cs="Arial"/>
          <w:sz w:val="24"/>
          <w:szCs w:val="24"/>
          <w:vertAlign w:val="superscript"/>
          <w:lang w:val="en-US"/>
        </w:rPr>
        <w:t>2</w:t>
      </w:r>
      <w:r w:rsidR="00C62336" w:rsidRPr="00973880">
        <w:rPr>
          <w:rFonts w:ascii="Arial" w:hAnsi="Arial" w:cs="Arial"/>
          <w:sz w:val="24"/>
          <w:szCs w:val="24"/>
          <w:lang w:val="en-US"/>
        </w:rPr>
        <w:t>=0.23)</w:t>
      </w:r>
      <w:r w:rsidRPr="00973880">
        <w:rPr>
          <w:rFonts w:ascii="Arial" w:hAnsi="Arial" w:cs="Arial"/>
          <w:sz w:val="24"/>
          <w:szCs w:val="24"/>
          <w:lang w:val="en-US"/>
        </w:rPr>
        <w:t>, and Females-</w:t>
      </w:r>
      <w:r w:rsidR="00C62336" w:rsidRPr="00973880">
        <w:rPr>
          <w:rFonts w:ascii="Arial" w:hAnsi="Arial" w:cs="Arial"/>
          <w:sz w:val="24"/>
          <w:szCs w:val="24"/>
          <w:lang w:val="en-US"/>
        </w:rPr>
        <w:t>VEH (F</w:t>
      </w:r>
      <w:r w:rsidR="00C62336" w:rsidRPr="00973880">
        <w:rPr>
          <w:rFonts w:ascii="Arial" w:hAnsi="Arial" w:cs="Arial"/>
          <w:sz w:val="24"/>
          <w:szCs w:val="24"/>
          <w:vertAlign w:val="subscript"/>
          <w:lang w:val="en-US"/>
        </w:rPr>
        <w:t>2,44</w:t>
      </w:r>
      <w:r w:rsidR="00C62336" w:rsidRPr="00973880">
        <w:rPr>
          <w:rFonts w:ascii="Arial" w:hAnsi="Arial" w:cs="Arial"/>
          <w:sz w:val="24"/>
          <w:szCs w:val="24"/>
          <w:lang w:val="en-US"/>
        </w:rPr>
        <w:t>=7.042; p=0.002; η</w:t>
      </w:r>
      <w:r w:rsidR="00C62336" w:rsidRPr="00973880">
        <w:rPr>
          <w:rFonts w:ascii="Arial" w:hAnsi="Arial" w:cs="Arial"/>
          <w:sz w:val="24"/>
          <w:szCs w:val="24"/>
          <w:vertAlign w:val="subscript"/>
          <w:lang w:val="en-US"/>
        </w:rPr>
        <w:t>p</w:t>
      </w:r>
      <w:r w:rsidR="00C62336" w:rsidRPr="00973880">
        <w:rPr>
          <w:rFonts w:ascii="Arial" w:hAnsi="Arial" w:cs="Arial"/>
          <w:sz w:val="24"/>
          <w:szCs w:val="24"/>
          <w:vertAlign w:val="superscript"/>
          <w:lang w:val="en-US"/>
        </w:rPr>
        <w:t>2</w:t>
      </w:r>
      <w:r w:rsidR="00C62336" w:rsidRPr="00973880">
        <w:rPr>
          <w:rFonts w:ascii="Arial" w:hAnsi="Arial" w:cs="Arial"/>
          <w:sz w:val="24"/>
          <w:szCs w:val="24"/>
          <w:lang w:val="en-US"/>
        </w:rPr>
        <w:t>=0.24)</w:t>
      </w:r>
      <w:r w:rsidRPr="00973880">
        <w:rPr>
          <w:rFonts w:ascii="Arial" w:hAnsi="Arial" w:cs="Arial"/>
          <w:sz w:val="24"/>
          <w:szCs w:val="24"/>
          <w:lang w:val="en-US"/>
        </w:rPr>
        <w:t xml:space="preserve">. The individual analysis of the first session </w:t>
      </w:r>
      <w:r w:rsidR="002151D4">
        <w:rPr>
          <w:rFonts w:ascii="Arial" w:hAnsi="Arial" w:cs="Arial"/>
          <w:sz w:val="24"/>
          <w:szCs w:val="24"/>
          <w:lang w:val="en-US"/>
        </w:rPr>
        <w:t>a Treatment effect in the males</w:t>
      </w:r>
      <w:r w:rsidR="00C62336" w:rsidRPr="00973880">
        <w:rPr>
          <w:rFonts w:ascii="Arial" w:hAnsi="Arial" w:cs="Arial"/>
          <w:sz w:val="24"/>
          <w:szCs w:val="24"/>
          <w:lang w:val="en-US"/>
        </w:rPr>
        <w:t xml:space="preserve"> (F</w:t>
      </w:r>
      <w:r w:rsidR="00C62336" w:rsidRPr="00973880">
        <w:rPr>
          <w:rFonts w:ascii="Arial" w:hAnsi="Arial" w:cs="Arial"/>
          <w:sz w:val="24"/>
          <w:szCs w:val="24"/>
          <w:vertAlign w:val="subscript"/>
          <w:lang w:val="en-US"/>
        </w:rPr>
        <w:t>1,44</w:t>
      </w:r>
      <w:r w:rsidR="00C62336" w:rsidRPr="00973880">
        <w:rPr>
          <w:rFonts w:ascii="Arial" w:hAnsi="Arial" w:cs="Arial"/>
          <w:sz w:val="24"/>
          <w:szCs w:val="24"/>
          <w:lang w:val="en-US"/>
        </w:rPr>
        <w:t>=7.790; p=0.008; η</w:t>
      </w:r>
      <w:r w:rsidR="00C62336" w:rsidRPr="00973880">
        <w:rPr>
          <w:rFonts w:ascii="Arial" w:hAnsi="Arial" w:cs="Arial"/>
          <w:sz w:val="24"/>
          <w:szCs w:val="24"/>
          <w:vertAlign w:val="subscript"/>
          <w:lang w:val="en-US"/>
        </w:rPr>
        <w:t>p</w:t>
      </w:r>
      <w:r w:rsidR="00C62336" w:rsidRPr="00973880">
        <w:rPr>
          <w:rFonts w:ascii="Arial" w:hAnsi="Arial" w:cs="Arial"/>
          <w:sz w:val="24"/>
          <w:szCs w:val="24"/>
          <w:vertAlign w:val="superscript"/>
          <w:lang w:val="en-US"/>
        </w:rPr>
        <w:t>2</w:t>
      </w:r>
      <w:r w:rsidR="00C62336" w:rsidRPr="00973880">
        <w:rPr>
          <w:rFonts w:ascii="Arial" w:hAnsi="Arial" w:cs="Arial"/>
          <w:sz w:val="24"/>
          <w:szCs w:val="24"/>
          <w:lang w:val="en-US"/>
        </w:rPr>
        <w:t>=0. 0.15)</w:t>
      </w:r>
      <w:r w:rsidR="00C62336" w:rsidRPr="00973880">
        <w:rPr>
          <w:lang w:val="en-US"/>
        </w:rPr>
        <w:t xml:space="preserve"> </w:t>
      </w:r>
      <w:r w:rsidRPr="00973880">
        <w:rPr>
          <w:rFonts w:ascii="Arial" w:hAnsi="Arial" w:cs="Arial"/>
          <w:sz w:val="24"/>
          <w:szCs w:val="24"/>
          <w:lang w:val="en-US"/>
        </w:rPr>
        <w:t xml:space="preserve">and </w:t>
      </w:r>
      <w:r w:rsidR="002151D4">
        <w:rPr>
          <w:rFonts w:ascii="Arial" w:hAnsi="Arial" w:cs="Arial"/>
          <w:sz w:val="24"/>
          <w:szCs w:val="24"/>
          <w:lang w:val="en-US"/>
        </w:rPr>
        <w:t xml:space="preserve">a Sex effect </w:t>
      </w:r>
      <w:r w:rsidR="006F3D16">
        <w:rPr>
          <w:rFonts w:ascii="Arial" w:hAnsi="Arial" w:cs="Arial"/>
          <w:sz w:val="24"/>
          <w:szCs w:val="24"/>
          <w:lang w:val="en-US"/>
        </w:rPr>
        <w:t xml:space="preserve">in </w:t>
      </w:r>
      <w:r w:rsidR="006F3D16" w:rsidRPr="00973880">
        <w:rPr>
          <w:rFonts w:ascii="Arial" w:hAnsi="Arial" w:cs="Arial"/>
          <w:sz w:val="24"/>
          <w:szCs w:val="24"/>
          <w:lang w:val="en-US"/>
        </w:rPr>
        <w:t>VEH</w:t>
      </w:r>
      <w:r w:rsidRPr="00973880">
        <w:rPr>
          <w:rFonts w:ascii="Arial" w:hAnsi="Arial" w:cs="Arial"/>
          <w:sz w:val="24"/>
          <w:szCs w:val="24"/>
          <w:lang w:val="en-US"/>
        </w:rPr>
        <w:t>-treated animals</w:t>
      </w:r>
      <w:r w:rsidR="00C62336" w:rsidRPr="00973880">
        <w:rPr>
          <w:rFonts w:ascii="Arial" w:hAnsi="Arial" w:cs="Arial"/>
          <w:sz w:val="24"/>
          <w:szCs w:val="24"/>
          <w:lang w:val="en-US"/>
        </w:rPr>
        <w:t xml:space="preserve"> (F</w:t>
      </w:r>
      <w:r w:rsidR="00C62336" w:rsidRPr="00973880">
        <w:rPr>
          <w:rFonts w:ascii="Arial" w:hAnsi="Arial" w:cs="Arial"/>
          <w:sz w:val="24"/>
          <w:szCs w:val="24"/>
          <w:vertAlign w:val="subscript"/>
          <w:lang w:val="en-US"/>
        </w:rPr>
        <w:t>1,44</w:t>
      </w:r>
      <w:r w:rsidR="00C62336" w:rsidRPr="00973880">
        <w:rPr>
          <w:rFonts w:ascii="Arial" w:hAnsi="Arial" w:cs="Arial"/>
          <w:sz w:val="24"/>
          <w:szCs w:val="24"/>
          <w:lang w:val="en-US"/>
        </w:rPr>
        <w:t>=5.804; p=0.020; η</w:t>
      </w:r>
      <w:r w:rsidR="00C62336" w:rsidRPr="00973880">
        <w:rPr>
          <w:rFonts w:ascii="Arial" w:hAnsi="Arial" w:cs="Arial"/>
          <w:sz w:val="24"/>
          <w:szCs w:val="24"/>
          <w:vertAlign w:val="subscript"/>
          <w:lang w:val="en-US"/>
        </w:rPr>
        <w:t>p</w:t>
      </w:r>
      <w:r w:rsidR="00C62336" w:rsidRPr="00973880">
        <w:rPr>
          <w:rFonts w:ascii="Arial" w:hAnsi="Arial" w:cs="Arial"/>
          <w:sz w:val="24"/>
          <w:szCs w:val="24"/>
          <w:vertAlign w:val="superscript"/>
          <w:lang w:val="en-US"/>
        </w:rPr>
        <w:t>2</w:t>
      </w:r>
      <w:r w:rsidR="00C62336" w:rsidRPr="00973880">
        <w:rPr>
          <w:rFonts w:ascii="Arial" w:hAnsi="Arial" w:cs="Arial"/>
          <w:sz w:val="24"/>
          <w:szCs w:val="24"/>
          <w:lang w:val="en-US"/>
        </w:rPr>
        <w:t>=0.12)</w:t>
      </w:r>
      <w:r w:rsidRPr="00973880">
        <w:rPr>
          <w:rFonts w:ascii="Arial" w:hAnsi="Arial" w:cs="Arial"/>
          <w:sz w:val="24"/>
          <w:szCs w:val="24"/>
          <w:lang w:val="en-US"/>
        </w:rPr>
        <w:t>. There were no significant effects in the second and third Long-ITI Sessions</w:t>
      </w:r>
      <w:r w:rsidR="00276C7B">
        <w:rPr>
          <w:rFonts w:ascii="Arial" w:hAnsi="Arial" w:cs="Arial"/>
          <w:sz w:val="24"/>
          <w:szCs w:val="24"/>
          <w:lang w:val="en-US"/>
        </w:rPr>
        <w:t xml:space="preserve"> (Figure S4 B)</w:t>
      </w:r>
      <w:r w:rsidRPr="00973880">
        <w:rPr>
          <w:rFonts w:ascii="Arial" w:hAnsi="Arial" w:cs="Arial"/>
          <w:sz w:val="24"/>
          <w:szCs w:val="24"/>
          <w:lang w:val="en-US"/>
        </w:rPr>
        <w:t>.</w:t>
      </w:r>
      <w:r w:rsidR="000C6B40">
        <w:rPr>
          <w:rFonts w:ascii="Arial" w:hAnsi="Arial" w:cs="Arial"/>
          <w:sz w:val="24"/>
          <w:szCs w:val="24"/>
          <w:lang w:val="en-US"/>
        </w:rPr>
        <w:t xml:space="preserve"> </w:t>
      </w:r>
      <w:r w:rsidR="00B95751">
        <w:rPr>
          <w:rFonts w:ascii="Arial" w:hAnsi="Arial" w:cs="Arial"/>
          <w:sz w:val="24"/>
          <w:szCs w:val="24"/>
          <w:lang w:val="en-US"/>
        </w:rPr>
        <w:t>In spite of these findings</w:t>
      </w:r>
      <w:r w:rsidR="000C6B40">
        <w:rPr>
          <w:rFonts w:ascii="Arial" w:hAnsi="Arial" w:cs="Arial"/>
          <w:sz w:val="24"/>
          <w:szCs w:val="24"/>
          <w:lang w:val="en-US"/>
        </w:rPr>
        <w:t xml:space="preserve">, </w:t>
      </w:r>
      <w:r w:rsidR="00B95751">
        <w:rPr>
          <w:rFonts w:ascii="Arial" w:hAnsi="Arial" w:cs="Arial"/>
          <w:sz w:val="24"/>
          <w:szCs w:val="24"/>
          <w:lang w:val="en-US"/>
        </w:rPr>
        <w:t xml:space="preserve">upon a close inspection, </w:t>
      </w:r>
      <w:r w:rsidR="00017FA1">
        <w:rPr>
          <w:rFonts w:ascii="Arial" w:hAnsi="Arial" w:cs="Arial"/>
          <w:sz w:val="24"/>
          <w:szCs w:val="24"/>
          <w:lang w:val="en-US"/>
        </w:rPr>
        <w:t>there w</w:t>
      </w:r>
      <w:r w:rsidR="00225F4F">
        <w:rPr>
          <w:rFonts w:ascii="Arial" w:hAnsi="Arial" w:cs="Arial"/>
          <w:sz w:val="24"/>
          <w:szCs w:val="24"/>
          <w:lang w:val="en-US"/>
        </w:rPr>
        <w:t>as</w:t>
      </w:r>
      <w:r w:rsidR="00017FA1">
        <w:rPr>
          <w:rFonts w:ascii="Arial" w:hAnsi="Arial" w:cs="Arial"/>
          <w:sz w:val="24"/>
          <w:szCs w:val="24"/>
          <w:lang w:val="en-US"/>
        </w:rPr>
        <w:t xml:space="preserve"> some drift in performanc</w:t>
      </w:r>
      <w:r w:rsidR="00225F4F">
        <w:rPr>
          <w:rFonts w:ascii="Arial" w:hAnsi="Arial" w:cs="Arial"/>
          <w:sz w:val="24"/>
          <w:szCs w:val="24"/>
          <w:lang w:val="en-US"/>
        </w:rPr>
        <w:t>e</w:t>
      </w:r>
      <w:r w:rsidR="00017FA1">
        <w:rPr>
          <w:rFonts w:ascii="Arial" w:hAnsi="Arial" w:cs="Arial"/>
          <w:sz w:val="24"/>
          <w:szCs w:val="24"/>
          <w:lang w:val="en-US"/>
        </w:rPr>
        <w:t>, especially in the females an</w:t>
      </w:r>
      <w:r w:rsidR="00FC401D">
        <w:rPr>
          <w:rFonts w:ascii="Arial" w:hAnsi="Arial" w:cs="Arial"/>
          <w:sz w:val="24"/>
          <w:szCs w:val="24"/>
          <w:lang w:val="en-US"/>
        </w:rPr>
        <w:t>d a sudden increase in the</w:t>
      </w:r>
      <w:r w:rsidR="0025112E">
        <w:rPr>
          <w:rFonts w:ascii="Arial" w:hAnsi="Arial" w:cs="Arial"/>
          <w:sz w:val="24"/>
          <w:szCs w:val="24"/>
          <w:lang w:val="en-US"/>
        </w:rPr>
        <w:t xml:space="preserve"> last session in</w:t>
      </w:r>
      <w:r w:rsidR="00FC401D">
        <w:rPr>
          <w:rFonts w:ascii="Arial" w:hAnsi="Arial" w:cs="Arial"/>
          <w:sz w:val="24"/>
          <w:szCs w:val="24"/>
          <w:lang w:val="en-US"/>
        </w:rPr>
        <w:t xml:space="preserve"> VEH-exposed females and a decrease in the THC-treated female rats which again, </w:t>
      </w:r>
      <w:r w:rsidR="00225F4F">
        <w:rPr>
          <w:rFonts w:ascii="Arial" w:hAnsi="Arial" w:cs="Arial"/>
          <w:sz w:val="24"/>
          <w:szCs w:val="24"/>
          <w:lang w:val="en-US"/>
        </w:rPr>
        <w:t>led us to compute the percentage of increment against baseline performance.</w:t>
      </w:r>
    </w:p>
    <w:p w14:paraId="5B7C7FAC" w14:textId="26BE21CC" w:rsidR="00BF4AAE" w:rsidRPr="008A16EB" w:rsidRDefault="00BF4AAE" w:rsidP="00973880">
      <w:pPr>
        <w:spacing w:before="240" w:line="360" w:lineRule="auto"/>
        <w:jc w:val="both"/>
        <w:rPr>
          <w:rFonts w:ascii="Arial" w:eastAsia="Arial Unicode MS" w:hAnsi="Arial" w:cs="Arial"/>
          <w:b/>
          <w:sz w:val="24"/>
          <w:szCs w:val="24"/>
          <w:lang w:val="en-GB"/>
        </w:rPr>
      </w:pPr>
      <w:r w:rsidRPr="008A16EB">
        <w:rPr>
          <w:rFonts w:ascii="Arial" w:eastAsia="Arial Unicode MS" w:hAnsi="Arial" w:cs="Arial"/>
          <w:b/>
          <w:sz w:val="24"/>
          <w:szCs w:val="24"/>
          <w:lang w:val="en-GB"/>
        </w:rPr>
        <w:t>Cocaine self-administration.</w:t>
      </w:r>
    </w:p>
    <w:p w14:paraId="5AFEE2EA" w14:textId="4A6AC5BB" w:rsidR="00016E4D" w:rsidRDefault="004E4F1F" w:rsidP="008E7672">
      <w:pPr>
        <w:spacing w:line="360" w:lineRule="auto"/>
        <w:ind w:firstLine="708"/>
        <w:jc w:val="both"/>
        <w:rPr>
          <w:rFonts w:ascii="Arial" w:eastAsia="Arial Unicode MS" w:hAnsi="Arial" w:cs="Arial"/>
          <w:sz w:val="24"/>
          <w:szCs w:val="24"/>
          <w:lang w:val="en-GB"/>
        </w:rPr>
      </w:pPr>
      <w:r w:rsidRPr="00DC649E">
        <w:rPr>
          <w:rFonts w:ascii="Arial" w:hAnsi="Arial" w:cs="Arial"/>
          <w:sz w:val="24"/>
          <w:szCs w:val="24"/>
          <w:lang w:val="en-US"/>
        </w:rPr>
        <w:t>We found a reliable acquisition of CSA and lever discrimination (Session x Lever interaction: F</w:t>
      </w:r>
      <w:r w:rsidRPr="00DC649E">
        <w:rPr>
          <w:rFonts w:ascii="Arial" w:hAnsi="Arial" w:cs="Arial"/>
          <w:sz w:val="24"/>
          <w:szCs w:val="24"/>
          <w:vertAlign w:val="subscript"/>
          <w:lang w:val="en-US"/>
        </w:rPr>
        <w:t>4.08,175.39</w:t>
      </w:r>
      <w:r w:rsidRPr="00DC649E">
        <w:rPr>
          <w:rFonts w:ascii="Arial" w:hAnsi="Arial" w:cs="Arial"/>
          <w:sz w:val="24"/>
          <w:szCs w:val="24"/>
          <w:lang w:val="en-US"/>
        </w:rPr>
        <w:t>=7.259</w:t>
      </w:r>
      <w:r w:rsidRPr="00DC649E">
        <w:rPr>
          <w:rFonts w:ascii="Arial" w:eastAsia="Arial Unicode MS" w:hAnsi="Arial" w:cs="Arial"/>
          <w:sz w:val="24"/>
          <w:szCs w:val="24"/>
          <w:lang w:val="en-US"/>
        </w:rPr>
        <w:t>; p&gt;0.000</w:t>
      </w:r>
      <w:r w:rsidRPr="00DC649E">
        <w:rPr>
          <w:rFonts w:ascii="Arial" w:eastAsia="Arial Unicode MS" w:hAnsi="Arial" w:cs="Arial"/>
          <w:color w:val="000000" w:themeColor="text1"/>
          <w:sz w:val="24"/>
          <w:szCs w:val="24"/>
          <w:lang w:val="en-US"/>
        </w:rPr>
        <w:t xml:space="preserve">; </w:t>
      </w:r>
      <w:r w:rsidRPr="00DC649E">
        <w:rPr>
          <w:rFonts w:ascii="Arial" w:hAnsi="Arial" w:cs="Arial"/>
          <w:color w:val="000000" w:themeColor="text1"/>
          <w:sz w:val="24"/>
          <w:szCs w:val="24"/>
          <w:lang w:val="en-US"/>
        </w:rPr>
        <w:t>η</w:t>
      </w:r>
      <w:r w:rsidRPr="00DC649E">
        <w:rPr>
          <w:rFonts w:ascii="Arial" w:hAnsi="Arial" w:cs="Arial"/>
          <w:color w:val="000000" w:themeColor="text1"/>
          <w:sz w:val="24"/>
          <w:szCs w:val="24"/>
          <w:vertAlign w:val="subscript"/>
          <w:lang w:val="en-US"/>
        </w:rPr>
        <w:t>p</w:t>
      </w:r>
      <w:r w:rsidRPr="00DC649E">
        <w:rPr>
          <w:rFonts w:ascii="Arial" w:hAnsi="Arial" w:cs="Arial"/>
          <w:color w:val="000000" w:themeColor="text1"/>
          <w:sz w:val="24"/>
          <w:szCs w:val="24"/>
          <w:vertAlign w:val="superscript"/>
          <w:lang w:val="en-US"/>
        </w:rPr>
        <w:t>2</w:t>
      </w:r>
      <w:r w:rsidRPr="00DC649E">
        <w:rPr>
          <w:rFonts w:ascii="Arial" w:hAnsi="Arial" w:cs="Arial"/>
          <w:color w:val="000000" w:themeColor="text1"/>
          <w:sz w:val="24"/>
          <w:szCs w:val="24"/>
          <w:lang w:val="en-US"/>
        </w:rPr>
        <w:t xml:space="preserve">=0.14). </w:t>
      </w:r>
      <w:r w:rsidR="00CA0A3F" w:rsidRPr="00DC649E">
        <w:rPr>
          <w:rFonts w:ascii="Arial" w:hAnsi="Arial" w:cs="Arial"/>
          <w:sz w:val="24"/>
          <w:szCs w:val="24"/>
          <w:lang w:val="en-US"/>
        </w:rPr>
        <w:t xml:space="preserve">We did not </w:t>
      </w:r>
      <w:r w:rsidR="003C4622" w:rsidRPr="00DC649E">
        <w:rPr>
          <w:rFonts w:ascii="Arial" w:hAnsi="Arial" w:cs="Arial"/>
          <w:sz w:val="24"/>
          <w:szCs w:val="24"/>
          <w:lang w:val="en-US"/>
        </w:rPr>
        <w:t>observe ACE</w:t>
      </w:r>
      <w:r w:rsidR="00E16CCE" w:rsidRPr="00DC649E">
        <w:rPr>
          <w:rFonts w:ascii="Arial" w:hAnsi="Arial" w:cs="Arial"/>
          <w:sz w:val="24"/>
          <w:szCs w:val="24"/>
          <w:lang w:val="en-US"/>
        </w:rPr>
        <w:t xml:space="preserve"> </w:t>
      </w:r>
      <w:r w:rsidR="00CA0A3F" w:rsidRPr="00DC649E">
        <w:rPr>
          <w:rFonts w:ascii="Arial" w:hAnsi="Arial" w:cs="Arial"/>
          <w:sz w:val="24"/>
          <w:szCs w:val="24"/>
          <w:lang w:val="en-US"/>
        </w:rPr>
        <w:t>or Sex significant effects in the breaking point during the PR sessions (F</w:t>
      </w:r>
      <w:r w:rsidR="00CA0A3F" w:rsidRPr="00DC649E">
        <w:rPr>
          <w:rFonts w:ascii="Arial" w:hAnsi="Arial" w:cs="Arial"/>
          <w:sz w:val="24"/>
          <w:szCs w:val="24"/>
          <w:vertAlign w:val="subscript"/>
          <w:lang w:val="en-US"/>
        </w:rPr>
        <w:t>2.77,80.28</w:t>
      </w:r>
      <w:r w:rsidR="00CA0A3F" w:rsidRPr="00DC649E">
        <w:rPr>
          <w:rFonts w:ascii="Arial" w:hAnsi="Arial" w:cs="Arial"/>
          <w:sz w:val="24"/>
          <w:szCs w:val="24"/>
          <w:lang w:val="en-US"/>
        </w:rPr>
        <w:t>=4.763</w:t>
      </w:r>
      <w:r w:rsidR="00CA0A3F" w:rsidRPr="00DC649E">
        <w:rPr>
          <w:rFonts w:ascii="Arial" w:eastAsia="Arial Unicode MS" w:hAnsi="Arial" w:cs="Arial"/>
          <w:sz w:val="24"/>
          <w:szCs w:val="24"/>
          <w:lang w:val="en-US"/>
        </w:rPr>
        <w:t>; p</w:t>
      </w:r>
      <w:r w:rsidR="00CA0A3F" w:rsidRPr="00DC649E">
        <w:rPr>
          <w:rFonts w:ascii="Arial" w:hAnsi="Arial" w:cs="Arial"/>
          <w:sz w:val="24"/>
          <w:szCs w:val="24"/>
          <w:lang w:val="en-US"/>
        </w:rPr>
        <w:t>=0.005</w:t>
      </w:r>
      <w:r w:rsidR="00CA0A3F" w:rsidRPr="00DC649E">
        <w:rPr>
          <w:rFonts w:ascii="Arial" w:eastAsia="Arial Unicode MS" w:hAnsi="Arial" w:cs="Arial"/>
          <w:sz w:val="24"/>
          <w:szCs w:val="24"/>
          <w:lang w:val="en-US"/>
        </w:rPr>
        <w:t xml:space="preserve">; </w:t>
      </w:r>
      <w:r w:rsidR="00CA0A3F" w:rsidRPr="00DC649E">
        <w:rPr>
          <w:rFonts w:ascii="Arial" w:hAnsi="Arial" w:cs="Arial"/>
          <w:sz w:val="24"/>
          <w:szCs w:val="24"/>
          <w:lang w:val="en-US"/>
        </w:rPr>
        <w:t>η</w:t>
      </w:r>
      <w:r w:rsidR="00CA0A3F" w:rsidRPr="00DC649E">
        <w:rPr>
          <w:rFonts w:ascii="Arial" w:hAnsi="Arial" w:cs="Arial"/>
          <w:sz w:val="24"/>
          <w:szCs w:val="24"/>
          <w:vertAlign w:val="subscript"/>
          <w:lang w:val="en-US"/>
        </w:rPr>
        <w:t>p</w:t>
      </w:r>
      <w:r w:rsidR="00CA0A3F" w:rsidRPr="00DC649E">
        <w:rPr>
          <w:rFonts w:ascii="Arial" w:hAnsi="Arial" w:cs="Arial"/>
          <w:sz w:val="24"/>
          <w:szCs w:val="24"/>
          <w:vertAlign w:val="superscript"/>
          <w:lang w:val="en-US"/>
        </w:rPr>
        <w:t>2</w:t>
      </w:r>
      <w:r w:rsidR="00CA0A3F" w:rsidRPr="00DC649E">
        <w:rPr>
          <w:rFonts w:ascii="Arial" w:hAnsi="Arial" w:cs="Arial"/>
          <w:sz w:val="24"/>
          <w:szCs w:val="24"/>
          <w:lang w:val="en-US"/>
        </w:rPr>
        <w:t xml:space="preserve">=0.14), or in the first PR alone (although, the number infusions earned in this first session showed a Sex x </w:t>
      </w:r>
      <w:r w:rsidR="00E16CCE">
        <w:rPr>
          <w:rFonts w:ascii="Arial" w:hAnsi="Arial" w:cs="Arial"/>
          <w:sz w:val="24"/>
          <w:szCs w:val="24"/>
          <w:lang w:val="en-US"/>
        </w:rPr>
        <w:t>ACE</w:t>
      </w:r>
      <w:r w:rsidR="00E16CCE" w:rsidRPr="00DC649E">
        <w:rPr>
          <w:rFonts w:ascii="Arial" w:hAnsi="Arial" w:cs="Arial"/>
          <w:sz w:val="24"/>
          <w:szCs w:val="24"/>
          <w:lang w:val="en-US"/>
        </w:rPr>
        <w:t xml:space="preserve"> </w:t>
      </w:r>
      <w:r w:rsidR="00CA0A3F" w:rsidRPr="00DC649E">
        <w:rPr>
          <w:rFonts w:ascii="Arial" w:hAnsi="Arial" w:cs="Arial"/>
          <w:sz w:val="24"/>
          <w:szCs w:val="24"/>
          <w:lang w:val="en-US"/>
        </w:rPr>
        <w:t>interaction (F</w:t>
      </w:r>
      <w:r w:rsidR="00CA0A3F" w:rsidRPr="00DC649E">
        <w:rPr>
          <w:rFonts w:ascii="Arial" w:hAnsi="Arial" w:cs="Arial"/>
          <w:sz w:val="24"/>
          <w:szCs w:val="24"/>
          <w:vertAlign w:val="subscript"/>
          <w:lang w:val="en-US"/>
        </w:rPr>
        <w:t>1,28</w:t>
      </w:r>
      <w:r w:rsidR="00CA0A3F" w:rsidRPr="00DC649E">
        <w:rPr>
          <w:rFonts w:ascii="Arial" w:hAnsi="Arial" w:cs="Arial"/>
          <w:sz w:val="24"/>
          <w:szCs w:val="24"/>
          <w:lang w:val="en-US"/>
        </w:rPr>
        <w:t xml:space="preserve">=4.708; </w:t>
      </w:r>
      <w:r w:rsidR="00CA0A3F" w:rsidRPr="00DC649E">
        <w:rPr>
          <w:rFonts w:ascii="Arial" w:eastAsia="Arial Unicode MS" w:hAnsi="Arial" w:cs="Arial"/>
          <w:sz w:val="24"/>
          <w:szCs w:val="24"/>
          <w:lang w:val="en-US"/>
        </w:rPr>
        <w:t>p</w:t>
      </w:r>
      <w:r w:rsidR="00CA0A3F" w:rsidRPr="00DC649E">
        <w:rPr>
          <w:rFonts w:ascii="Arial" w:hAnsi="Arial" w:cs="Arial"/>
          <w:sz w:val="24"/>
          <w:szCs w:val="24"/>
          <w:lang w:val="en-US"/>
        </w:rPr>
        <w:t>=0.039; η</w:t>
      </w:r>
      <w:r w:rsidR="00CA0A3F" w:rsidRPr="00DC649E">
        <w:rPr>
          <w:rFonts w:ascii="Arial" w:hAnsi="Arial" w:cs="Arial"/>
          <w:sz w:val="24"/>
          <w:szCs w:val="24"/>
          <w:vertAlign w:val="subscript"/>
          <w:lang w:val="en-US"/>
        </w:rPr>
        <w:t>p</w:t>
      </w:r>
      <w:r w:rsidR="00CA0A3F" w:rsidRPr="00DC649E">
        <w:rPr>
          <w:rFonts w:ascii="Arial" w:hAnsi="Arial" w:cs="Arial"/>
          <w:sz w:val="24"/>
          <w:szCs w:val="24"/>
          <w:vertAlign w:val="superscript"/>
          <w:lang w:val="en-US"/>
        </w:rPr>
        <w:t>2</w:t>
      </w:r>
      <w:r w:rsidR="00CA0A3F" w:rsidRPr="00DC649E">
        <w:rPr>
          <w:rFonts w:ascii="Arial" w:hAnsi="Arial" w:cs="Arial"/>
          <w:sz w:val="24"/>
          <w:szCs w:val="24"/>
          <w:lang w:val="en-US"/>
        </w:rPr>
        <w:t>=0.144), whereby VEH-females earned more infusions than VEH-males (F</w:t>
      </w:r>
      <w:r w:rsidR="00CA0A3F" w:rsidRPr="00DC649E">
        <w:rPr>
          <w:rFonts w:ascii="Arial" w:hAnsi="Arial" w:cs="Arial"/>
          <w:sz w:val="24"/>
          <w:szCs w:val="24"/>
          <w:vertAlign w:val="subscript"/>
          <w:lang w:val="en-US"/>
        </w:rPr>
        <w:t>1, 28</w:t>
      </w:r>
      <w:r w:rsidR="00CA0A3F" w:rsidRPr="00DC649E">
        <w:rPr>
          <w:rFonts w:ascii="Arial" w:hAnsi="Arial" w:cs="Arial"/>
          <w:sz w:val="24"/>
          <w:szCs w:val="24"/>
          <w:lang w:val="en-US"/>
        </w:rPr>
        <w:t xml:space="preserve">=4.268; </w:t>
      </w:r>
      <w:r w:rsidR="00CA0A3F" w:rsidRPr="00DC649E">
        <w:rPr>
          <w:rFonts w:ascii="Arial" w:eastAsia="Arial Unicode MS" w:hAnsi="Arial" w:cs="Arial"/>
          <w:sz w:val="24"/>
          <w:szCs w:val="24"/>
          <w:lang w:val="en-US"/>
        </w:rPr>
        <w:t>p</w:t>
      </w:r>
      <w:r w:rsidR="00CA0A3F" w:rsidRPr="00DC649E">
        <w:rPr>
          <w:rFonts w:ascii="Arial" w:hAnsi="Arial" w:cs="Arial"/>
          <w:sz w:val="24"/>
          <w:szCs w:val="24"/>
          <w:lang w:val="en-US"/>
        </w:rPr>
        <w:t>=0.048; η</w:t>
      </w:r>
      <w:r w:rsidR="00CA0A3F" w:rsidRPr="00DC649E">
        <w:rPr>
          <w:rFonts w:ascii="Arial" w:hAnsi="Arial" w:cs="Arial"/>
          <w:sz w:val="24"/>
          <w:szCs w:val="24"/>
          <w:vertAlign w:val="subscript"/>
          <w:lang w:val="en-US"/>
        </w:rPr>
        <w:t>p</w:t>
      </w:r>
      <w:r w:rsidR="00CA0A3F" w:rsidRPr="00DC649E">
        <w:rPr>
          <w:rFonts w:ascii="Arial" w:hAnsi="Arial" w:cs="Arial"/>
          <w:sz w:val="24"/>
          <w:szCs w:val="24"/>
          <w:vertAlign w:val="superscript"/>
          <w:lang w:val="en-US"/>
        </w:rPr>
        <w:t>2</w:t>
      </w:r>
      <w:r w:rsidR="00CA0A3F" w:rsidRPr="00DC649E">
        <w:rPr>
          <w:rFonts w:ascii="Arial" w:hAnsi="Arial" w:cs="Arial"/>
          <w:sz w:val="24"/>
          <w:szCs w:val="24"/>
          <w:lang w:val="en-US"/>
        </w:rPr>
        <w:t xml:space="preserve">=0.132)). </w:t>
      </w:r>
      <w:r w:rsidR="005F4414" w:rsidRPr="00DC649E">
        <w:rPr>
          <w:rFonts w:ascii="Arial" w:hAnsi="Arial" w:cs="Arial"/>
          <w:sz w:val="24"/>
          <w:szCs w:val="24"/>
          <w:lang w:val="en-US"/>
        </w:rPr>
        <w:t xml:space="preserve">We then returned rats to continuous drug access (FR1) for three days. </w:t>
      </w:r>
      <w:r w:rsidR="00E502EF" w:rsidRPr="00DC649E">
        <w:rPr>
          <w:rFonts w:ascii="Arial" w:hAnsi="Arial" w:cs="Arial"/>
          <w:sz w:val="24"/>
          <w:szCs w:val="24"/>
          <w:lang w:val="en-US"/>
        </w:rPr>
        <w:t>The number of cocaine infusions progressively increased over these sessions (F</w:t>
      </w:r>
      <w:r w:rsidR="00E502EF" w:rsidRPr="00DC649E">
        <w:rPr>
          <w:rFonts w:ascii="Arial" w:hAnsi="Arial" w:cs="Arial"/>
          <w:sz w:val="24"/>
          <w:szCs w:val="24"/>
          <w:vertAlign w:val="subscript"/>
          <w:lang w:val="en-US"/>
        </w:rPr>
        <w:t>2,62</w:t>
      </w:r>
      <w:r w:rsidR="00E502EF" w:rsidRPr="00DC649E">
        <w:rPr>
          <w:rFonts w:ascii="Arial" w:hAnsi="Arial" w:cs="Arial"/>
          <w:sz w:val="24"/>
          <w:szCs w:val="24"/>
          <w:lang w:val="en-US"/>
        </w:rPr>
        <w:t>=4.835; p=0.011; η</w:t>
      </w:r>
      <w:r w:rsidR="00E502EF" w:rsidRPr="00DC649E">
        <w:rPr>
          <w:rFonts w:ascii="Arial" w:hAnsi="Arial" w:cs="Arial"/>
          <w:sz w:val="24"/>
          <w:szCs w:val="24"/>
          <w:vertAlign w:val="subscript"/>
          <w:lang w:val="en-US"/>
        </w:rPr>
        <w:t>p</w:t>
      </w:r>
      <w:r w:rsidR="00E502EF" w:rsidRPr="00DC649E">
        <w:rPr>
          <w:rFonts w:ascii="Arial" w:hAnsi="Arial" w:cs="Arial"/>
          <w:sz w:val="24"/>
          <w:szCs w:val="24"/>
          <w:vertAlign w:val="superscript"/>
          <w:lang w:val="en-US"/>
        </w:rPr>
        <w:t>2</w:t>
      </w:r>
      <w:r w:rsidR="00E502EF" w:rsidRPr="00DC649E">
        <w:rPr>
          <w:rFonts w:ascii="Arial" w:hAnsi="Arial" w:cs="Arial"/>
          <w:sz w:val="24"/>
          <w:szCs w:val="24"/>
          <w:lang w:val="en-US"/>
        </w:rPr>
        <w:t xml:space="preserve">=0.13) but there were no differences related to Sex or </w:t>
      </w:r>
      <w:bookmarkStart w:id="13" w:name="_Hlk69486428"/>
      <w:r w:rsidR="00414D8A">
        <w:rPr>
          <w:rFonts w:ascii="Arial" w:hAnsi="Arial" w:cs="Arial"/>
          <w:sz w:val="24"/>
          <w:szCs w:val="24"/>
          <w:lang w:val="en-US"/>
        </w:rPr>
        <w:t xml:space="preserve">ACE </w:t>
      </w:r>
      <w:r w:rsidR="00414D8A">
        <w:rPr>
          <w:rFonts w:ascii="Arial" w:eastAsia="Arial Unicode MS" w:hAnsi="Arial" w:cs="Arial"/>
          <w:sz w:val="24"/>
          <w:szCs w:val="24"/>
          <w:lang w:val="en-US"/>
        </w:rPr>
        <w:t>(</w:t>
      </w:r>
      <w:r w:rsidR="00D44583">
        <w:rPr>
          <w:rFonts w:ascii="Arial" w:eastAsia="Arial Unicode MS" w:hAnsi="Arial" w:cs="Arial"/>
          <w:sz w:val="24"/>
          <w:szCs w:val="24"/>
          <w:lang w:val="en-US"/>
        </w:rPr>
        <w:t>Figure S5 A)</w:t>
      </w:r>
      <w:r w:rsidR="00A413DB">
        <w:rPr>
          <w:rFonts w:ascii="Arial" w:eastAsia="Arial Unicode MS" w:hAnsi="Arial" w:cs="Arial"/>
          <w:sz w:val="24"/>
          <w:szCs w:val="24"/>
          <w:lang w:val="en-US"/>
        </w:rPr>
        <w:t xml:space="preserve">. </w:t>
      </w:r>
      <w:r w:rsidR="0079621F">
        <w:rPr>
          <w:rFonts w:ascii="Arial" w:eastAsia="Arial Unicode MS" w:hAnsi="Arial" w:cs="Arial"/>
          <w:sz w:val="24"/>
          <w:szCs w:val="24"/>
          <w:lang w:val="en-US"/>
        </w:rPr>
        <w:t xml:space="preserve"> There were no differences in the cocaine infusions earned </w:t>
      </w:r>
      <w:r w:rsidR="00A231A3">
        <w:rPr>
          <w:rFonts w:ascii="Arial" w:eastAsia="Arial Unicode MS" w:hAnsi="Arial" w:cs="Arial"/>
          <w:sz w:val="24"/>
          <w:szCs w:val="24"/>
          <w:lang w:val="en-US"/>
        </w:rPr>
        <w:t xml:space="preserve">or in the compulsivity index obtained </w:t>
      </w:r>
      <w:r w:rsidR="0079621F">
        <w:rPr>
          <w:rFonts w:ascii="Arial" w:eastAsia="Arial Unicode MS" w:hAnsi="Arial" w:cs="Arial"/>
          <w:sz w:val="24"/>
          <w:szCs w:val="24"/>
          <w:lang w:val="en-US"/>
        </w:rPr>
        <w:lastRenderedPageBreak/>
        <w:t>during the compulsivity test.</w:t>
      </w:r>
      <w:bookmarkEnd w:id="13"/>
      <w:r w:rsidR="005C1F05">
        <w:rPr>
          <w:rFonts w:ascii="Arial" w:eastAsia="Arial Unicode MS" w:hAnsi="Arial" w:cs="Arial"/>
          <w:color w:val="000000" w:themeColor="text1"/>
          <w:sz w:val="24"/>
          <w:szCs w:val="24"/>
          <w:lang w:val="en-US"/>
        </w:rPr>
        <w:t xml:space="preserve"> Al</w:t>
      </w:r>
      <w:r w:rsidR="00C11B1C">
        <w:rPr>
          <w:rFonts w:ascii="Arial" w:eastAsia="Arial Unicode MS" w:hAnsi="Arial" w:cs="Arial"/>
          <w:color w:val="000000" w:themeColor="text1"/>
          <w:sz w:val="24"/>
          <w:szCs w:val="24"/>
          <w:lang w:val="en-US"/>
        </w:rPr>
        <w:t>most all</w:t>
      </w:r>
      <w:r w:rsidR="005C1F05">
        <w:rPr>
          <w:rFonts w:ascii="Arial" w:eastAsia="Arial Unicode MS" w:hAnsi="Arial" w:cs="Arial"/>
          <w:color w:val="000000" w:themeColor="text1"/>
          <w:sz w:val="24"/>
          <w:szCs w:val="24"/>
          <w:lang w:val="en-US"/>
        </w:rPr>
        <w:t xml:space="preserve"> animals reduced their intake </w:t>
      </w:r>
      <w:r w:rsidR="00D44583">
        <w:rPr>
          <w:rFonts w:ascii="Arial" w:eastAsia="Arial Unicode MS" w:hAnsi="Arial" w:cs="Arial"/>
          <w:color w:val="000000" w:themeColor="text1"/>
          <w:sz w:val="24"/>
          <w:szCs w:val="24"/>
          <w:lang w:val="en-US"/>
        </w:rPr>
        <w:t>below</w:t>
      </w:r>
      <w:r w:rsidR="005C1F05">
        <w:rPr>
          <w:rFonts w:ascii="Arial" w:eastAsia="Arial Unicode MS" w:hAnsi="Arial" w:cs="Arial"/>
          <w:color w:val="000000" w:themeColor="text1"/>
          <w:sz w:val="24"/>
          <w:szCs w:val="24"/>
          <w:lang w:val="en-US"/>
        </w:rPr>
        <w:t xml:space="preserve"> 50% but there were no differences among groups </w:t>
      </w:r>
      <w:r w:rsidR="00016E4D">
        <w:rPr>
          <w:rFonts w:ascii="Arial" w:eastAsia="Arial Unicode MS" w:hAnsi="Arial" w:cs="Arial"/>
          <w:color w:val="000000" w:themeColor="text1"/>
          <w:sz w:val="24"/>
          <w:szCs w:val="24"/>
          <w:lang w:val="en-US"/>
        </w:rPr>
        <w:t>(</w:t>
      </w:r>
      <w:r w:rsidR="00016E4D" w:rsidRPr="00016E4D">
        <w:rPr>
          <w:rFonts w:ascii="Arial" w:eastAsia="Arial Unicode MS" w:hAnsi="Arial" w:cs="Arial"/>
          <w:sz w:val="24"/>
          <w:szCs w:val="24"/>
          <w:lang w:val="en-GB"/>
        </w:rPr>
        <w:t>See Figure S</w:t>
      </w:r>
      <w:r w:rsidR="00016E4D">
        <w:rPr>
          <w:rFonts w:ascii="Arial" w:eastAsia="Arial Unicode MS" w:hAnsi="Arial" w:cs="Arial"/>
          <w:sz w:val="24"/>
          <w:szCs w:val="24"/>
          <w:lang w:val="en-GB"/>
        </w:rPr>
        <w:t>5</w:t>
      </w:r>
      <w:r w:rsidR="00D44583">
        <w:rPr>
          <w:rFonts w:ascii="Arial" w:eastAsia="Arial Unicode MS" w:hAnsi="Arial" w:cs="Arial"/>
          <w:sz w:val="24"/>
          <w:szCs w:val="24"/>
          <w:lang w:val="en-GB"/>
        </w:rPr>
        <w:t xml:space="preserve"> B and </w:t>
      </w:r>
      <w:r w:rsidR="00016E4D">
        <w:rPr>
          <w:rFonts w:ascii="Arial" w:eastAsia="Arial Unicode MS" w:hAnsi="Arial" w:cs="Arial"/>
          <w:sz w:val="24"/>
          <w:szCs w:val="24"/>
          <w:lang w:val="en-GB"/>
        </w:rPr>
        <w:t>C).</w:t>
      </w:r>
      <w:r w:rsidR="000B5EFA">
        <w:rPr>
          <w:rFonts w:ascii="Arial" w:eastAsia="Arial Unicode MS" w:hAnsi="Arial" w:cs="Arial"/>
          <w:sz w:val="24"/>
          <w:szCs w:val="24"/>
          <w:lang w:val="en-GB"/>
        </w:rPr>
        <w:t xml:space="preserve"> A significant increase was obtained during the extended access sessions </w:t>
      </w:r>
      <w:bookmarkStart w:id="14" w:name="_Hlk69908428"/>
      <w:r w:rsidR="007266DA" w:rsidRPr="00396BFB">
        <w:rPr>
          <w:rFonts w:ascii="Arial" w:hAnsi="Arial" w:cs="Arial"/>
          <w:lang w:val="en-US"/>
        </w:rPr>
        <w:t>(F</w:t>
      </w:r>
      <w:r w:rsidR="007266DA" w:rsidRPr="00396BFB">
        <w:rPr>
          <w:rFonts w:ascii="Arial" w:hAnsi="Arial" w:cs="Arial"/>
          <w:vertAlign w:val="subscript"/>
          <w:lang w:val="en-US"/>
        </w:rPr>
        <w:t>1,20</w:t>
      </w:r>
      <w:r w:rsidR="007266DA" w:rsidRPr="00396BFB">
        <w:rPr>
          <w:rFonts w:ascii="Arial" w:hAnsi="Arial" w:cs="Arial"/>
          <w:lang w:val="en-US"/>
        </w:rPr>
        <w:t>=4.349; p=0.05; η</w:t>
      </w:r>
      <w:r w:rsidR="007266DA" w:rsidRPr="00396BFB">
        <w:rPr>
          <w:rFonts w:ascii="Arial" w:hAnsi="Arial" w:cs="Arial"/>
          <w:vertAlign w:val="subscript"/>
          <w:lang w:val="en-US"/>
        </w:rPr>
        <w:t>p</w:t>
      </w:r>
      <w:r w:rsidR="007266DA" w:rsidRPr="00396BFB">
        <w:rPr>
          <w:rFonts w:ascii="Arial" w:hAnsi="Arial" w:cs="Arial"/>
          <w:vertAlign w:val="superscript"/>
          <w:lang w:val="en-US"/>
        </w:rPr>
        <w:t>2</w:t>
      </w:r>
      <w:r w:rsidR="007266DA" w:rsidRPr="00396BFB">
        <w:rPr>
          <w:rFonts w:ascii="Arial" w:hAnsi="Arial" w:cs="Arial"/>
          <w:lang w:val="en-US"/>
        </w:rPr>
        <w:t>=0.179)</w:t>
      </w:r>
      <w:bookmarkEnd w:id="14"/>
      <w:r w:rsidR="007266DA" w:rsidRPr="00396BFB">
        <w:rPr>
          <w:rFonts w:ascii="Arial" w:hAnsi="Arial" w:cs="Arial"/>
          <w:lang w:val="en-US"/>
        </w:rPr>
        <w:t xml:space="preserve"> </w:t>
      </w:r>
      <w:r w:rsidR="007266DA">
        <w:rPr>
          <w:rFonts w:ascii="Arial" w:hAnsi="Arial" w:cs="Arial"/>
          <w:lang w:val="en-US"/>
        </w:rPr>
        <w:t xml:space="preserve">with no differences between groups </w:t>
      </w:r>
      <w:r w:rsidR="000B5EFA">
        <w:rPr>
          <w:rFonts w:ascii="Arial" w:eastAsia="Arial Unicode MS" w:hAnsi="Arial" w:cs="Arial"/>
          <w:sz w:val="24"/>
          <w:szCs w:val="24"/>
          <w:lang w:val="en-GB"/>
        </w:rPr>
        <w:t>(Figure S5 D</w:t>
      </w:r>
      <w:r w:rsidR="00CF0642">
        <w:rPr>
          <w:rFonts w:ascii="Arial" w:eastAsia="Arial Unicode MS" w:hAnsi="Arial" w:cs="Arial"/>
          <w:sz w:val="24"/>
          <w:szCs w:val="24"/>
          <w:lang w:val="en-GB"/>
        </w:rPr>
        <w:t>).</w:t>
      </w:r>
    </w:p>
    <w:p w14:paraId="74E9DB06" w14:textId="77777777" w:rsidR="007F038D" w:rsidRDefault="007F038D" w:rsidP="007F038D">
      <w:pPr>
        <w:spacing w:line="360" w:lineRule="auto"/>
        <w:jc w:val="both"/>
        <w:rPr>
          <w:rFonts w:ascii="Arial" w:eastAsia="Times New Roman" w:hAnsi="Arial" w:cs="Arial"/>
          <w:b/>
          <w:bCs/>
          <w:sz w:val="24"/>
          <w:szCs w:val="24"/>
          <w:lang w:val="en-US" w:eastAsia="es-ES"/>
        </w:rPr>
      </w:pPr>
      <w:r w:rsidRPr="008A16EB">
        <w:rPr>
          <w:rFonts w:ascii="Arial" w:eastAsia="Times New Roman" w:hAnsi="Arial" w:cs="Arial"/>
          <w:b/>
          <w:bCs/>
          <w:sz w:val="24"/>
          <w:szCs w:val="24"/>
          <w:lang w:val="en-US" w:eastAsia="es-ES"/>
        </w:rPr>
        <w:t xml:space="preserve">SUPPLEMENTARY </w:t>
      </w:r>
      <w:r>
        <w:rPr>
          <w:rFonts w:ascii="Arial" w:eastAsia="Times New Roman" w:hAnsi="Arial" w:cs="Arial"/>
          <w:b/>
          <w:bCs/>
          <w:sz w:val="24"/>
          <w:szCs w:val="24"/>
          <w:lang w:val="en-US" w:eastAsia="es-ES"/>
        </w:rPr>
        <w:t>DISCUSSION</w:t>
      </w:r>
    </w:p>
    <w:p w14:paraId="4A84789B" w14:textId="77777777" w:rsidR="007F038D" w:rsidRDefault="007F038D" w:rsidP="007F038D">
      <w:pPr>
        <w:spacing w:line="360" w:lineRule="auto"/>
        <w:jc w:val="both"/>
        <w:rPr>
          <w:rFonts w:ascii="Arial" w:eastAsia="Times New Roman" w:hAnsi="Arial" w:cs="Arial"/>
          <w:b/>
          <w:bCs/>
          <w:sz w:val="24"/>
          <w:szCs w:val="24"/>
          <w:lang w:val="en-US" w:eastAsia="es-ES"/>
        </w:rPr>
      </w:pPr>
      <w:r>
        <w:rPr>
          <w:rFonts w:ascii="Arial" w:eastAsia="Times New Roman" w:hAnsi="Arial" w:cs="Arial"/>
          <w:b/>
          <w:bCs/>
          <w:sz w:val="24"/>
          <w:szCs w:val="24"/>
          <w:lang w:val="en-US" w:eastAsia="es-ES"/>
        </w:rPr>
        <w:t xml:space="preserve">Relevance of some the </w:t>
      </w:r>
      <w:proofErr w:type="spellStart"/>
      <w:r>
        <w:rPr>
          <w:rFonts w:ascii="Arial" w:eastAsia="Times New Roman" w:hAnsi="Arial" w:cs="Arial"/>
          <w:b/>
          <w:bCs/>
          <w:sz w:val="24"/>
          <w:szCs w:val="24"/>
          <w:lang w:val="en-US" w:eastAsia="es-ES"/>
        </w:rPr>
        <w:t>RNAseq</w:t>
      </w:r>
      <w:proofErr w:type="spellEnd"/>
      <w:r>
        <w:rPr>
          <w:rFonts w:ascii="Arial" w:eastAsia="Times New Roman" w:hAnsi="Arial" w:cs="Arial"/>
          <w:b/>
          <w:bCs/>
          <w:sz w:val="24"/>
          <w:szCs w:val="24"/>
          <w:lang w:val="en-US" w:eastAsia="es-ES"/>
        </w:rPr>
        <w:t xml:space="preserve"> transcriptional signatures obtained for schizophrenia-spectrum disorders</w:t>
      </w:r>
    </w:p>
    <w:p w14:paraId="57139CDC" w14:textId="77777777" w:rsidR="007F038D" w:rsidRPr="00941281" w:rsidRDefault="007F038D" w:rsidP="007F038D">
      <w:pPr>
        <w:spacing w:line="360" w:lineRule="auto"/>
        <w:ind w:firstLine="708"/>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Given the comorbidity of substance use disorders and schizophrenia </w:t>
      </w:r>
      <w:r>
        <w:rPr>
          <w:rFonts w:ascii="Arial" w:eastAsia="Times New Roman" w:hAnsi="Arial" w:cs="Arial"/>
          <w:sz w:val="24"/>
          <w:szCs w:val="24"/>
          <w:lang w:val="en-US" w:eastAsia="es-ES"/>
        </w:rPr>
        <w:fldChar w:fldCharType="begin" w:fldLock="1"/>
      </w:r>
      <w:r>
        <w:rPr>
          <w:rFonts w:ascii="Arial" w:eastAsia="Times New Roman" w:hAnsi="Arial" w:cs="Arial"/>
          <w:sz w:val="24"/>
          <w:szCs w:val="24"/>
          <w:lang w:val="en-US" w:eastAsia="es-ES"/>
        </w:rPr>
        <w:instrText>ADDIN CSL_CITATION {"citationItems":[{"id":"ITEM-1","itemData":{"DOI":"10.1016/j.schres.2017.04.016","ISSN":"15732509","PMID":"28416205","abstract":"Substance use disorders occur commonly in patients with schizophrenia and dramatically worsen their overall clinical course. While the exact mechanisms contributing to substance use in schizophrenia are not known, a number of theories have been put forward to explain the basis of the co-occurrence of these disorders. We propose here a unifying hypothesis that combines recent evidence from epidemiological and genetic association studies with brain imaging and pre-clinical studies to provide an updated formulation regarding the basis of substance use in patients with schizophrenia. We suggest that the genetic determinants of risk for schizophrenia (especially within neural systems that contribute to the risk for both psychosis and addiction) make patients vulnerable to substance use. Since this vulnerability may arise prior to the appearance of psychotic symptoms, an increased use of substances in adolescence may both enhance the risk for developing a later substance use disorder, and also serve as an additional risk factor for the appearance of psychotic symptoms. Future studies that assess brain circuitry in a prospective longitudinal manner during adolescence prior to the appearance of psychotic symptoms could shed further light on the mechanistic underpinnings of these co-occurring disorders while identifying potential points of intervention for these difficult-to-treat co-occurring disorders.","author":[{"dropping-particle":"","family":"Khokhar","given":"Jibran Y.","non-dropping-particle":"","parse-names":false,"suffix":""},{"dropping-particle":"","family":"Dwiel","given":"Lucas L.","non-dropping-particle":"","parse-names":false,"suffix":""},{"dropping-particle":"","family":"Henricks","given":"Angela M.","non-dropping-particle":"","parse-names":false,"suffix":""},{"dropping-particle":"","family":"Doucette","given":"Wilder T.","non-dropping-particle":"","parse-names":false,"suffix":""},{"dropping-particle":"","family":"Green","given":"Alan I.","non-dropping-particle":"","parse-names":false,"suffix":""}],"container-title":"Schizophrenia Research","id":"ITEM-1","issued":{"date-parts":[["2018","4","1"]]},"page":"78-85","publisher":"Elsevier B.V.","title":"The link between schizophrenia and substance use disorder: A unifying hypothesis","type":"article","volume":"194"},"uris":["http://www.mendeley.com/documents/?uuid=101c2b4c-8861-38ba-83dd-665ef8e45ee7"]}],"mendeley":{"formattedCitation":"(Khokhar et al., 2018)","plainTextFormattedCitation":"(Khokhar et al., 2018)","previouslyFormattedCitation":"(Khokhar et al., 2018)"},"properties":{"noteIndex":0},"schema":"https://github.com/citation-style-language/schema/raw/master/csl-citation.json"}</w:instrText>
      </w:r>
      <w:r>
        <w:rPr>
          <w:rFonts w:ascii="Arial" w:eastAsia="Times New Roman" w:hAnsi="Arial" w:cs="Arial"/>
          <w:sz w:val="24"/>
          <w:szCs w:val="24"/>
          <w:lang w:val="en-US" w:eastAsia="es-ES"/>
        </w:rPr>
        <w:fldChar w:fldCharType="separate"/>
      </w:r>
      <w:r w:rsidRPr="00570DC3">
        <w:rPr>
          <w:rFonts w:ascii="Arial" w:eastAsia="Times New Roman" w:hAnsi="Arial" w:cs="Arial"/>
          <w:noProof/>
          <w:sz w:val="24"/>
          <w:szCs w:val="24"/>
          <w:lang w:val="en-US" w:eastAsia="es-ES"/>
        </w:rPr>
        <w:t>(Khokhar et al., 2018)</w:t>
      </w:r>
      <w:r>
        <w:rPr>
          <w:rFonts w:ascii="Arial" w:eastAsia="Times New Roman" w:hAnsi="Arial" w:cs="Arial"/>
          <w:sz w:val="24"/>
          <w:szCs w:val="24"/>
          <w:lang w:val="en-US" w:eastAsia="es-ES"/>
        </w:rPr>
        <w:fldChar w:fldCharType="end"/>
      </w:r>
      <w:r>
        <w:rPr>
          <w:rFonts w:ascii="Arial" w:eastAsia="Times New Roman" w:hAnsi="Arial" w:cs="Arial"/>
          <w:sz w:val="24"/>
          <w:szCs w:val="24"/>
          <w:lang w:val="en-US" w:eastAsia="es-ES"/>
        </w:rPr>
        <w:t xml:space="preserve"> and the suggested association between heavy cannabis use and this disorder </w:t>
      </w:r>
      <w:r>
        <w:rPr>
          <w:rFonts w:ascii="Arial" w:eastAsia="Times New Roman" w:hAnsi="Arial" w:cs="Arial"/>
          <w:sz w:val="24"/>
          <w:szCs w:val="24"/>
          <w:lang w:val="en-US" w:eastAsia="es-ES"/>
        </w:rPr>
        <w:fldChar w:fldCharType="begin" w:fldLock="1"/>
      </w:r>
      <w:r>
        <w:rPr>
          <w:rFonts w:ascii="Arial" w:eastAsia="Times New Roman" w:hAnsi="Arial" w:cs="Arial"/>
          <w:sz w:val="24"/>
          <w:szCs w:val="24"/>
          <w:lang w:val="en-US" w:eastAsia="es-ES"/>
        </w:rPr>
        <w:instrText>ADDIN CSL_CITATION {"citationItems":[{"id":"ITEM-1","itemData":{"DOI":"10.3389/fpsyt.2014.00054","ISSN":"1664-0640","PMID":"24904437","abstract":"Cannabis is the most commonly used illicit drug worldwide, with ~5 million daily users worldwide. Emerging evidence supports a number of associations between cannabis and psychosis/psychotic disorders, including schizophrenia. These associations-based on case-studies, surveys, epidemiological studies, and experimental studies indicate that cannabinoids can produce acute, transient effects; acute, persistent effects; and delayed, persistent effects that recapitulate the psychopathology and psychophysiology seen in schizophrenia. Acute exposure to both cannabis and synthetic cannabinoids (Spice/K2) can produce a full range of transient psychotomimetic symptoms, cognitive deficits, and psychophysiological abnormalities that bear a striking resemblance to symptoms of schizophrenia. In individuals with an established psychotic disorder, cannabinoids can exacerbate symptoms, trigger relapse, and have negative consequences on the course of the illness. Several factors appear to moderate these associations, including family history, genetic factors, history of childhood abuse, and the age at onset of cannabis use. Exposure to cannabinoids in adolescence confers a higher risk for psychosis outcomes in later life and the risk is dose-related. Individuals with polymorphisms of COMT and AKT1 genes may be at increased risk for psychotic disorders in association with cannabinoids, as are individuals with a family history of psychotic disorders or a history of childhood trauma. The relationship between cannabis and schizophrenia fulfills many but not all of the standard criteria for causality, including temporality, biological gradient, biological plausibility, experimental evidence, consistency, and coherence. At the present time, the evidence indicates that cannabis may be a component cause in the emergence of psychosis, and this warrants serious consideration from the point of view of public health policy.","author":[{"dropping-particle":"","family":"Radhakrishnan","given":"Rajiv","non-dropping-particle":"","parse-names":false,"suffix":""},{"dropping-particle":"","family":"Wilkinson","given":"Samuel T","non-dropping-particle":"","parse-names":false,"suffix":""},{"dropping-particle":"","family":"D'Souza","given":"Deepak Cyril","non-dropping-particle":"","parse-names":false,"suffix":""}],"container-title":"Frontiers in psychiatry","id":"ITEM-1","issue":"May","issued":{"date-parts":[["2014","1"]]},"page":"54","title":"Gone to Pot - A Review of the Association between Cannabis and Psychosis.","type":"article-journal","volume":"5"},"uris":["http://www.mendeley.com/documents/?uuid=dc93c34b-02f2-48c0-ac26-54db2f7d7e11"]}],"mendeley":{"formattedCitation":"(Radhakrishnan et al., 2014)","plainTextFormattedCitation":"(Radhakrishnan et al., 2014)","previouslyFormattedCitation":"(Radhakrishnan et al., 2014)"},"properties":{"noteIndex":0},"schema":"https://github.com/citation-style-language/schema/raw/master/csl-citation.json"}</w:instrText>
      </w:r>
      <w:r>
        <w:rPr>
          <w:rFonts w:ascii="Arial" w:eastAsia="Times New Roman" w:hAnsi="Arial" w:cs="Arial"/>
          <w:sz w:val="24"/>
          <w:szCs w:val="24"/>
          <w:lang w:val="en-US" w:eastAsia="es-ES"/>
        </w:rPr>
        <w:fldChar w:fldCharType="separate"/>
      </w:r>
      <w:r w:rsidRPr="00680AC6">
        <w:rPr>
          <w:rFonts w:ascii="Arial" w:eastAsia="Times New Roman" w:hAnsi="Arial" w:cs="Arial"/>
          <w:noProof/>
          <w:sz w:val="24"/>
          <w:szCs w:val="24"/>
          <w:lang w:val="en-US" w:eastAsia="es-ES"/>
        </w:rPr>
        <w:t>(Radhakrishnan et al., 2014)</w:t>
      </w:r>
      <w:r>
        <w:rPr>
          <w:rFonts w:ascii="Arial" w:eastAsia="Times New Roman" w:hAnsi="Arial" w:cs="Arial"/>
          <w:sz w:val="24"/>
          <w:szCs w:val="24"/>
          <w:lang w:val="en-US" w:eastAsia="es-ES"/>
        </w:rPr>
        <w:fldChar w:fldCharType="end"/>
      </w:r>
      <w:r>
        <w:rPr>
          <w:rFonts w:ascii="Arial" w:eastAsia="Times New Roman" w:hAnsi="Arial" w:cs="Arial"/>
          <w:sz w:val="24"/>
          <w:szCs w:val="24"/>
          <w:lang w:val="en-US" w:eastAsia="es-ES"/>
        </w:rPr>
        <w:t xml:space="preserve"> we will highlight the potential involvement of some of the differentially expressed genes found in this psychopathology.</w:t>
      </w:r>
    </w:p>
    <w:p w14:paraId="267599DC" w14:textId="77777777" w:rsidR="007F038D" w:rsidRDefault="007F038D" w:rsidP="007F038D">
      <w:pPr>
        <w:spacing w:line="360" w:lineRule="auto"/>
        <w:ind w:firstLine="708"/>
        <w:jc w:val="both"/>
        <w:rPr>
          <w:rFonts w:ascii="Arial" w:eastAsia="Arial Unicode MS" w:hAnsi="Arial" w:cs="Arial"/>
          <w:sz w:val="24"/>
          <w:szCs w:val="24"/>
          <w:lang w:val="en-US"/>
        </w:rPr>
      </w:pPr>
      <w:r>
        <w:rPr>
          <w:rFonts w:ascii="Arial" w:eastAsia="Arial Unicode MS" w:hAnsi="Arial" w:cs="Arial"/>
          <w:sz w:val="24"/>
          <w:szCs w:val="24"/>
          <w:lang w:val="en-GB"/>
        </w:rPr>
        <w:t xml:space="preserve">We found several gene expression alterations suggestive of synaptic pathology that could be related to schizophrenia. First, with regard to glutamatergic synaptic transmission, the glial glutamate transporter EAAT2, encoded by the </w:t>
      </w:r>
      <w:r w:rsidRPr="00941281">
        <w:rPr>
          <w:rFonts w:ascii="Arial" w:eastAsia="Arial Unicode MS" w:hAnsi="Arial" w:cs="Arial"/>
          <w:i/>
          <w:iCs/>
          <w:sz w:val="24"/>
          <w:szCs w:val="24"/>
          <w:lang w:val="en-GB"/>
        </w:rPr>
        <w:t>Slc1a2</w:t>
      </w:r>
      <w:r>
        <w:rPr>
          <w:rFonts w:ascii="Arial" w:eastAsia="Arial Unicode MS" w:hAnsi="Arial" w:cs="Arial"/>
          <w:sz w:val="24"/>
          <w:szCs w:val="24"/>
          <w:lang w:val="en-GB"/>
        </w:rPr>
        <w:t xml:space="preserve"> gene (down-regulated in the males with ACE) has been widely implicated in schizophrenia-spectrum disorders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{"citationItems":[{"id":"ITEM-1","itemData":{"DOI":"10.1016/j.schres.2015.10.012","ISSN":"15732509","PMID":"26459047","abstract":"SLC1A2 is reported to be responsible for the majority of glutamate uptake, which has a crucial role in neural development and synaptic plasticity, and a disturbance in glutamatergic transmission has been suggested to be involved in the pathophysiology of schizophrenia (SCZ) and cognition. To evaluate the relationship of common variants within SLC1A2 with SCZ and cognition in Han Chinese, 28 tag SNPs were genotyped in the discovery stage, which included 1117 cases and 2289 controls; significantly associated markers were genotyped in the replication stage with 2128 cases and 3865 controls. The rs4354668 SNP was identified to be significantly associated with SCZ in both datasets, and a similar pattern was also observed in the two-stage study on conducting imputation and haplotype association analyses. In addition, significant associations between the rs4354668 SNP and cognition were observed when processing the perseverative error of the Wisconsin Card Sorting Test in patients and controls. Our results provide supportive evidence for an effect of SLC1A2 on the etiology of SCZ, suggesting that genetic variation (rs4354668 and its haplotypes) in SLC1A2 may be involved in impaired executive function, which adds to the current body of knowledge regarding the risk of SCZ and the impairment of cognitive performance.","author":[{"dropping-particle":"","family":"Zhang","given":"Bao","non-dropping-particle":"","parse-names":false,"suffix":""},{"dropping-particle":"","family":"Guan","given":"Fanglin","non-dropping-particle":"","parse-names":false,"suffix":""},{"dropping-particle":"","family":"Chen","given":"Gang","non-dropping-particle":"","parse-names":false,"suffix":""},{"dropping-particle":"","family":"Lin","given":"Huali","non-dropping-particle":"","parse-names":false,"suffix":""},{"dropping-particle":"","family":"Zhang","given":"Tianxiao","non-dropping-particle":"","parse-names":false,"suffix":""},{"dropping-particle":"","family":"Feng","given":"Jiali","non-dropping-particle":"","parse-names":false,"suffix":""},{"dropping-particle":"","family":"Li","given":"Lu","non-dropping-particle":"","parse-names":false,"suffix":""},{"dropping-particle":"","family":"Fu","given":"Dongke","non-dropping-particle":"","parse-names":false,"suffix":""}],"container-title":"Schizophrenia Research","id":"ITEM-1","issue":"1-3","issued":{"date-parts":[["2015","12","1"]]},"page":"128-134","publisher":"Elsevier","title":"Common variants in SLC1A2 and schizophrenia: Association and cognitive function in patients with schizophrenia and healthy individuals","type":"article-journal","volume":"169"},"uris":["http://www.mendeley.com/documents/?uuid=b427e59d-e80e-35ab-81cb-11c063f83b61"]},{"id":"ITEM-2","itemData":{"DOI":"10.1093/schbul/sbx006","ISSN":"17451701","PMID":"28525603","abstract":"The current study examined quantitative measures of psychosis proneness in a nonpsychotic population, in order to elucidate their underlying genetic architecture and to observe if there is any commonality to that already detected in the studies of individuals with overt psychotic conditions, such as schizophrenia and bipolar disorder. Heritability, univariate and multivariate genome-wide association (GWAs) tests, including a series of comprehensive gene-based association analyses, were developed in 4269 nonpsychotic persons participating in the Northern Finland Birth Cohort 1966 study with information on the foll</w:instrText>
      </w:r>
      <w:r>
        <w:rPr>
          <w:rFonts w:ascii="Arial" w:eastAsia="Arial Unicode MS" w:hAnsi="Arial" w:cs="Arial" w:hint="eastAsia"/>
          <w:sz w:val="24"/>
          <w:szCs w:val="24"/>
          <w:lang w:val="en-GB"/>
        </w:rPr>
        <w:instrText xml:space="preserve">owing psychometric measures: Hypomanic Personality, Perceptual Aberration, Physical and Social Anhedonia (also known as Chapman's Schizotypia scales), and Schizoidia scale. Genome-wide genetic data was available for </w:instrText>
      </w:r>
      <w:r>
        <w:rPr>
          <w:rFonts w:ascii="Arial" w:eastAsia="Arial Unicode MS" w:hAnsi="Arial" w:cs="Arial" w:hint="eastAsia"/>
          <w:sz w:val="24"/>
          <w:szCs w:val="24"/>
          <w:lang w:val="en-GB"/>
        </w:rPr>
        <w:instrText>∼</w:instrText>
      </w:r>
      <w:r>
        <w:rPr>
          <w:rFonts w:ascii="Arial" w:eastAsia="Arial Unicode MS" w:hAnsi="Arial" w:cs="Arial" w:hint="eastAsia"/>
          <w:sz w:val="24"/>
          <w:szCs w:val="24"/>
          <w:lang w:val="en-GB"/>
        </w:rPr>
        <w:instrText>9.84 million SNPs. Heritability estima</w:instrText>
      </w:r>
      <w:r>
        <w:rPr>
          <w:rFonts w:ascii="Arial" w:eastAsia="Arial Unicode MS" w:hAnsi="Arial" w:cs="Arial"/>
          <w:sz w:val="24"/>
          <w:szCs w:val="24"/>
          <w:lang w:val="en-GB"/>
        </w:rPr>
        <w:instrText>tes ranged from 16% to 27%. Phenotypic, genetic and environmental correlations ranged from 0.04-0.43, 0.25-0.73, and 0.12-0.43, respectively. Univariate GWAs tests revealed an intronic SNP (rs12449097) at the TMC7 gene (16p12.3) that significantly associa</w:instrText>
      </w:r>
      <w:r>
        <w:rPr>
          <w:rFonts w:ascii="Arial" w:eastAsia="Arial Unicode MS" w:hAnsi="Arial" w:cs="Arial" w:hint="eastAsia"/>
          <w:sz w:val="24"/>
          <w:szCs w:val="24"/>
          <w:lang w:val="en-GB"/>
        </w:rPr>
        <w:instrText xml:space="preserve">ted (P = 3.485 </w:instrText>
      </w:r>
      <w:r>
        <w:rPr>
          <w:rFonts w:ascii="Arial" w:eastAsia="Arial Unicode MS" w:hAnsi="Arial" w:cs="Arial" w:hint="eastAsia"/>
          <w:sz w:val="24"/>
          <w:szCs w:val="24"/>
          <w:lang w:val="en-GB"/>
        </w:rPr>
        <w:instrText>×</w:instrText>
      </w:r>
      <w:r>
        <w:rPr>
          <w:rFonts w:ascii="Arial" w:eastAsia="Arial Unicode MS" w:hAnsi="Arial" w:cs="Arial" w:hint="eastAsia"/>
          <w:sz w:val="24"/>
          <w:szCs w:val="24"/>
          <w:lang w:val="en-GB"/>
        </w:rPr>
        <w:instrText xml:space="preserve"> 10-8) with the hypomanic scale. Bivariate GWAs tests including the hypomanic and physical anhedonia scales suggested a further borderline significant SNP (rs188320715; P-value = 5.261 </w:instrText>
      </w:r>
      <w:r>
        <w:rPr>
          <w:rFonts w:ascii="Arial" w:eastAsia="Arial Unicode MS" w:hAnsi="Arial" w:cs="Arial" w:hint="eastAsia"/>
          <w:sz w:val="24"/>
          <w:szCs w:val="24"/>
          <w:lang w:val="en-GB"/>
        </w:rPr>
        <w:instrText>×</w:instrText>
      </w:r>
      <w:r>
        <w:rPr>
          <w:rFonts w:ascii="Arial" w:eastAsia="Arial Unicode MS" w:hAnsi="Arial" w:cs="Arial" w:hint="eastAsia"/>
          <w:sz w:val="24"/>
          <w:szCs w:val="24"/>
          <w:lang w:val="en-GB"/>
        </w:rPr>
        <w:instrText xml:space="preserve"> 10-8, </w:instrText>
      </w:r>
      <w:r>
        <w:rPr>
          <w:rFonts w:ascii="Arial" w:eastAsia="Arial Unicode MS" w:hAnsi="Arial" w:cs="Arial" w:hint="eastAsia"/>
          <w:sz w:val="24"/>
          <w:szCs w:val="24"/>
          <w:lang w:val="en-GB"/>
        </w:rPr>
        <w:instrText>∼</w:instrText>
      </w:r>
      <w:r>
        <w:rPr>
          <w:rFonts w:ascii="Arial" w:eastAsia="Arial Unicode MS" w:hAnsi="Arial" w:cs="Arial" w:hint="eastAsia"/>
          <w:sz w:val="24"/>
          <w:szCs w:val="24"/>
          <w:lang w:val="en-GB"/>
        </w:rPr>
        <w:instrText>572 kb downstream the ARID1B gene at 6q25.3).</w:instrText>
      </w:r>
      <w:r>
        <w:rPr>
          <w:rFonts w:ascii="Arial" w:eastAsia="Arial Unicode MS" w:hAnsi="Arial" w:cs="Arial"/>
          <w:sz w:val="24"/>
          <w:szCs w:val="24"/>
          <w:lang w:val="en-GB"/>
        </w:rPr>
        <w:instrText xml:space="preserve"> Gene-based tests highlighted 20 additional genes of which 5 had previously been associated to schizophrenia and/or bipolar disorder: CSMD1, CCDC141, SLC1A2, CACNA1C, and SNAP25. Altogether the findings explained from 3.7% to 14.1% of the corresponding trait heritability. In conclusion, this study provides preliminary genomic evidence suggesting that qualitatively similar biological factors may underlie different psychosis proneness measures, some of which could further predispose to schizophrenia and bipolar disorder.","author":[{"dropping-particle":"","family":"Ortega-Alonso","given":"Alfredo","non-dropping-particle":"","parse-names":false,"suffix":""},{"dropping-particle":"","family":"Ekelund","given":"Jesper","non-dropping-particle":"","parse-names":false,"suffix":""},{"dropping-particle":"","family":"Sarin","given":"Antti Pekka","non-dropping-particle":"","parse-names":false,"suffix":""},{"dropping-particle":"","family":"Miettunen","given":"Jouko","non-dropping-particle":"","parse-names":false,"suffix":""},{"dropping-particle":"","family":"Veijola","given":"Juha","non-dropping-particle":"","parse-names":false,"suffix":""},{"dropping-particle":"","family":"Järvelin","given":"Marjo Riitta","non-dropping-particle":"","parse-names":false,"suffix":""},{"dropping-particle":"","family":"Hennah","given":"William","non-dropping-particle":"","parse-names":false,"suffix":""}],"container-title":"Schizophrenia Bulletin","id":"ITEM-2","issue":"6","issued":{"date-parts":[["2017","11","1"]]},"page":"1304-1314","publisher":"Oxford University Press","title":"Genome-Wide Association Study of Psychosis Proneness in the Finnish Population","type":"article-journal","volume":"43"},"uris":["http://www.mendeley.com/documents/?uuid=6418ddce-717e-3de8-8e7b-01c5440b9200"]},{"id":"ITEM-3","itemData":{"DOI":"10.2147/NDT.S194924","abstract":"Background: Excitatory amino acid transporter 2 encoded by SLC1A2 is responsible for approximately 90% of glutamate uptake. Glycine transporter 1, encoded by SLC6A9, is responsible for maintaining a low concentration of the N-methyl-D-aspartate receptor (NMDAR) co-agonist - glycine in the synaptic cleft, suggesting its participation in the development of the NMDARs hypofunction described in schizophrenia. Aim: The aim of this study was to evaluate whether the functional polymorphism-181 A/C (rs4354668) of the SLC1A2 and the rs2486001 (IVS3+411 G/A) in the SLC6A9 are involved in schizophrenia development and its clinical picture in the Polish population. Methods: The study group consisted of 393 unrelated Caucasian patients (157 [39.9%] females and 236 [60.1%] males; mean age 41±12) diagnosed with schizophrenia according to the DSM-5, and 462 healthy controls. The results of the Positive and Negative Syndrome Scale (PANSS) were presented in the five-dimensional model. Polymorphisms of SLC1A2 and SLC6A9 were genotyped with the use of PCR-RFLP assay. Results: There were no statistically significant differences in the frequency of genotypes and alleles between the patients and controls for SLC1A2 and SLC6A9 polymorphisms in either the entire sample or after stratification according to gender. In the haplotype analysis, men with CA haplotype had more than 1.5 higher risk to develop schizophrenia than women (OR=1.63 [95% CI=1.17-2.27, p&lt;0.05]). The influence of gender, genotypes of both analyzed polymorphisms and gender x genotype interactions on individual dimensions of the PANSS scale has not been observed. Also, there was no association of either polymorphism with suicide attempts. Conclusion: The results of the present study did not indicate an association of polymorphism- 181 A/C (rs4354668) in SLC1A2 and rs2486001 in SLC6A9 with onset of schizophrenia and its psychopathology in a Polish population.","author":[{"dropping-particle":"","family":"Merk","given":"Wojciech","non-dropping-particle":"","parse-names":false,"suffix":""},{"dropping-particle":"","family":"Kucia","given":"Krzysztof","non-dropping-particle":"","parse-names":false,"suffix":""},{"dropping-particle":"","family":"Mȩdrala","given":"Tomasz","non-dropping-particle":"","parse-names":false,"suffix":""},{"dropping-particle":"","family":"Kowalczyk","given":"Malgorzata","non-dropping-particle":"","parse-names":false,"suffix":""},{"dropping-particle":"","family":"Owczarek","given":"Aleksander","non-dropping-particle":"","parse-names":false,"suffix":""},{"dropping-particle":"","family":"Kowalski","given":"Jan","non-dropping-particle":"","parse-names":false,"suffix":""}],"container-title":"Neuropsychiatric Disease and Treatment","id":"ITEM-3","issued":{"date-parts":[["2019"]]},"page":"989-1000","publisher":"Dove Medical Press Ltd.","title":"Association study of the excitatory amino acid transporter 2 (EAAT2) and glycine transporter 1 (GlyT1) gene polymorphism with schizophrenia in a Polish population","type":"article-journal","volume":"15"},"uris":["http://www.mendeley.com/documents/?uuid=85ae64a6-ad83-3a4f-b1a0-29574e82ba84"]},{"id":"ITEM-4","itemData":{"DOI":"10.1038/EJHG.2014.261","abstract":"The SLC1A2 gene encodes the excitatory amino acid transporter 2 (EAAT2). Glutamate is the major mediator of excitatory neurotransmission and EAAT2 is responsible for clearing the neurotransmitter from the synaptic cleft. Genetic variation in SLC1A2 has been implicated in a range of neurological and neuropsychiatric conditions including schizophrenia (SZ), autism and in core phenotypes of bipolar disorder (BD). The coding and putative regulatory regions of SLC1A2 gene were screened for variants using high resolution melting or sequenced in 1099 or in 32 BD subjects. Thirty-two variants were detected in the SLC1A2 gene. Fifteen potentially etiological variants were selected for genotyping in 1099 BD and 1095 control samples. Five amino acid changing variants were also genotyped in 630 participants su</w:instrText>
      </w:r>
      <w:r>
        <w:rPr>
          <w:rFonts w:ascii="Arial" w:eastAsia="Arial Unicode MS" w:hAnsi="Arial" w:cs="Arial" w:hint="eastAsia"/>
          <w:sz w:val="24"/>
          <w:szCs w:val="24"/>
          <w:lang w:val="en-GB"/>
        </w:rPr>
        <w:instrText>ffering from SZ. None of the variants were found to be associated with BD or SZ or with the two diseases combined. However, two recurrent missense variants (rs145827578:G&gt;A, p.(G6S); rs199599866:G&gt;A, p.(R31Q)) and one recurrent 5</w:instrText>
      </w:r>
      <w:r>
        <w:rPr>
          <w:rFonts w:ascii="Arial" w:eastAsia="Arial Unicode MS" w:hAnsi="Arial" w:cs="Arial" w:hint="eastAsia"/>
          <w:sz w:val="24"/>
          <w:szCs w:val="24"/>
          <w:lang w:val="en-GB"/>
        </w:rPr>
        <w:instrText>′</w:instrText>
      </w:r>
      <w:r>
        <w:rPr>
          <w:rFonts w:ascii="Arial" w:eastAsia="Arial Unicode MS" w:hAnsi="Arial" w:cs="Arial" w:hint="eastAsia"/>
          <w:sz w:val="24"/>
          <w:szCs w:val="24"/>
          <w:lang w:val="en-GB"/>
        </w:rPr>
        <w:instrText>-untranslated region (UTR) variant (ss825678885:G&gt;T) were detected in cases only. Combined analysis of the recurrent-case-only missense variants and of the case-only missense and 5</w:instrText>
      </w:r>
      <w:r>
        <w:rPr>
          <w:rFonts w:ascii="Arial" w:eastAsia="Arial Unicode MS" w:hAnsi="Arial" w:cs="Arial" w:hint="eastAsia"/>
          <w:sz w:val="24"/>
          <w:szCs w:val="24"/>
          <w:lang w:val="en-GB"/>
        </w:rPr>
        <w:instrText>′</w:instrText>
      </w:r>
      <w:r>
        <w:rPr>
          <w:rFonts w:ascii="Arial" w:eastAsia="Arial Unicode MS" w:hAnsi="Arial" w:cs="Arial" w:hint="eastAsia"/>
          <w:sz w:val="24"/>
          <w:szCs w:val="24"/>
          <w:lang w:val="en-GB"/>
        </w:rPr>
        <w:instrText xml:space="preserve">-UTR variants showed nominal evidence for association with the combined diseases (Fisher's P=0.019 </w:instrText>
      </w:r>
      <w:r>
        <w:rPr>
          <w:rFonts w:ascii="Arial" w:eastAsia="Arial Unicode MS" w:hAnsi="Arial" w:cs="Arial"/>
          <w:sz w:val="24"/>
          <w:szCs w:val="24"/>
          <w:lang w:val="en-GB"/>
        </w:rPr>
        <w:instrText xml:space="preserve">and 0.0076). These findings are exploratory in nature and await replication in larger cohorts, however, they provide intriguing evidence that potentially functional rare variants in the SLC1A2 gene may confer susceptibility to psychotic disorders.","author":[{"dropping-particle":"","family":"Fiorentino","given":"Alessia","non-dropping-particle":"","parse-names":false,"suffix":""},{"dropping-particle":"","family":"Sharp","given":"Sally I.","non-dropping-particle":"","parse-names":false,"suffix":""},{"dropping-particle":"","family":"McQuillin","given":"Andrew","non-dropping-particle":"","parse-names":false,"suffix":""}],"container-title":"European Journal of Human Genetics","id":"ITEM-4","issue":"9","issued":{"date-parts":[["2015","9","14"]]},"page":"1200-1206","publisher":"Nature Publishing Group","title":"Association of rare variation in the glutamate receptor gene SLC1A2 with susceptibility to bipolar disorder and schizophrenia","type":"article-journal","volume":"23"},"uris":["http://www.mendeley.com/documents/?uuid=4f1b6e0f-1e3d-3d98-9b59-5d2ca50a23ac"]},{"id":"ITEM-5","itemData":{"DOI":"10.1016/j.jpsychires.2020.02.004","ISSN":"18791379","PMID":"32065951","abstract":"Excitatory amino acid transporter (EAAT)1 and EAAT2 mediate glutamatergic neurotransmission and prevent excitotoxicity through binding and transportation of glutamate into glia. These EAATs may be regulated by metabotropic glutamate receptor 5 (mGluR5), which is also expressed by glia. Whilst we have data from an Affymetrix™ Human Exon 1.0 ST Array showing higher levels of EAAT1 mRNA (+36%) in Brodmann's are (BA)9 of subjects with schizophrenia, there is evidence that EAAT1 and EAAT2, as well as mGluR5 levels, are altered in the cortex of subjects with the disorder. Hence, we measured mRNA levels of these genes in other cortical regions in subjects with that disorder. EAAT1, EAAT2 and mGluR5 mRNA were measured, in triplicate, using Quantitative PCR in BA10 and BA46 from subjects with schizophrenia (n = 20) and age and sex matched controls (n = 18). Levels of mRNA were normalised to the geometric mean of two reference genes, transcription factor B1, mitochondrial (TFB1M) and S-phase kinase-associated protein 1A (SKP1A), for which mRNA did not vary between diagnostic groups in either region. Normalised levels of EAAT1 and EAAT2 mRNA were significantly higher in BA10 (EAAT1: U = 58, p = 0.0002; EAAT2 U = 70, p = 0.0009), but not BA46 (EAAT1: U = 122, p = 0.09; EAAT2: U = 136, p = 0.21), from subjects with schizophrenia compared to controls. mGluR5 levels in BA10 (U = 173, p=0.85) and BA46 (U = 178, p = 0.96) did not vary by cohort. Our data suggests that region-specific increases in cortical EAAT1 and EAAT2 mRNA are involved in schizophrenia pathophysiology and that disrupted glutamate uptake in schizophrenia may be of particular </w:instrText>
      </w:r>
      <w:r w:rsidRPr="00FA54E7">
        <w:rPr>
          <w:rFonts w:ascii="Arial" w:eastAsia="Arial Unicode MS" w:hAnsi="Arial" w:cs="Arial"/>
          <w:sz w:val="24"/>
          <w:szCs w:val="24"/>
        </w:rPr>
        <w:instrText>significance in BA10.","author":[{"dropping-particle":"","family":"Parkin","given":"Georgia M.","non-dropping-particle":"","parse-names":false,"suffix":""},{"dropping-particle":"","family":"Gibbons","given":"Andrew","non-dropping-particle":"","parse-names":false,"suffix":""},{"dropping-particle":"","family":"Udawela","given":"Madhara","non-dropping-particle":"","parse-names":false,"suffix":""},{"dropping-particle":"","family":"Dean","given":"Brian","non-dropping-particle":"","parse-names":false,"suffix":""}],"container-title":"Journal of Psychiatric Research","id":"ITEM-5","issued":{"date-parts":[["2020","4","1"]]},"page":"151-158","publisher":"Elsevier Ltd","title":"Excitatory amino acid transporter (EAAT)1 and EAAT2 mRNA levels are altered in the prefrontal cortex of subjects with schizophrenia","type":"article-journal","volume":"123"},"uris":["http://www.mendeley.com/documents/?uuid=efb0df22-abb9-388d-8d54-e39c6e4efba7"]}],"mendeley":{"formattedCitation":"(Fiorentino et al., 2015; Zhang et al., 2015; Ortega-Alonso et al., 2017; Merk et al., 2019; Parkin et al., 2020)","plainTextFormattedCitation":"(Fiorentino et al., 2015; Zhang et al., 2015; Ortega-Alonso et al., 2017; Merk et al., 2019; Parkin et al., 2020)","previouslyFormattedCitation":"(Fiorentino et al., 2015; Zhang et al., 2015; Ortega-Alonso et al., 2017; Merk et al., 2019; Parkin et al., 2020)"},"properties":{"noteIndex":0},"schema":"https://github.com/citation-style-language/schema/raw/master/csl-citation.json"}</w:instrText>
      </w:r>
      <w:r>
        <w:rPr>
          <w:rFonts w:ascii="Arial" w:eastAsia="Arial Unicode MS" w:hAnsi="Arial" w:cs="Arial"/>
          <w:sz w:val="24"/>
          <w:szCs w:val="24"/>
          <w:lang w:val="en-GB"/>
        </w:rPr>
        <w:fldChar w:fldCharType="separate"/>
      </w:r>
      <w:r w:rsidRPr="00941281">
        <w:rPr>
          <w:rFonts w:ascii="Arial" w:eastAsia="Arial Unicode MS" w:hAnsi="Arial" w:cs="Arial"/>
          <w:noProof/>
          <w:sz w:val="24"/>
          <w:szCs w:val="24"/>
        </w:rPr>
        <w:t>(Fiorentino et al., 2015; Zhang et al., 2015; Ortega-Alonso et al., 2017; Merk et al., 2019; Parkin et al., 2020)</w:t>
      </w:r>
      <w:r>
        <w:rPr>
          <w:rFonts w:ascii="Arial" w:eastAsia="Arial Unicode MS" w:hAnsi="Arial" w:cs="Arial"/>
          <w:sz w:val="24"/>
          <w:szCs w:val="24"/>
          <w:lang w:val="en-GB"/>
        </w:rPr>
        <w:fldChar w:fldCharType="end"/>
      </w:r>
      <w:r w:rsidRPr="00941281">
        <w:rPr>
          <w:rFonts w:ascii="Arial" w:eastAsia="Arial Unicode MS" w:hAnsi="Arial" w:cs="Arial"/>
          <w:sz w:val="24"/>
          <w:szCs w:val="24"/>
        </w:rPr>
        <w:t>.</w:t>
      </w:r>
      <w:r>
        <w:rPr>
          <w:rFonts w:ascii="Arial" w:eastAsia="Arial Unicode MS" w:hAnsi="Arial" w:cs="Arial"/>
          <w:sz w:val="24"/>
          <w:szCs w:val="24"/>
        </w:rPr>
        <w:t xml:space="preserve"> </w:t>
      </w:r>
      <w:r w:rsidRPr="00941281">
        <w:rPr>
          <w:rFonts w:ascii="Arial" w:eastAsia="Arial Unicode MS" w:hAnsi="Arial" w:cs="Arial"/>
          <w:sz w:val="24"/>
          <w:szCs w:val="24"/>
          <w:lang w:val="en-US"/>
        </w:rPr>
        <w:t>In</w:t>
      </w:r>
      <w:r>
        <w:rPr>
          <w:rFonts w:ascii="Arial" w:eastAsia="Arial Unicode MS" w:hAnsi="Arial" w:cs="Arial"/>
          <w:sz w:val="24"/>
          <w:szCs w:val="24"/>
          <w:lang w:val="en-US"/>
        </w:rPr>
        <w:t xml:space="preserve"> addition, a</w:t>
      </w:r>
      <w:r w:rsidRPr="00941281">
        <w:rPr>
          <w:rFonts w:ascii="Arial" w:eastAsia="Arial Unicode MS" w:hAnsi="Arial" w:cs="Arial"/>
          <w:sz w:val="24"/>
          <w:szCs w:val="24"/>
          <w:lang w:val="en-US"/>
        </w:rPr>
        <w:t xml:space="preserve">nother </w:t>
      </w:r>
      <w:r>
        <w:rPr>
          <w:rFonts w:ascii="Arial" w:eastAsia="Arial Unicode MS" w:hAnsi="Arial" w:cs="Arial"/>
          <w:sz w:val="24"/>
          <w:szCs w:val="24"/>
          <w:lang w:val="en-US"/>
        </w:rPr>
        <w:t xml:space="preserve">glutamate transporter, the vesicular glutamate transporter 2, encoded by the </w:t>
      </w:r>
      <w:r w:rsidRPr="00941281">
        <w:rPr>
          <w:rFonts w:ascii="Arial" w:eastAsia="Arial Unicode MS" w:hAnsi="Arial" w:cs="Arial"/>
          <w:i/>
          <w:iCs/>
          <w:sz w:val="24"/>
          <w:szCs w:val="24"/>
          <w:lang w:val="en-US"/>
        </w:rPr>
        <w:t>Slc17a6</w:t>
      </w:r>
      <w:r>
        <w:rPr>
          <w:rFonts w:ascii="Arial" w:eastAsia="Arial Unicode MS" w:hAnsi="Arial" w:cs="Arial"/>
          <w:i/>
          <w:iCs/>
          <w:sz w:val="24"/>
          <w:szCs w:val="24"/>
          <w:lang w:val="en-US"/>
        </w:rPr>
        <w:t xml:space="preserve"> </w:t>
      </w:r>
      <w:r>
        <w:rPr>
          <w:rFonts w:ascii="Arial" w:eastAsia="Arial Unicode MS" w:hAnsi="Arial" w:cs="Arial"/>
          <w:sz w:val="24"/>
          <w:szCs w:val="24"/>
          <w:lang w:val="en-US"/>
        </w:rPr>
        <w:t xml:space="preserve">gene (up-regulated in both male and females with ACE), was found to be increased in NAcc post-mortem samples of people with a diagnosis of schizophrenia </w:t>
      </w:r>
      <w:r>
        <w:rPr>
          <w:rFonts w:ascii="Arial" w:eastAsia="Arial Unicode MS" w:hAnsi="Arial" w:cs="Arial"/>
          <w:sz w:val="24"/>
          <w:szCs w:val="24"/>
          <w:lang w:val="en-US"/>
        </w:rPr>
        <w:fldChar w:fldCharType="begin" w:fldLock="1"/>
      </w:r>
      <w:r>
        <w:rPr>
          <w:rFonts w:ascii="Arial" w:eastAsia="Arial Unicode MS" w:hAnsi="Arial" w:cs="Arial"/>
          <w:sz w:val="24"/>
          <w:szCs w:val="24"/>
          <w:lang w:val="en-US"/>
        </w:rPr>
        <w:instrText>ADDIN CSL_CITATION {"citationItems":[{"id":"ITEM-1","itemData":{"DOI":"10.1016/j.schres.2015.08.041","ISSN":"15732509","PMID":"26386900","abstract":"The nucleus accumbens (NAcc) is often implicated in schizophrenia (SZ) pathology, but with little evidence to support its role. This study examined postmortem human tissue to determine if abnormalities are present in the dopaminergic or glutamatergic systems in the NAcc in SZ. We compared the protein levels of tyrosine hydroxylase (TH) and vesicular glutamate transporters vGLUT1 and vGLUT2 in control (n=7) and schizophrenia (n=13) subjects using Western blot analysis. The SZ subjects were further divided by treatment status: SZ on-drug (SZ-ON, n=6) and SZ off-drug (SZ-OFF, n=7), to assess the effects of antipsychotic treatment. TH protein levels were similar between control and SZ subjects, and there was no difference between SZ-ON and SZ-OFF subjects. Protein levels of vGLUT1 were similar in control and SZ subjects, and there was no difference in vGLUT1 protein levels between SZ-ON and SZ-OFF subjects. In contrast, vGLUT2 protein levels were significantly elevated in the SZ group (25% increase). Protein levels of vGLUT2 did not differ between SZ-ON and SZ-OFF subjects. Similar levels of TH suggest the presynaptic DA pathway may be normal in the NAcc in SZ. The elevated vGLUT2 protein levels, but not vGLUT1, suggest the NAcc receives increased glutamatergic input in SZ, possibly from thalamic or other subcortical origins. The similarity between SZ-ON and SZ-OFF subjects suggests that the results are not caused by APD treatment. These findings provide further insight into the role of the NAcc in SZ.","author":[{"dropping-particle":"","family":"McCollum","given":"Lesley A.","non-dropping-particle":"","parse-names":false,"suffix":""},{"dropping-particle":"","family":"Roberts","given":"Rosalinda C.","non-dropping-particle":"","parse-names":false,"suffix":""}],"container-title":"Schizophrenia Research","id":"ITEM-1","issue":"1-3","issued":{"date-parts":[["2015","12","1"]]},"page":"369-373","publisher":"Schizophr Res","title":"Uncovering the role of the nucleus accumbens in schizophrenia: A postmortem analysis of tyrosine hydroxylase and vesicular glutamate transporters","type":"article-journal","volume":"169"},"uris":["http://www.mendeley.com/documents/?uuid=6ed248d1-d47b-3938-8bb4-4093246bee9c"]},{"id":"ITEM-2","itemData":{"DOI":"10.1016/j.schres.2020.01.016","ISSN":"15732509","PMID":"32014360","abstract":"The aim of this paper is to summarize ultrastructural evidence for glutamatergic dysregulation in several linked regions in postmortem schizophrenia brain. Following a brief summary of glutamate circuitry and how synapses are identified at the electron microscopic (EM) level, we will review EM pathology in the cortex and basal ganglia. We will include the effects of antipsychotic drugs and the relation of treatment response. We will discuss how these findings support or confirm other postmortem findings as well as imaging results. Briefly, synaptic and mitochondrial density in anterior cingulate cortex was decreased in schizophrenia, versus normal controls (NCs), in a selective layer specific pattern. In dorsal striatum, increases in excitatory synaptic density were detected in caudate matrix, a compartment associated with cognitive and motor function, and in the putamen patches, a region associated with limbic function and in the core of the nucleus accumbens. Patients who were treatment resistant or untreated had significantly elevated numbers of excitatory synapses in limbic striatal areas in comparison to NCs and responders. Protein levels of vGLUT2, found in subcortical glutamatergic neurons, were increased in the nucleus accumbens in schizophrenia. At the EM level, schizophrenia subjects had an increase in density of excitatory synapses in several areas of the basal ganglia. In the substantia nigra, the protein levels of vGLUT2 were elevated in untreated patients compared to NCs. The density of inhibitory synapses was decreased in schizophrenia versus NCs. In schizophrenia, glutamatergic synapses are differentially affected depending on the brain region, treatment status, and treatment response.","author":[{"dropping-particle":"","family":"Roberts","given":"Rosalinda C.","non-dropping-particle":"","parse-names":false,"suffix":""},{"dropping-particle":"","family":"McCollum","given":"Lesley A.","non-dropping-particle":"","parse-names":false,"suffix":""},{"dropping-particle":"","family":"Schoonover","given":"Kirsten E.","non-dropping-particle":"","parse-names":false,"suffix":""},{"dropping-particle":"","family":"Mabry","given":"Samuel J.","non-dropping-particle":"","parse-names":false,"suffix":""},{"dropping-particle":"","family":"Roche","given":"Joy K.","non-dropping-particle":"","parse-names":false,"suffix":""},{"dropping-particle":"","family":"Lahti","given":"Adrienne C.","non-dropping-particle":"","parse-names":false,"suffix":""}],"container-title":"Schizophrenia Research","id":"ITEM-2","issued":{"date-parts":[["2020"]]},"publisher":"Schizophr Res","title":"Ultrastructural evidence for glutamatergic dysregulation in schizophrenia","type":"article-journal"},"uris":["http://www.mendeley.com/documents/?uuid=ab3ebef3-b6c9-3d20-a5d7-7c59cba19224"]}],"mendeley":{"formattedCitation":"(McCollum and Roberts, 2015; Roberts et al., 2020)","plainTextFormattedCitation":"(McCollum and Roberts, 2015; Roberts et al., 2020)","previouslyFormattedCitation":"(McCollum and Roberts, 2015; Roberts et al., 2020)"},"properties":{"noteIndex":0},"schema":"https://github.com/citation-style-language/schema/raw/master/csl-citation.json"}</w:instrText>
      </w:r>
      <w:r>
        <w:rPr>
          <w:rFonts w:ascii="Arial" w:eastAsia="Arial Unicode MS" w:hAnsi="Arial" w:cs="Arial"/>
          <w:sz w:val="24"/>
          <w:szCs w:val="24"/>
          <w:lang w:val="en-US"/>
        </w:rPr>
        <w:fldChar w:fldCharType="separate"/>
      </w:r>
      <w:r w:rsidRPr="005A4156">
        <w:rPr>
          <w:rFonts w:ascii="Arial" w:eastAsia="Arial Unicode MS" w:hAnsi="Arial" w:cs="Arial"/>
          <w:noProof/>
          <w:sz w:val="24"/>
          <w:szCs w:val="24"/>
          <w:lang w:val="en-US"/>
        </w:rPr>
        <w:t>(McCollum and Roberts, 2015; Roberts et al., 2020)</w:t>
      </w:r>
      <w:r>
        <w:rPr>
          <w:rFonts w:ascii="Arial" w:eastAsia="Arial Unicode MS" w:hAnsi="Arial" w:cs="Arial"/>
          <w:sz w:val="24"/>
          <w:szCs w:val="24"/>
          <w:lang w:val="en-US"/>
        </w:rPr>
        <w:fldChar w:fldCharType="end"/>
      </w:r>
      <w:r>
        <w:rPr>
          <w:rFonts w:ascii="Arial" w:eastAsia="Arial Unicode MS" w:hAnsi="Arial" w:cs="Arial"/>
          <w:sz w:val="24"/>
          <w:szCs w:val="24"/>
          <w:lang w:val="en-US"/>
        </w:rPr>
        <w:t xml:space="preserve"> although other studies found no changes </w:t>
      </w:r>
      <w:r>
        <w:rPr>
          <w:rFonts w:ascii="Arial" w:eastAsia="Arial Unicode MS" w:hAnsi="Arial" w:cs="Arial"/>
          <w:sz w:val="24"/>
          <w:szCs w:val="24"/>
          <w:lang w:val="en-US"/>
        </w:rPr>
        <w:fldChar w:fldCharType="begin" w:fldLock="1"/>
      </w:r>
      <w:r>
        <w:rPr>
          <w:rFonts w:ascii="Arial" w:eastAsia="Arial Unicode MS" w:hAnsi="Arial" w:cs="Arial"/>
          <w:sz w:val="24"/>
          <w:szCs w:val="24"/>
          <w:lang w:val="en-US"/>
        </w:rPr>
        <w:instrText>ADDIN CSL_CITATION {"citationItems":[{"id":"ITEM-1","itemData":{"DOI":"10.1016/j.biopsych.2007.10.020","ISSN":"00063223","PMID":"18155679","abstract":"Background: Schizophrenia is a chronic, severe mental illness with profound emotional and economic burdens for those afflicted and their families. An increasing number of studies have found that schizophrenia is marked by dysregulation of glutamatergic neurotransmission. While numerous studies have found alterations of postsynaptic molecules in schizophrenia, a growing body of evidence implicates presynaptic factors. Vesicular glutamate transporters (VGLUTs) have been identified and are known to package glutamate into vesicles in the presynaptic terminal for subsequent release into the synaptic cleft. Recent studies have shown that VGLUTs regulate synaptic activity via the amount of glutamate released. Accordingly, we hypothesized that VGLUTs are altered in schizophrenia, contributing to dysfunction of presynaptic activity. Methods: Using in situ hybridization and Western blot analysis, we investigated alterations in VGLUT1 and VGLUT2 transcript and protein expression in the anterior cingulate cortex (ACC) and dorsolateral prefrontal cortex (DLPFC) of subjects with schizophrenia and a comparison group. Results: We found increased VGLUT1 transcript and reduced VGLUT1 protein expression in the ACC, but not DLPFC, in schizophrenia. Vesicular glutamate transporter 2 was unchanged at both levels of gene expression. We did not find changes in VGLUT1 messenger RNA (mRNA) or protein levels following 28-day treatment of rats with haloperidol (2 mg/kg/day), suggesting that our findings in schizophrenia are not due to an effect of antipsychotic treatment. Conclusions: Overall, our data suggest decreased glutamate release in the ACC, as well as discordant regulation of VGLUT1 expression at different levels of gene expression. © 2008 Society of Biological Psychiatry.","author":[{"dropping-particle":"","family":"Oni-Orisan","given":"Akin","non-dropping-particle":"","parse-names":false,"suffix":""},{"dropping-particle":"V.","family":"Kristiansen","given":"Lars","non-dropping-particle":"","parse-names":false,"suffix":""},{"dropping-particle":"","family":"Haroutunian","given":"Vahram","non-dropping-particle":"","parse-names":false,"suffix":""},{"dropping-particle":"","family":"Meador-Woodruff","given":"James H.","non-dropping-particle":"","parse-names":false,"suffix":""},{"dropping-particle":"","family":"McCullumsmith","given":"Robert E.","non-dropping-particle":"","parse-names":false,"suffix":""}],"container-title":"Biological Psychiatry","id":"ITEM-1","issue":"8","issued":{"date-parts":[["2008","4","15"]]},"page":"766-775","publisher":"Biol Psychiatry","title":"Altered Vesicular Glutamate Transporter Expression in the Anterior Cingulate Cortex in Schizophrenia","type":"article-journal","volume":"63"},"uris":["http://www.mendeley.com/documents/?uuid=8a18a007-a7b8-3c7b-823d-60b5bfbc5de9"]}],"mendeley":{"formattedCitation":"(Oni-Orisan et al., 2008)","plainTextFormattedCitation":"(Oni-Orisan et al., 2008)","previouslyFormattedCitation":"(Oni-Orisan et al., 2008)"},"properties":{"noteIndex":0},"schema":"https://github.com/citation-style-language/schema/raw/master/csl-citation.json"}</w:instrText>
      </w:r>
      <w:r>
        <w:rPr>
          <w:rFonts w:ascii="Arial" w:eastAsia="Arial Unicode MS" w:hAnsi="Arial" w:cs="Arial"/>
          <w:sz w:val="24"/>
          <w:szCs w:val="24"/>
          <w:lang w:val="en-US"/>
        </w:rPr>
        <w:fldChar w:fldCharType="separate"/>
      </w:r>
      <w:r w:rsidRPr="00494D8B">
        <w:rPr>
          <w:rFonts w:ascii="Arial" w:eastAsia="Arial Unicode MS" w:hAnsi="Arial" w:cs="Arial"/>
          <w:noProof/>
          <w:sz w:val="24"/>
          <w:szCs w:val="24"/>
          <w:lang w:val="en-US"/>
        </w:rPr>
        <w:t>(Oni-Orisan et al., 2008)</w:t>
      </w:r>
      <w:r>
        <w:rPr>
          <w:rFonts w:ascii="Arial" w:eastAsia="Arial Unicode MS" w:hAnsi="Arial" w:cs="Arial"/>
          <w:sz w:val="24"/>
          <w:szCs w:val="24"/>
          <w:lang w:val="en-US"/>
        </w:rPr>
        <w:fldChar w:fldCharType="end"/>
      </w:r>
      <w:r>
        <w:rPr>
          <w:rFonts w:ascii="Arial" w:eastAsia="Arial Unicode MS" w:hAnsi="Arial" w:cs="Arial"/>
          <w:sz w:val="24"/>
          <w:szCs w:val="24"/>
          <w:lang w:val="en-US"/>
        </w:rPr>
        <w:t xml:space="preserve">. Interestingly, among the females, we observed a down-regulation of another vesicular glutamate transporter, the VGlut1, encoded by the </w:t>
      </w:r>
      <w:r w:rsidRPr="00941281">
        <w:rPr>
          <w:rFonts w:ascii="Arial" w:eastAsia="Arial Unicode MS" w:hAnsi="Arial" w:cs="Arial"/>
          <w:i/>
          <w:iCs/>
          <w:sz w:val="24"/>
          <w:szCs w:val="24"/>
          <w:lang w:val="en-US"/>
        </w:rPr>
        <w:t>Slc17a7</w:t>
      </w:r>
      <w:r>
        <w:rPr>
          <w:rFonts w:ascii="Arial" w:eastAsia="Arial Unicode MS" w:hAnsi="Arial" w:cs="Arial"/>
          <w:sz w:val="24"/>
          <w:szCs w:val="24"/>
          <w:lang w:val="en-US"/>
        </w:rPr>
        <w:t xml:space="preserve"> gene, which has also been proposed to play a role in schizophrenia </w:t>
      </w:r>
      <w:r>
        <w:rPr>
          <w:rFonts w:ascii="Arial" w:eastAsia="Arial Unicode MS" w:hAnsi="Arial" w:cs="Arial"/>
          <w:sz w:val="24"/>
          <w:szCs w:val="24"/>
          <w:lang w:val="en-US"/>
        </w:rPr>
        <w:fldChar w:fldCharType="begin" w:fldLock="1"/>
      </w:r>
      <w:r>
        <w:rPr>
          <w:rFonts w:ascii="Arial" w:eastAsia="Arial Unicode MS" w:hAnsi="Arial" w:cs="Arial"/>
          <w:sz w:val="24"/>
          <w:szCs w:val="24"/>
          <w:lang w:val="en-US"/>
        </w:rPr>
        <w:instrText>ADDIN CSL_CITATION {"citationItems":[{"id":"ITEM-1","itemData":{"DOI":"10.1007/978-3-211-73574-9_34","ISBN":"9783211735732","ISSN":"03036995","PMID":"17982904","abstract":"Abnormal glutamate neurotransmission has been implicated in the pathophysiology of schizophrenia. In the present study we investigated two potential neuronal glutamatergic markers, the Excitatory Amino Acid Transporter 3 (EAAT3) and the Vesicular Glutamate Transporter 1 (VGluTl), in post-mortem striatal tissue from control subjects and from subjects with schizophrenia (n= 15 per group). We also investigated the possible influence of chronic antipsychotic administration (typical and atyp ical) on striatal VGluTl expression in the rat brain. We found deficits in EAAT3 in all striatal regions examined in schizophrenia when compared to controls. Following correction for confounding factors (post-mortem interval), these deficits only remained significant in the caudate nucleus (p = 0.019). We also found significant deficits in VGluTl in the caudate nucleus (p = 0.009) in schizophrenia. There were no significant differences in VGluTl in the striatum of antipsychotic treated rats when compared to their vehicle treated controls. The data provides additional evidence for a glutamatergic synaptic pathology in the caudate nucleus in schizophrenia and may reflect a loss of glutamatergic cortico-striatal pathways. The absence of an effect of antipsychotic administration on VGluT1 indicates that the deficits in schizophrenia are unlikely to be a consequence of pharmacotherapy and thus likely to be a correlate of the disease process. © 2007 Springer-Verlag.","author":[{"dropping-particle":"","family":"Nudmamud-Thanoi","given":"S.","non-dropping-particle":"","parse-names":false,"suffix":""},{"dropping-particle":"","family":"Piyabhan","given":"P.","non-dropping-particle":"","parse-names":false,"suffix":""},{"dropping-particle":"","family":"Harte","given":"M. K.","non-dropping-particle":"","parse-names":false,"suffix":""},{"dropping-particle":"","family":"Cahir","given":"M.","non-dropping-particle":"","parse-names":false,"suffix":""},{"dropping-particle":"","family":"Reynolds","given":"G. P.","non-dropping-particle":"","parse-names":false,"suffix":""}],"container-title":"Journal of Neural Transmission, Supplementa","id":"ITEM-1","issue":"72","issued":{"date-parts":[["2007"]]},"page":"281-285","publisher":"J Neural Transm Suppl","title":"Deficits of neuronal glutamatergic markers in the caudate nucleus in schizophrenia","type":"article-journal"},"uris":["http://www.mendeley.com/documents/?uuid=a7018e15-8546-3bd3-96d9-9de5529e951b"]}],"mendeley":{"formattedCitation":"(Nudmamud-Thanoi et al., 2007)","plainTextFormattedCitation":"(Nudmamud-Thanoi et al., 2007)","previouslyFormattedCitation":"(S et al., 2007)"},"properties":{"noteIndex":0},"schema":"https://github.com/citation-style-language/schema/raw/master/csl-citation.json"}</w:instrText>
      </w:r>
      <w:r>
        <w:rPr>
          <w:rFonts w:ascii="Arial" w:eastAsia="Arial Unicode MS" w:hAnsi="Arial" w:cs="Arial"/>
          <w:sz w:val="24"/>
          <w:szCs w:val="24"/>
          <w:lang w:val="en-US"/>
        </w:rPr>
        <w:fldChar w:fldCharType="separate"/>
      </w:r>
      <w:r w:rsidRPr="00B9647A">
        <w:rPr>
          <w:rFonts w:ascii="Arial" w:eastAsia="Arial Unicode MS" w:hAnsi="Arial" w:cs="Arial"/>
          <w:noProof/>
          <w:sz w:val="24"/>
          <w:szCs w:val="24"/>
          <w:lang w:val="en-US"/>
        </w:rPr>
        <w:t>(Nudmamud-Thanoi et al., 2007)</w:t>
      </w:r>
      <w:r>
        <w:rPr>
          <w:rFonts w:ascii="Arial" w:eastAsia="Arial Unicode MS" w:hAnsi="Arial" w:cs="Arial"/>
          <w:sz w:val="24"/>
          <w:szCs w:val="24"/>
          <w:lang w:val="en-US"/>
        </w:rPr>
        <w:fldChar w:fldCharType="end"/>
      </w:r>
      <w:r>
        <w:rPr>
          <w:rFonts w:ascii="Arial" w:eastAsia="Arial Unicode MS" w:hAnsi="Arial" w:cs="Arial"/>
          <w:sz w:val="24"/>
          <w:szCs w:val="24"/>
          <w:lang w:val="en-US"/>
        </w:rPr>
        <w:t xml:space="preserve">. The Grin2d gene, coding for the </w:t>
      </w:r>
      <w:r w:rsidRPr="006A432A">
        <w:rPr>
          <w:rFonts w:ascii="Arial" w:eastAsia="Arial Unicode MS" w:hAnsi="Arial" w:cs="Arial"/>
          <w:sz w:val="24"/>
          <w:szCs w:val="24"/>
          <w:lang w:val="en-US"/>
        </w:rPr>
        <w:t xml:space="preserve">NMDA </w:t>
      </w:r>
      <w:r>
        <w:rPr>
          <w:rFonts w:ascii="Arial" w:eastAsia="Arial Unicode MS" w:hAnsi="Arial" w:cs="Arial"/>
          <w:sz w:val="24"/>
          <w:szCs w:val="24"/>
          <w:lang w:val="en-US"/>
        </w:rPr>
        <w:t>g</w:t>
      </w:r>
      <w:r w:rsidRPr="006A432A">
        <w:rPr>
          <w:rFonts w:ascii="Arial" w:eastAsia="Arial Unicode MS" w:hAnsi="Arial" w:cs="Arial"/>
          <w:sz w:val="24"/>
          <w:szCs w:val="24"/>
          <w:lang w:val="en-US"/>
        </w:rPr>
        <w:t xml:space="preserve">lutamate </w:t>
      </w:r>
      <w:r>
        <w:rPr>
          <w:rFonts w:ascii="Arial" w:eastAsia="Arial Unicode MS" w:hAnsi="Arial" w:cs="Arial"/>
          <w:sz w:val="24"/>
          <w:szCs w:val="24"/>
          <w:lang w:val="en-US"/>
        </w:rPr>
        <w:t>i</w:t>
      </w:r>
      <w:r w:rsidRPr="006A432A">
        <w:rPr>
          <w:rFonts w:ascii="Arial" w:eastAsia="Arial Unicode MS" w:hAnsi="Arial" w:cs="Arial"/>
          <w:sz w:val="24"/>
          <w:szCs w:val="24"/>
          <w:lang w:val="en-US"/>
        </w:rPr>
        <w:t xml:space="preserve">onotropic </w:t>
      </w:r>
      <w:r>
        <w:rPr>
          <w:rFonts w:ascii="Arial" w:eastAsia="Arial Unicode MS" w:hAnsi="Arial" w:cs="Arial"/>
          <w:sz w:val="24"/>
          <w:szCs w:val="24"/>
          <w:lang w:val="en-US"/>
        </w:rPr>
        <w:t>r</w:t>
      </w:r>
      <w:r w:rsidRPr="006A432A">
        <w:rPr>
          <w:rFonts w:ascii="Arial" w:eastAsia="Arial Unicode MS" w:hAnsi="Arial" w:cs="Arial"/>
          <w:sz w:val="24"/>
          <w:szCs w:val="24"/>
          <w:lang w:val="en-US"/>
        </w:rPr>
        <w:t xml:space="preserve">eceptor 2D </w:t>
      </w:r>
      <w:r>
        <w:rPr>
          <w:rFonts w:ascii="Arial" w:eastAsia="Arial Unicode MS" w:hAnsi="Arial" w:cs="Arial"/>
          <w:sz w:val="24"/>
          <w:szCs w:val="24"/>
          <w:lang w:val="en-US"/>
        </w:rPr>
        <w:t>s</w:t>
      </w:r>
      <w:r w:rsidRPr="006A432A">
        <w:rPr>
          <w:rFonts w:ascii="Arial" w:eastAsia="Arial Unicode MS" w:hAnsi="Arial" w:cs="Arial"/>
          <w:sz w:val="24"/>
          <w:szCs w:val="24"/>
          <w:lang w:val="en-US"/>
        </w:rPr>
        <w:t xml:space="preserve">ubunit </w:t>
      </w:r>
      <w:r>
        <w:rPr>
          <w:rFonts w:ascii="Arial" w:eastAsia="Arial Unicode MS" w:hAnsi="Arial" w:cs="Arial"/>
          <w:sz w:val="24"/>
          <w:szCs w:val="24"/>
          <w:lang w:val="en-US"/>
        </w:rPr>
        <w:t xml:space="preserve">(up-regulated in females with ACE) is another glutamate-related gene that has been related to schizophrenia in some studies </w:t>
      </w:r>
      <w:r>
        <w:rPr>
          <w:rFonts w:ascii="Arial" w:eastAsia="Arial Unicode MS" w:hAnsi="Arial" w:cs="Arial"/>
          <w:sz w:val="24"/>
          <w:szCs w:val="24"/>
          <w:lang w:val="en-US"/>
        </w:rPr>
        <w:fldChar w:fldCharType="begin" w:fldLock="1"/>
      </w:r>
      <w:r>
        <w:rPr>
          <w:rFonts w:ascii="Arial" w:eastAsia="Arial Unicode MS" w:hAnsi="Arial" w:cs="Arial"/>
          <w:sz w:val="24"/>
          <w:szCs w:val="24"/>
          <w:lang w:val="en-US"/>
        </w:rPr>
        <w:instrText xml:space="preserve">ADDIN CSL_CITATION {"citationItems":[{"id":"ITEM-1","itemData":{"DOI":"10.1097/00041444-200509000-00014","ISSN":"09558829","PMID":"16094258","abstract":"Objectives: The glutamatergic dysfunction is one of the main hypotheses for the pathophysiology of schizophrenia. N-methyl-D-aspartate receptors are of major interest because phencyclidine, a non-competitive antagonist of N-methyl-D-aspartate receptors, produces a schizophrenia-like psychosis. Therefore, the genes encoding N-methyl-D-aspartate receptor subunits are strong candidates for schizophrenia susceptibility genes. We focused on the N-methyl-D-aspartate receptor subunit NR2D gene in the case-control study of schizophrenia. Methods: We screened for polymorphisms in exons, exon-intron boundaries and </w:instrText>
      </w:r>
      <w:r>
        <w:rPr>
          <w:rFonts w:ascii="Arial" w:eastAsia="Arial Unicode MS" w:hAnsi="Arial" w:cs="Arial" w:hint="eastAsia"/>
          <w:sz w:val="24"/>
          <w:szCs w:val="24"/>
          <w:lang w:val="en-US"/>
        </w:rPr>
        <w:instrText>the 5</w:instrText>
      </w:r>
      <w:r>
        <w:rPr>
          <w:rFonts w:ascii="Arial" w:eastAsia="Arial Unicode MS" w:hAnsi="Arial" w:cs="Arial" w:hint="eastAsia"/>
          <w:sz w:val="24"/>
          <w:szCs w:val="24"/>
          <w:lang w:val="en-US"/>
        </w:rPr>
        <w:instrText>′</w:instrText>
      </w:r>
      <w:r>
        <w:rPr>
          <w:rFonts w:ascii="Arial" w:eastAsia="Arial Unicode MS" w:hAnsi="Arial" w:cs="Arial" w:hint="eastAsia"/>
          <w:sz w:val="24"/>
          <w:szCs w:val="24"/>
          <w:lang w:val="en-US"/>
        </w:rPr>
        <w:instrText xml:space="preserve"> upstream region of GRIN2D by direct sequencing in 32 Japanese patients. Out of the total 13 single-nucleotide polymorphisms identified, we genotyped 200-201 Japanese patients and 219-221 controls for nine common single-nucleotide polymorphisms (min</w:instrText>
      </w:r>
      <w:r>
        <w:rPr>
          <w:rFonts w:ascii="Arial" w:eastAsia="Arial Unicode MS" w:hAnsi="Arial" w:cs="Arial"/>
          <w:sz w:val="24"/>
          <w:szCs w:val="24"/>
          <w:lang w:val="en-US"/>
        </w:rPr>
        <w:instrText>or allele frequency over 0.05). Results: None of the nine single-nucleotide polymorphisms showed significant differences in genotype and allele frequencies between cases and controls. We observed significant associations of pairwise haplotypes in three combinations of four single-nucleotide polymorphisms, INT10SNP-EX13SNP2, EX13SNP2-EX13SNP3 and EX6SNP-EX13SNP2, with the disease even after the Bonferroni correction (P=1.094 × 10-6, Pcorrected=2.297 × 10 -5, P=2.825 × 10-6, Pcorrected=5.933 × 10-5 and P=2.02 × 10-4, P corrected=4.242 × 10-3, respectively). The same results were also obtained using the false discovery rate (BL) method at the threshold P value, 2.908 × 10-3. Conclusions: We conclude that the GRIN2D locus is a possible genomic region contributing to schizophrenia susceptibility in the Japanese population. © 2005 Lippincott Williams &amp; Wilkins.","author":[{"dropping-particle":"","family":"Makino","given":"Chieko","non-dropping-particle":"","parse-names":false,"suffix":""},{"dropping-particle":"","family":"Shibata","given":"Hiroki","non-dropping-particle":"","parse-names":false,"suffix":""},{"dropping-particle":"","family":"Ninomiya","given":"Hideaki","non-dropping-particle":"","parse-names":false,"suffix":""},{"dropping-particle":"","family":"Tashiro","given":"Nobutada","non-dropping-particle":"","parse-names":false,"suffix":""},{"dropping-particle":"","family":"Fukumaki","given":"Yasuyuki","non-dropping-particle":"","parse-names":false,"suffix":""}],"container-title":"Psychiatric Genetics","id":"ITEM-1","issue":"3","issued":{"date-parts":[["2005","9"]]},"page":"215-221","publisher":"Psychiatr Genet","title":"Identification of single-nucleotide polymorphisms in the human N-methyl-D-aspartate receptor subunit NR2D gene, GRIN2D, and association study with schizophrenia","type":"article-journal","volume":"15"},"uris":["http://www.mendeley.com/documents/?uuid=52d36e80-7f65-380f-9bca-ceddd41b1d7f"]}],"mendeley":{"formattedCitation":"(Makino et al., 2005)","plainTextFormattedCitation":"(Makino et al., 2005)","previouslyFormattedCitation":"(Makino et al., 2005)"},"properties":{"noteIndex":0},"schema":"https://github.com/citation-style-language/schema/raw/master/csl-citation.json"}</w:instrText>
      </w:r>
      <w:r>
        <w:rPr>
          <w:rFonts w:ascii="Arial" w:eastAsia="Arial Unicode MS" w:hAnsi="Arial" w:cs="Arial"/>
          <w:sz w:val="24"/>
          <w:szCs w:val="24"/>
          <w:lang w:val="en-US"/>
        </w:rPr>
        <w:fldChar w:fldCharType="separate"/>
      </w:r>
      <w:r w:rsidRPr="005C2CCE">
        <w:rPr>
          <w:rFonts w:ascii="Arial" w:eastAsia="Arial Unicode MS" w:hAnsi="Arial" w:cs="Arial"/>
          <w:noProof/>
          <w:sz w:val="24"/>
          <w:szCs w:val="24"/>
          <w:lang w:val="en-US"/>
        </w:rPr>
        <w:t>(Makino et al., 2005)</w:t>
      </w:r>
      <w:r>
        <w:rPr>
          <w:rFonts w:ascii="Arial" w:eastAsia="Arial Unicode MS" w:hAnsi="Arial" w:cs="Arial"/>
          <w:sz w:val="24"/>
          <w:szCs w:val="24"/>
          <w:lang w:val="en-US"/>
        </w:rPr>
        <w:fldChar w:fldCharType="end"/>
      </w:r>
      <w:r>
        <w:rPr>
          <w:rFonts w:ascii="Arial" w:eastAsia="Arial Unicode MS" w:hAnsi="Arial" w:cs="Arial"/>
          <w:sz w:val="24"/>
          <w:szCs w:val="24"/>
          <w:lang w:val="en-US"/>
        </w:rPr>
        <w:t xml:space="preserve"> although there have also been reports where no associations were detected </w:t>
      </w:r>
      <w:r>
        <w:rPr>
          <w:rFonts w:ascii="Arial" w:eastAsia="Arial Unicode MS" w:hAnsi="Arial" w:cs="Arial"/>
          <w:sz w:val="24"/>
          <w:szCs w:val="24"/>
          <w:lang w:val="en-US"/>
        </w:rPr>
        <w:fldChar w:fldCharType="begin" w:fldLock="1"/>
      </w:r>
      <w:r>
        <w:rPr>
          <w:rFonts w:ascii="Arial" w:eastAsia="Arial Unicode MS" w:hAnsi="Arial" w:cs="Arial"/>
          <w:sz w:val="24"/>
          <w:szCs w:val="24"/>
          <w:lang w:val="en-US"/>
        </w:rPr>
        <w:instrText>ADDIN CSL_CITATION {"citationItems":[{"id":"ITEM-1","itemData":{"DOI":"10.1038/tp.2011.52","ISSN":"21583188","PMID":"22833210","abstract":"Pharmacological, genetic and expression studies implicate N-methyl-D-aspartate (NMDA) receptor hypofunction in schizophrenia (SCZ). Similarly, several lines of evidence suggest that autism spectrum disorders (ASD) could be due to an imbalance between excitatory and inhibitory neurotransmission. As part of a project aimed at exploring rare and/or de novo mutations in neurodevelopmental disorders, we have sequenced the seven genes encoding for NMDA receptor subunits (NMDARs) in a large cohort of individuals affected with SCZ or ASD (n429 and 428, respectively), parents of these subjects and controls (n568). Here, we identified two de novo mutations in patients with sporadic SCZ in GRIN2A and one de novo mutation in GRIN2B in a patient with ASD. Truncating mutations in GRIN2C, GRIN3A and GRIN3B were identified in both subjects and controls, but no truncating mutations were found in the GRIN1, GRIN2A, GRIN2B and GRIN2D genes, both in patients and controls, suggesting that these subunits are critical for neurodevelopment. The present results support the hypothesis that rare de novo mutations in GRIN2A or GRIN2B can be associated with cases of sporadic SCZ or ASD, just as it has recently been described for the related neurodevelopmental disease intellectual disability. The influence of genetic variants appears different, depending on NMDAR subunits. Functional compensation could occur to counteract the loss of one allele in GRIN2C and GRIN3 family genes, whereas GRIN1, GRIN2A, GRIN2B and GRIN2D appear instrumental to normal brain development and function. © 2011 Macmillan Publishers Limited All rights reserved.","author":[{"dropping-particle":"","family":"Tarabeux","given":"J.","non-dropping-particle":"","parse-names":false,"suffix":""},{"dropping-particle":"","family":"Kebir","given":"O.","non-dropping-particle":"","parse-names":false,"suffix":""},{"dropping-particle":"","family":"Gauthier","given":"J.","non-dropping-particle":"","parse-names":false,"suffix":""},{"dropping-particle":"","family":"Hamdan","given":"F. F.","non-dropping-particle":"","parse-names":false,"suffix":""},{"dropping-particle":"","family":"Xiong","given":"L.","non-dropping-particle":"","parse-names":false,"suffix":""},{"dropping-particle":"","family":"Piton","given":"A.","non-dropping-particle":"","parse-names":false,"suffix":""},{"dropping-particle":"","family":"Spiegelman","given":"D.","non-dropping-particle":"","parse-names":false,"suffix":""},{"dropping-particle":"","family":"Henrion","given":"","non-dropping-particle":"","parse-names":false,"suffix":""},{"dropping-particle":"","family":"Millet","given":"B.","non-dropping-particle":"","parse-names":false,"suffix":""},{"dropping-particle":"","family":"Fathalli","given":"F.","non-dropping-particle":"","parse-names":false,"suffix":""},{"dropping-particle":"","family":"Joober","given":"R.","non-dropping-particle":"","parse-names":false,"suffix":""},{"dropping-particle":"","family":"Rapoport","given":"J. L.","non-dropping-particle":"","parse-names":false,"suffix":""},{"dropping-particle":"","family":"Delisi","given":"L. E.","non-dropping-particle":"","parse-names":false,"suffix":""},{"dropping-particle":"","family":"Fombonne","given":"E.","non-dropping-particle":"","parse-names":false,"suffix":""},{"dropping-particle":"","family":"Mottron","given":"L.","non-dropping-particle":"","parse-names":false,"suffix":""},{"dropping-particle":"","family":"Forget-Dubois","given":"N.","non-dropping-particle":"","parse-names":false,"suffix":""},{"dropping-particle":"","family":"Boivin","given":"M.","non-dropping-particle":"","parse-names":false,"suffix":""},{"dropping-particle":"","family":"Michaud","given":"J. L.","non-dropping-particle":"","parse-names":false,"suffix":""},{"dropping-particle":"","family":"Drapeau","given":"P.","non-dropping-particle":"","parse-names":false,"suffix":""},{"dropping-particle":"","family":"Lafrenière","given":"R. G.","non-dropping-particle":"","parse-names":false,"suffix":""},{"dropping-particle":"","family":"Rouleau","given":"G. A.","non-dropping-particle":"","parse-names":false,"suffix":""},{"dropping-particle":"","family":"Krebs","given":"M. O.","non-dropping-particle":"","parse-names":false,"suffix":""}],"container-title":"Translational Psychiatry","id":"ITEM-1","issue":"11","issued":{"date-parts":[["2011"]]},"publisher":"Transl Psychiatry","title":"Rare mutations in N-methyl-D-aspartate glutamate receptors in autism spectrum disorders and schizophrenia","type":"article-journal","volume":"1"},"uris":["http://www.mendeley.com/documents/?uuid=734c418e-5781-3b7a-aaab-57f80e02b4d4"]},{"id":"ITEM-2","itemData":{"DOI":"10.1002/ajmg.b.31234","ISSN":"15524841","PMID":"21919190","abstract":"N-methyl-D-aspartate (NMDA) receptors are very important for proper brain development and several lines of evidence support that hypofunction of the NMDA receptors are involved in the pathophysiology of schizophrenia. Gene variation and gene-environmental interactions involving the genes encoding the NMDA receptors are therefore likely to influence the risk of schizophrenia. The aim of this study was to determine (1) whether SNP variation in the genes (GRIN1, GRIN2A, GRIN2B, GRIN2C, and GRIN2D) encoding the NMDA receptor were associated with schizophrenia; (2) whether GRIN gene variation in the offspring interacted with maternal herpes simplex virus-2 (HSV-2) seropositivity during pregnancy influencing the risk of schizophrenia later in life. Individuals from three independently collected Danish case control samples were genotyped for 81 tagSNPs (in total 984 individuals diagnosed with schizophrenia and 1,500 control persons) and antibodies against maternal HSV-2 infection were measured in one of the samples (365 cases and 365 controls). Nine SNPs out of 30 in GRIN2B were significantly associated with schizophrenia. One SNP remained significant after Bonferroni correction (rs1806194, Pnominal=0.0008). Significant interaction between maternal HSV-2 seropositivity and GRIN2B genetic variation in the offspring were observed for seven SNPs and two remained significant after Bonferroni correction (rs1805539, Pnominal=0.0001 and rs1806205, Pnominal=0.0008). The significant associations and interactions were located at the 3' region of GRIN2B suggesting that genetic variation in this part of the gene may be involved in the pathophysiology of schizophrenia. © 2011 Wiley Periodicals, Inc.","author":[{"dropping-particle":"","family":"Demontis","given":"Ditte","non-dropping-particle":"","parse-names":false,"suffix":""},{"dropping-particle":"","family":"Nyegaard","given":"Mette","non-dropping-particle":"","parse-names":false,"suffix":""},{"dropping-particle":"","family":"Buttenschøn","given":"Henriette N.","non-dropping-particle":"","parse-names":false,"suffix":""},{"dropping-particle":"","family":"Hedemand","given":"Anne","non-dropping-particle":"","parse-names":false,"suffix":""},{"dropping-particle":"","family":"Pedersen","given":"Carsten B.","non-dropping-particle":"","parse-names":false,"suffix":""},{"dropping-particle":"","family":"Grove","given":"Jakob","non-dropping-particle":"","parse-names":false,"suffix":""},{"dropping-particle":"","family":"Flint","given":"Tracey J.","non-dropping-particle":"","parse-names":false,"suffix":""},{"dropping-particle":"","family":"Nordentoft","given":"Merete","non-dropping-particle":"","parse-names":false,"suffix":""},{"dropping-particle":"","family":"Werge","given":"Thomas","non-dropping-particle":"","parse-names":false,"suffix":""},{"dropping-particle":"","family":"Hougaard","given":"David M.","non-dropping-particle":"","parse-names":false,"suffix":""},{"dropping-particle":"","family":"Sørensen","given":"Karina M.","non-dropping-particle":"","parse-names":false,"suffix":""},{"dropping-particle":"","family":"Yolken","given":"Robert H.","non-dropping-particle":"","parse-names":false,"suffix":""},{"dropping-particle":"","family":"Mors","given":"Ole","non-dropping-particle":"","parse-names":false,"suffix":""},{"dropping-particle":"","family":"Børglum","given":"Anders D.","non-dropping-particle":"","parse-names":false,"suffix":""},{"dropping-particle":"","family":"Mortensen","given":"Preben Bo","non-dropping-particle":"","parse-names":false,"suffix":""}],"container-title":"American Journal of Medical Genetics, Part B: Neuropsychiatric Genetics","id":"ITEM-2","issue":"8","issued":{"date-parts":[["2011","12"]]},"page":"913-922","publisher":"Am J Med Genet B Neuropsychiatr Genet","title":"Association of GRIN1 and GRIN2A-D With schizophrenia and genetic interaction with maternal herpes simplex virus-2 infection affecting disease risk","type":"article-journal","volume":"156"},"uris":["http://www.mendeley.com/documents/?uuid=39f6d55b-1266-3885-8314-59f00a276de4"]}],"mendeley":{"formattedCitation":"(Demontis et al., 2011; Tarabeux et al., 2011)","plainTextFormattedCitation":"(Demontis et al., 2011; Tarabeux et al., 2011)","previouslyFormattedCitation":"(Demontis et al., 2011; Tarabeux et al., 2011)"},"properties":{"noteIndex":0},"schema":"https://github.com/citation-style-language/schema/raw/master/csl-citation.json"}</w:instrText>
      </w:r>
      <w:r>
        <w:rPr>
          <w:rFonts w:ascii="Arial" w:eastAsia="Arial Unicode MS" w:hAnsi="Arial" w:cs="Arial"/>
          <w:sz w:val="24"/>
          <w:szCs w:val="24"/>
          <w:lang w:val="en-US"/>
        </w:rPr>
        <w:fldChar w:fldCharType="separate"/>
      </w:r>
      <w:r w:rsidRPr="00EA7793">
        <w:rPr>
          <w:rFonts w:ascii="Arial" w:eastAsia="Arial Unicode MS" w:hAnsi="Arial" w:cs="Arial"/>
          <w:noProof/>
          <w:sz w:val="24"/>
          <w:szCs w:val="24"/>
          <w:lang w:val="en-US"/>
        </w:rPr>
        <w:t>(Demontis et al., 2011; Tarabeux et al., 2011)</w:t>
      </w:r>
      <w:r>
        <w:rPr>
          <w:rFonts w:ascii="Arial" w:eastAsia="Arial Unicode MS" w:hAnsi="Arial" w:cs="Arial"/>
          <w:sz w:val="24"/>
          <w:szCs w:val="24"/>
          <w:lang w:val="en-US"/>
        </w:rPr>
        <w:fldChar w:fldCharType="end"/>
      </w:r>
      <w:r>
        <w:rPr>
          <w:rFonts w:ascii="Arial" w:eastAsia="Arial Unicode MS" w:hAnsi="Arial" w:cs="Arial"/>
          <w:sz w:val="24"/>
          <w:szCs w:val="24"/>
          <w:lang w:val="en-US"/>
        </w:rPr>
        <w:t xml:space="preserve">. </w:t>
      </w:r>
    </w:p>
    <w:p w14:paraId="089C6305" w14:textId="77777777" w:rsidR="007F038D" w:rsidRDefault="007F038D" w:rsidP="007F038D">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US"/>
        </w:rPr>
        <w:lastRenderedPageBreak/>
        <w:t xml:space="preserve">Other genes related to synaptic physiology that were altered as a consequence of ACE were </w:t>
      </w:r>
      <w:r>
        <w:rPr>
          <w:rFonts w:ascii="Arial" w:eastAsia="Arial Unicode MS" w:hAnsi="Arial" w:cs="Arial"/>
          <w:sz w:val="24"/>
          <w:szCs w:val="24"/>
          <w:lang w:val="en-GB"/>
        </w:rPr>
        <w:t xml:space="preserve">the chloride-potassium exchanger </w:t>
      </w:r>
      <w:r>
        <w:rPr>
          <w:rFonts w:ascii="Arial" w:eastAsia="Arial Unicode MS" w:hAnsi="Arial" w:cs="Arial"/>
          <w:i/>
          <w:sz w:val="24"/>
          <w:szCs w:val="24"/>
          <w:lang w:val="en-GB"/>
        </w:rPr>
        <w:t>Slc12a5</w:t>
      </w:r>
      <w:r>
        <w:rPr>
          <w:rFonts w:ascii="Arial" w:eastAsia="Arial Unicode MS" w:hAnsi="Arial" w:cs="Arial"/>
          <w:sz w:val="24"/>
          <w:szCs w:val="24"/>
          <w:lang w:val="en-GB"/>
        </w:rPr>
        <w:t xml:space="preserve"> gene (down-regulated in the males with ACE)  has some transcriptomic variants associated to schizophrenia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{"citationItems":[{"id":"ITEM-1","itemData":{"DOI":"10.1523/JNEUROSCI.4626-11.2012","ISSN":"02706474","abstract":"The neuron-specific K +-Cl -cotransporter SLC12A5, also known as KCC2, helps mediate the electrophysiological effects of GABA. The pattern of KCC2 expression during early brain development suggests that its upregulation drives the postsynaptic switch of GABA from excitation to inhibition.Wepreviously found decreased expression of full-length KCC2 in the postmortem hippocampus of patients with schizophrenia, but not in the dorsolateral prefrontal cortex (DLPFC). Using PCR and rapid amplification of cDNA ends, we discovered several previously unrecognized alternative KCC2 transcripts in both human adult and fetal brain in addition to the previously identified full-length (NM_020708.3) and truncated (AK098371) transcripts. We measured the expression levels of four relatively abundant truncated splice variants, including three novel transcripts (ΔEXON6, EXON2B, and EXON6B) and one previously described transcript (AK098371), in a large human cohort of nonpsychiatric controls across the lifespan, and in patients with schizophrenia and affective disorders. In SH-SY5Y cell lines, these transcripts were translated into proteins and expressed at their predicted sizes. Expression of the EXON6B transcript is increased in the DLPFC of patients with schizophrenia (p=0.03) but decreased in patients with major depression (p=0.04). The expression of AK098371 is associated with a GAD1 single nucleotide polymorphism (rs3749034) that previously has been associated with GAD67 expression and risk for schizophrenia. Our data confirm the developmental regulation of KCC2 expression, and provide evidence that KCC2 transcripts are differentially expressed in schizophrenia and affective disorders. Alternate transcripts from KCC2 may participate in the abnormal GABA signaling in the DLPFC associated with schizophrenia. © 2012 the authors.","author":[{"dropping-particle":"","family":"Tao","given":"Ran","non-dropping-particle":"","parse-names":false,"suffix":""},{"dropping-particle":"","family":"Li","given":"Chao","non-dropping-particle":"","parse-names":false,"suffix":""},{"dropping-particle":"","family":"Newburn","given":"Erin N.","non-dropping-particle":"","parse-names":false,"suffix":""},{"dropping-particle":"","family":"Ye","given":"Tianzhang","non-dropping-particle":"","parse-names":false,"suffix":""},{"dropping-particle":"","family":"Lipska","given":"Barbara K.","non-dropping-particle":"","parse-names":false,"suffix":""},{"dropping-particle":"","family":"Herman","given":"Mary M.","non-dropping-particle":"","parse-names":false,"suffix":""},{"dropping-particle":"","family":"Weinberger","given":"Daniel R.","non-dropping-particle":"","parse-names":false,"suffix":""},{"dropping-particle":"","family":"Kleinman","given":"Joel E.","non-dropping-particle":"","parse-names":false,"suffix":""},{"dropping-particle":"","family":"Hyde","given":"Thomas M.","non-dropping-particle":"","parse-names":false,"suffix":""}],"container-title":"Journal of Neuroscience","id":"ITEM-1","issue":"15","issued":{"date-parts":[["2012","4","11"]]},"page":"5216-5222","title":"Transcript-specific associations of SLC12A5 (KCC2) in human prefrontal cortex with development, schizophrenia, and affective disorders","type":"article-journal","volume":"32"},"uris":["http://www.mendeley.com/documents/?uuid=76194eb5-f9fd-3f42-97e1-fa454fe26f4d"]}],"mendeley":{"formattedCitation":"(Tao et al., 2012)","plainTextFormattedCitation":"(Tao et al., 2012)","previouslyFormattedCitation":"(Tao et al., 2012)"},"properties":{"noteIndex":0},"schema":"https://github.com/citation-style-language/schema/raw/master/csl-citation.json"}</w:instrText>
      </w:r>
      <w:r>
        <w:rPr>
          <w:rFonts w:ascii="Arial" w:eastAsia="Arial Unicode MS" w:hAnsi="Arial" w:cs="Arial"/>
          <w:sz w:val="24"/>
          <w:szCs w:val="24"/>
          <w:lang w:val="en-GB"/>
        </w:rPr>
        <w:fldChar w:fldCharType="separate"/>
      </w:r>
      <w:r w:rsidRPr="00570DC3">
        <w:rPr>
          <w:rFonts w:ascii="Arial" w:eastAsia="Arial Unicode MS" w:hAnsi="Arial" w:cs="Arial"/>
          <w:noProof/>
          <w:sz w:val="24"/>
          <w:szCs w:val="24"/>
          <w:lang w:val="en-GB"/>
        </w:rPr>
        <w:t>(Tao et al., 2012)</w:t>
      </w:r>
      <w:r>
        <w:rPr>
          <w:rFonts w:ascii="Arial" w:eastAsia="Arial Unicode MS" w:hAnsi="Arial" w:cs="Arial"/>
          <w:sz w:val="24"/>
          <w:szCs w:val="24"/>
          <w:lang w:val="en-GB"/>
        </w:rPr>
        <w:fldChar w:fldCharType="end"/>
      </w:r>
      <w:r>
        <w:rPr>
          <w:rFonts w:ascii="Arial" w:eastAsia="Arial Unicode MS" w:hAnsi="Arial" w:cs="Arial"/>
          <w:sz w:val="24"/>
          <w:szCs w:val="24"/>
          <w:lang w:val="en-GB"/>
        </w:rPr>
        <w:t>. In addition, the regulator o</w:t>
      </w:r>
      <w:r w:rsidRPr="00927E89">
        <w:rPr>
          <w:rFonts w:ascii="Arial" w:eastAsia="Arial Unicode MS" w:hAnsi="Arial" w:cs="Arial"/>
          <w:sz w:val="24"/>
          <w:szCs w:val="24"/>
          <w:lang w:val="en-GB"/>
        </w:rPr>
        <w:t xml:space="preserve">f G </w:t>
      </w:r>
      <w:r>
        <w:rPr>
          <w:rFonts w:ascii="Arial" w:eastAsia="Arial Unicode MS" w:hAnsi="Arial" w:cs="Arial"/>
          <w:sz w:val="24"/>
          <w:szCs w:val="24"/>
          <w:lang w:val="en-GB"/>
        </w:rPr>
        <w:t>p</w:t>
      </w:r>
      <w:r w:rsidRPr="00927E89">
        <w:rPr>
          <w:rFonts w:ascii="Arial" w:eastAsia="Arial Unicode MS" w:hAnsi="Arial" w:cs="Arial"/>
          <w:sz w:val="24"/>
          <w:szCs w:val="24"/>
          <w:lang w:val="en-GB"/>
        </w:rPr>
        <w:t xml:space="preserve">rotein </w:t>
      </w:r>
      <w:r>
        <w:rPr>
          <w:rFonts w:ascii="Arial" w:eastAsia="Arial Unicode MS" w:hAnsi="Arial" w:cs="Arial"/>
          <w:sz w:val="24"/>
          <w:szCs w:val="24"/>
          <w:lang w:val="en-GB"/>
        </w:rPr>
        <w:t>signal</w:t>
      </w:r>
      <w:r w:rsidRPr="00927E89">
        <w:rPr>
          <w:rFonts w:ascii="Arial" w:eastAsia="Arial Unicode MS" w:hAnsi="Arial" w:cs="Arial"/>
          <w:sz w:val="24"/>
          <w:szCs w:val="24"/>
          <w:lang w:val="en-GB"/>
        </w:rPr>
        <w:t>ling 2</w:t>
      </w:r>
      <w:r>
        <w:rPr>
          <w:rFonts w:ascii="Arial" w:eastAsia="Arial Unicode MS" w:hAnsi="Arial" w:cs="Arial"/>
          <w:sz w:val="24"/>
          <w:szCs w:val="24"/>
          <w:lang w:val="en-GB"/>
        </w:rPr>
        <w:t xml:space="preserve"> (</w:t>
      </w:r>
      <w:bookmarkStart w:id="15" w:name="_Hlk34230002"/>
      <w:r w:rsidRPr="00927E89">
        <w:rPr>
          <w:rFonts w:ascii="Arial" w:eastAsia="Arial Unicode MS" w:hAnsi="Arial" w:cs="Arial"/>
          <w:i/>
          <w:sz w:val="24"/>
          <w:szCs w:val="24"/>
          <w:lang w:val="en-GB"/>
        </w:rPr>
        <w:t>Rgs2</w:t>
      </w:r>
      <w:bookmarkEnd w:id="15"/>
      <w:r>
        <w:rPr>
          <w:rFonts w:ascii="Arial" w:eastAsia="Arial Unicode MS" w:hAnsi="Arial" w:cs="Arial"/>
          <w:sz w:val="24"/>
          <w:szCs w:val="24"/>
          <w:lang w:val="en-GB"/>
        </w:rPr>
        <w:t xml:space="preserve">) gene (down-regulated in the females with ACE) has been associated to several psychopathological disorders such as generalized anxiety disorders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{"citationItems":[{"id":"ITEM-1","itemData":{"DOI":"10.1001/archgenpsychiatry.2007.48","ISSN":"0003990X","abstract":"Context: Although anxiety disorders are heritable, their genetic and phenotypic complexity has made the identification of susceptibility genes difficult. Well-validated animal models and intermediate phenotypes provide crucial tools for genetic dissection of anxiety. The gene encoding regulator of G protein signaling 2 (Rgs2) is a quantitative trait gene that influences mouse anxiety behavior, making its human ortholog (RGS2) a compelling candidate gene for human anxiety phenotypes. Objective: To examine whether variation in RGS2 is associated with intermediate phenotypes for human anxiety disorders. Design: Family-based and case-control association analysis of single-nucleotide polymorphisms at the RGS2 locus in 3 independent samples. Setting: Massachusetts General Hospital, University of California, San Diego, and San Diego State University. Participants: Study participants included a family-based sample (n = 119 families) of children who underwent laboratory-based assessments of temperament (behavioral inhibition), a sample of 744 unrelated adults who completed assessments of extraversion and introversion, and 55 unrelated adults who underwent functional magnetic resonance imaging measures of response to emotional faces. Main Outcome Measures: Laboratory-based behavioral measures of childhood temperament, self-report measure of personality, and functional magnetic resonance imaging response to emotion processing. Results: Markers spanning RGS2 were associated with childhood behavioral inhibition, a temperamental precursor of social anxiety disorder (haplotype P = 3 × 10-5; odds ratio, 2.99 in complete trios). In independent samples, RGS2 markers, including rs4606, which has previously been associated with RGS2 expression, were also associated with introversion (a core personality trait in social anxiety disorder) and with increased limbic activation (insular cortex and amygdala) during emotion processing (brain phenotypes correlated with social anxiety). The genotype at rs4606 explained 10% to 15% of the variance in amygdala and insular cortex activation to emotional faces. Conclusions: These results provide the first evidence that a gene that influences anxiety in mice is associated with intermediate phenotypes for human anxiety disorders across multiple levels of assessment, including childhood temperament, adult personality, and brain function. This translational research suggests that some genetic influences on anxiety are evolutionarily conserve…","author":[{"dropping-particle":"","family":"Smoller","given":"Jordan W.","non-dropping-particle":"","parse-names":false,"suffix":""},{"dropping-particle":"","family":"Paulus","given":"Martin P.","non-dropping-particle":"","parse-names":false,"suffix":""},{"dropping-particle":"","family":"Fagerness","given":"Jesen A.","non-dropping-particle":"","parse-names":false,"suffix":""},{"dropping-particle":"","family":"Purcell","given":"Shaun","non-dropping-particle":"","parse-names":false,"suffix":""},{"dropping-particle":"","family":"Yamaki","given":"Lesley H.","non-dropping-particle":"","parse-names":false,"suffix":""},{"dropping-particle":"","family":"Hirshfeld-Becker","given":"Dina","non-dropping-particle":"","parse-names":false,"suffix":""},{"dropping-particle":"","family":"Biederman","given":"Joseph","non-dropping-particle":"","parse-names":false,"suffix":""},{"dropping-particle":"","family":"Rosenbaum","given":"Jerrold F.","non-dropping-particle":"","parse-names":false,"suffix":""},{"dropping-particle":"","family":"Gelernter","given":"Joel","non-dropping-particle":"","parse-names":false,"suffix":""},{"dropping-particle":"","family":"Stein","given":"Murray B.","non-dropping-particle":"","parse-names":false,"suffix":""}],"container-title":"Archives of General Psychiatry","id":"ITEM-1","issue":"3","issued":{"date-parts":[["2008","3"]]},"page":"298-308","title":"Influence of RGS2 on anxiety-related temperament, personality, and brain function","type":"article-journal","volume":"65"},"uris":["http://www.mendeley.com/documents/?uuid=de94fabb-8a83-35a5-bec4-143c354da4bd"]},{"id":"ITEM-2","itemData":{"DOI":"10.1017/S1461145711001453","ISSN":"14611457","abstract":"RGS2 is a member of a family of proteins that negatively modulate G-protein coupled receptor transmission. Variations in the RGS2 gene were found to be associated in humans with anxious and depressive phenotypes. We sought to study the relationship of Rgs2 expression level to depression and anxiety-like behavioural features, sociability and brain 5-HT1A and 5-HT 1B receptor expression. We studied male mice carrying a mutation that causes lower Rgs2 gene expression, employing mice heterozygous (Het) or homozygous (Hom) for this mutation, or wild-type (WT). Mice were subjected to behavioural tests reflecting depressive-like behaviour [forced swim test (FST), novelty suppressed feeding test (NSFT)], elevated plus maze (EPM) for evaluation of anxiety levels and the three-chamber sociability test. The possible involvement of raphe nucleus 5-HT1A receptors in these behavioural features was examined by 8-OH-DPAT-induced hypothermia. Expression levels of 5-HT1A and 5-HT1B receptors in the cortex, raphe nucleus and hypothalamus were compared among mice of the different Rgs2 genotype groups. NSFT results demonstrated that Hom mice showed more depressive-like features than Rgs2 Het and WT mice. A trend for such a relationship was also suggested by the FST results. EPM and sociability test results showed Hom and Het mice to be more anxious and less sociable than WT mice. In addition Hom and Het mice were characterized by lower basal body temperature and demonstrated less 8-OH-DPAT-induced hypothermia than WT mice. Finally, Hom and Het mice had significantly lower 5-HT1A and 5-HT1B receptor expression levels in the raphe than WT mice. Our findings demonstrate a relationship between Rgs2 gene expression level and a propensity for anxious and depressive-like behaviour and reduced social interaction that may involve changes in serotonergic receptor expression. © 2011 CINP.","author":[{"dropping-particle":"","family":"Lifschytz","given":"Tzuri","non-dropping-particle":"","parse-names":false,"suffix":""},{"dropping-particle":"","family":"Broner","given":"Esther Channah","non-dropping-particle":"","parse-names":false,"suffix":""},{"dropping-particle":"","family":"Zozulinsky","given":"Polina","non-dropping-particle":"","parse-names":false,"suffix":""},{"dropping-particle":"","family":"Slonimsky","given":"Alexandra","non-dropping-particle":"","parse-names":false,"suffix":""},{"dropping-particle":"","family":"Eitan","given":"Renana","non-dropping-particle":"","parse-names":false,"suffix":""},{"dropping-particle":"","family":"Greenbaum","given":"Lior","non-dropping-particle":"","parse-names":false,"suffix":""},{"dropping-particle":"","family":"Lerer","given":"Bernard","non-dropping-particle":"","parse-names":false,"suffix":""}],"container-title":"International Journal of Neuropsychopharmacology","id":"ITEM-2","issue":"9","issued":{"date-parts":[["2012","10"]]},"page":"1307-1318","title":"Relationship between Rgs2 gene expression level and anxiety and depression-like behaviour in a mutant mouse model: Serotonergic involvement","type":"article-journal","volume":"15"},"uris":["http://www.mendeley.com/documents/?uuid=63330081-b899-362f-9d3f-6dfc669d20dc"]}],"mendeley":{"formattedCitation":"(Smoller et al., 2008; Lifschytz et al., 2012)","plainTextFormattedCitation":"(Smoller et al., 2008; Lifschytz et al., 2012)","previouslyFormattedCitation":"(Smoller et al., 2008; Lifschytz et al., 2012)"},"properties":{"noteIndex":0},"schema":"https://github.com/citation-style-language/schema/raw/master/csl-citation.json"}</w:instrText>
      </w:r>
      <w:r>
        <w:rPr>
          <w:rFonts w:ascii="Arial" w:eastAsia="Arial Unicode MS" w:hAnsi="Arial" w:cs="Arial"/>
          <w:sz w:val="24"/>
          <w:szCs w:val="24"/>
          <w:lang w:val="en-GB"/>
        </w:rPr>
        <w:fldChar w:fldCharType="separate"/>
      </w:r>
      <w:r w:rsidRPr="00570DC3">
        <w:rPr>
          <w:rFonts w:ascii="Arial" w:eastAsia="Arial Unicode MS" w:hAnsi="Arial" w:cs="Arial"/>
          <w:noProof/>
          <w:sz w:val="24"/>
          <w:szCs w:val="24"/>
          <w:lang w:val="en-GB"/>
        </w:rPr>
        <w:t>(Smoller et al., 2008; Lifschytz et al., 2012)</w:t>
      </w:r>
      <w:r>
        <w:rPr>
          <w:rFonts w:ascii="Arial" w:eastAsia="Arial Unicode MS" w:hAnsi="Arial" w:cs="Arial"/>
          <w:sz w:val="24"/>
          <w:szCs w:val="24"/>
          <w:lang w:val="en-GB"/>
        </w:rPr>
        <w:fldChar w:fldCharType="end"/>
      </w:r>
      <w:r>
        <w:rPr>
          <w:rFonts w:ascii="Arial" w:eastAsia="Arial Unicode MS" w:hAnsi="Arial" w:cs="Arial"/>
          <w:sz w:val="24"/>
          <w:szCs w:val="24"/>
          <w:lang w:val="en-GB"/>
        </w:rPr>
        <w:t xml:space="preserve"> and an haplotype of the RGS2 gene has been associated to schizophrenia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{"citationItems":[{"id":"ITEM-1","itemData":{"DOI":"10.1016/j.schres.2008.01.006","ISSN":"09209964","abstract":"Background: Several lines of evidence indicate that Regulator of G Protein Signaling 4 (RGS4) contributes to schizophrenia vulnerability. RGS4 is one of a family of molecules that modulate signaling via G-protein coupled receptors. Five genes encoding members of this family (RGS2, RGS4, RGS5, RGS8 and RGS16) map to chromosome 1q23.3-1q31. Due to overlapping cellular functions and chromosomal proximity, we hypothesized that multiple RGS genes may contribute to schizophrenia severity and treatment responsiveness. Methods: Subjects were 750 individuals with schizophrenia who participated in the Clinical Antipsychotic Trials of Intervention Effectiveness (CATIE). Inferred ancestries were: 221 (30%) 'Africa only', 422 (56%) 'Europe only' and 107 (14%) 'Other'. Fifty-nine single nucleotide polymorphisms (SNPs) in or near the RGS5, RGS16, RGS8 and RGS2 genes were genotyped. Multiple linear regression was used to analyze association of markers with Positive and Negative Symptoms Scale (PANSS) total scores at baseline and throughout antipsychotic treatment. Results: RGS5 marker rs10799902 was associated with altered baseline PANSS total score in both the Africa only (P = 0.0440) and Europe only (P = 0.0143) strata, although neither association survived multiple comparisons correction. A common five-marker haplotype of the RGS2 gene was associated with more severe baseline PANSS total score in the Europe only strata (global P = 0.0254; haplotype-specific P = 0.0196). In contrast to RGS4, none of the markers showed association with antipsychotic treatment response. Conclusions: RGS2 and RGS5 genotypes predicted severity of baseline symptoms in schizophrenia. Although these analyses are exploratory and replication is required, these data suggest a possible role for multiple RGS proteins in schizophrenia. © 2008 Elsevier B.V. All rights reserved.","author":[{"dropping-particle":"","family":"Campbell","given":"Daniel B.","non-dropping-particle":"","parse-names":false,"suffix":""},{"dropping-particle":"","family":"Lange","given":"Leslie A.","non-dropping-particle":"","parse-names":false,"suffix":""},{"dropping-particle":"","family":"Skelly","given":"Tara","non-dropping-particle":"","parse-names":false,"suffix":""},{"dropping-particle":"","family":"Lieberman","given":"Jeffrey","non-dropping-particle":"","parse-names":false,"suffix":""},{"dropping-particle":"","family":"Levitt","given":"Pat","non-dropping-particle":"","parse-names":false,"suffix":""},{"dropping-particle":"","family":"Sullivan","given":"Patrick F.","non-dropping-particle":"","parse-names":false,"suffix":""}],"container-title":"Schizophrenia Research","id":"ITEM-1","issue":"1-3","issued":{"date-parts":[["2008","4"]]},"page":"67-75","title":"Association of RGS2 and RGS5 variants with schizophrenia symptom severity","type":"article-journal","volume":"101"},"uris":["http://www.mendeley.com/documents/?uuid=1622d1c4-9b7b-352b-9c7b-31112693ef8c"]}],"mendeley":{"formattedCitation":"(Campbell et al., 2008)","plainTextFormattedCitation":"(Campbell et al., 2008)","previouslyFormattedCitation":"(Campbell et al., 2008)"},"properties":{"noteIndex":0},"schema":"https://github.com/citation-style-language/schema/raw/master/csl-citation.json"}</w:instrText>
      </w:r>
      <w:r>
        <w:rPr>
          <w:rFonts w:ascii="Arial" w:eastAsia="Arial Unicode MS" w:hAnsi="Arial" w:cs="Arial"/>
          <w:sz w:val="24"/>
          <w:szCs w:val="24"/>
          <w:lang w:val="en-GB"/>
        </w:rPr>
        <w:fldChar w:fldCharType="separate"/>
      </w:r>
      <w:r w:rsidRPr="00570DC3">
        <w:rPr>
          <w:rFonts w:ascii="Arial" w:eastAsia="Arial Unicode MS" w:hAnsi="Arial" w:cs="Arial"/>
          <w:noProof/>
          <w:sz w:val="24"/>
          <w:szCs w:val="24"/>
          <w:lang w:val="en-GB"/>
        </w:rPr>
        <w:t>(Campbell et al., 2008)</w:t>
      </w:r>
      <w:r>
        <w:rPr>
          <w:rFonts w:ascii="Arial" w:eastAsia="Arial Unicode MS" w:hAnsi="Arial" w:cs="Arial"/>
          <w:sz w:val="24"/>
          <w:szCs w:val="24"/>
          <w:lang w:val="en-GB"/>
        </w:rPr>
        <w:fldChar w:fldCharType="end"/>
      </w:r>
      <w:r>
        <w:rPr>
          <w:rFonts w:ascii="Arial" w:eastAsia="Arial Unicode MS" w:hAnsi="Arial" w:cs="Arial"/>
          <w:sz w:val="24"/>
          <w:szCs w:val="24"/>
          <w:lang w:val="en-GB"/>
        </w:rPr>
        <w:t>.</w:t>
      </w:r>
    </w:p>
    <w:p w14:paraId="728F5EFA" w14:textId="77777777" w:rsidR="007F038D" w:rsidRDefault="007F038D" w:rsidP="007F038D">
      <w:pPr>
        <w:spacing w:line="360" w:lineRule="auto"/>
        <w:ind w:firstLine="708"/>
        <w:jc w:val="both"/>
        <w:rPr>
          <w:rFonts w:ascii="Arial" w:eastAsia="Arial Unicode MS" w:hAnsi="Arial" w:cs="Arial"/>
          <w:sz w:val="24"/>
          <w:szCs w:val="24"/>
          <w:lang w:val="en-GB"/>
        </w:rPr>
      </w:pPr>
      <w:proofErr w:type="gramStart"/>
      <w:r>
        <w:rPr>
          <w:rFonts w:ascii="Arial" w:eastAsia="Arial Unicode MS" w:hAnsi="Arial" w:cs="Arial"/>
          <w:sz w:val="24"/>
          <w:szCs w:val="24"/>
          <w:lang w:val="en-GB"/>
        </w:rPr>
        <w:t>With regard to</w:t>
      </w:r>
      <w:proofErr w:type="gramEnd"/>
      <w:r>
        <w:rPr>
          <w:rFonts w:ascii="Arial" w:eastAsia="Arial Unicode MS" w:hAnsi="Arial" w:cs="Arial"/>
          <w:sz w:val="24"/>
          <w:szCs w:val="24"/>
          <w:lang w:val="en-GB"/>
        </w:rPr>
        <w:t xml:space="preserve"> the dopaminergic system, an important gene stands out. The </w:t>
      </w:r>
      <w:r w:rsidRPr="00F478F2">
        <w:rPr>
          <w:rFonts w:ascii="Arial" w:eastAsia="Arial Unicode MS" w:hAnsi="Arial" w:cs="Arial"/>
          <w:sz w:val="24"/>
          <w:szCs w:val="24"/>
          <w:lang w:val="en-GB"/>
        </w:rPr>
        <w:t>Nuclear Receptor Subfamily 4 Group A Member 2</w:t>
      </w:r>
      <w:r>
        <w:rPr>
          <w:rFonts w:ascii="Arial" w:eastAsia="Arial Unicode MS" w:hAnsi="Arial" w:cs="Arial"/>
          <w:sz w:val="24"/>
          <w:szCs w:val="24"/>
          <w:lang w:val="en-GB"/>
        </w:rPr>
        <w:t xml:space="preserve"> (</w:t>
      </w:r>
      <w:r w:rsidRPr="00941281">
        <w:rPr>
          <w:rFonts w:ascii="Arial" w:eastAsia="Arial Unicode MS" w:hAnsi="Arial" w:cs="Arial"/>
          <w:i/>
          <w:iCs/>
          <w:sz w:val="24"/>
          <w:szCs w:val="24"/>
          <w:lang w:val="en-GB"/>
        </w:rPr>
        <w:t>Nr4a2</w:t>
      </w:r>
      <w:r>
        <w:rPr>
          <w:rFonts w:ascii="Arial" w:eastAsia="Arial Unicode MS" w:hAnsi="Arial" w:cs="Arial"/>
          <w:sz w:val="24"/>
          <w:szCs w:val="24"/>
          <w:lang w:val="en-GB"/>
        </w:rPr>
        <w:t xml:space="preserve"> gene, also known as </w:t>
      </w:r>
      <w:r w:rsidRPr="00941281">
        <w:rPr>
          <w:rFonts w:ascii="Arial" w:eastAsia="Arial Unicode MS" w:hAnsi="Arial" w:cs="Arial"/>
          <w:i/>
          <w:iCs/>
          <w:sz w:val="24"/>
          <w:szCs w:val="24"/>
          <w:lang w:val="en-GB"/>
        </w:rPr>
        <w:t>Nurr1</w:t>
      </w:r>
      <w:r>
        <w:rPr>
          <w:rFonts w:ascii="Arial" w:eastAsia="Arial Unicode MS" w:hAnsi="Arial" w:cs="Arial"/>
          <w:sz w:val="24"/>
          <w:szCs w:val="24"/>
          <w:lang w:val="en-GB"/>
        </w:rPr>
        <w:t>, up-regulated in the males after ACE)</w:t>
      </w:r>
      <w:r w:rsidRPr="00941281">
        <w:rPr>
          <w:lang w:val="en-US"/>
        </w:rPr>
        <w:t xml:space="preserve"> </w:t>
      </w:r>
      <w:r>
        <w:rPr>
          <w:rFonts w:ascii="Arial" w:eastAsia="Arial Unicode MS" w:hAnsi="Arial" w:cs="Arial"/>
          <w:sz w:val="24"/>
          <w:szCs w:val="24"/>
          <w:lang w:val="en-GB"/>
        </w:rPr>
        <w:t xml:space="preserve">is </w:t>
      </w:r>
      <w:r w:rsidRPr="00B42FB4">
        <w:rPr>
          <w:rFonts w:ascii="Arial" w:eastAsia="Arial Unicode MS" w:hAnsi="Arial" w:cs="Arial"/>
          <w:sz w:val="24"/>
          <w:szCs w:val="24"/>
          <w:lang w:val="en-GB"/>
        </w:rPr>
        <w:t>a transcription factor</w:t>
      </w:r>
      <w:r>
        <w:rPr>
          <w:rFonts w:ascii="Arial" w:eastAsia="Arial Unicode MS" w:hAnsi="Arial" w:cs="Arial"/>
          <w:sz w:val="24"/>
          <w:szCs w:val="24"/>
          <w:lang w:val="en-GB"/>
        </w:rPr>
        <w:t xml:space="preserve"> that regulates the development of dopamine neurons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{"citationItems":[{"id":"ITEM-1","itemData":{"DOI":"10.1016/j.pneurobio.2005.09.001","ISSN":"03010082","PMID":"16243425","abstract":"Nurr1, a transcription factor belonging to the orphan nuclear receptor superfamily, is critical in the development and maintenance of the dopaminergic system and as such it may have role in the pathogenesis of Parkinson' disease (PD). Human Nurr1 gene has been mapped to chromosome 2q22-23 and Nurr1 protein is predominantly expressed in central dopaminergic neurons. Nurr1 interacts with other factors critical for the survival of mensencephalic dopaminergic neurons and it appears to regulate the expression of tyrosine hydroxylase (TH), dopamine transporter (DAT), vesicular monoamine transporter 2 (VMAT2), and l-aromatic amino acid decarboxylase (AADC), all of which are important in the synthesis and storage of dopamine. Experimental studies in Nurr1 knock-out mice indicate that Nurr1 deficiency results in impaired dopaminergic function and increased vulnerability of those midbrain dopaminergic neurons that degenerate in PD. Decreased Nurr1 expression is found in the autopsied PD midbrains, particularly in neurons containing Lewy bodies, as well as in peripheral lymphocytes of patients with parkinsonian disorders. Several variants in Nurr1 gene have been reported in association with PD. All these studies suggest that Nurr1 is not only essential in the development of mensencephalic dopaminergic neurons and maintenance of their functions, but it may also play a role in the pathogenesis of PD. © 2005 Elsevier Ltd. All rights reserved.","author":[{"dropping-particle":"","family":"Jankovic","given":"J.","non-dropping-particle":"","parse-names":false,"suffix":""},{"dropping-particle":"","family":"Chen","given":"S.","non-dropping-particle":"","parse-names":false,"suffix":""},{"dropping-particle":"","family":"Le","given":"W. D.","non-dropping-particle":"","parse-names":false,"suffix":""}],"container-title":"Progress in Neurobiology","id":"ITEM-1","issue":"1-2","issued":{"date-parts":[["2005"]]},"page":"128-138","publisher":"Elsevier Ltd","title":"The role of Nurr1 in the development of dopaminergic neurons and Parkinson's disease","type":"article","volume":"77"},"uris":["http://www.mendeley.com/documents/?uuid=446b31a4-63e7-3646-9e5a-8700b5cd5713"]}],"mendeley":{"formattedCitation":"(Jankovic et al., 2005)","plainTextFormattedCitation":"(Jankovic et al., 2005)","previouslyFormattedCitation":"(Jankovic et al., 2005)"},"properties":{"noteIndex":0},"schema":"https://github.com/citation-style-language/schema/raw/master/csl-citation.json"}</w:instrText>
      </w:r>
      <w:r>
        <w:rPr>
          <w:rFonts w:ascii="Arial" w:eastAsia="Arial Unicode MS" w:hAnsi="Arial" w:cs="Arial"/>
          <w:sz w:val="24"/>
          <w:szCs w:val="24"/>
          <w:lang w:val="en-GB"/>
        </w:rPr>
        <w:fldChar w:fldCharType="separate"/>
      </w:r>
      <w:r w:rsidRPr="005A12FB">
        <w:rPr>
          <w:rFonts w:ascii="Arial" w:eastAsia="Arial Unicode MS" w:hAnsi="Arial" w:cs="Arial"/>
          <w:noProof/>
          <w:sz w:val="24"/>
          <w:szCs w:val="24"/>
          <w:lang w:val="en-GB"/>
        </w:rPr>
        <w:t>(Jankovic et al., 2005)</w:t>
      </w:r>
      <w:r>
        <w:rPr>
          <w:rFonts w:ascii="Arial" w:eastAsia="Arial Unicode MS" w:hAnsi="Arial" w:cs="Arial"/>
          <w:sz w:val="24"/>
          <w:szCs w:val="24"/>
          <w:lang w:val="en-GB"/>
        </w:rPr>
        <w:fldChar w:fldCharType="end"/>
      </w:r>
      <w:r w:rsidRPr="00B42FB4">
        <w:rPr>
          <w:rFonts w:ascii="Arial" w:eastAsia="Arial Unicode MS" w:hAnsi="Arial" w:cs="Arial"/>
          <w:sz w:val="24"/>
          <w:szCs w:val="24"/>
          <w:lang w:val="en-GB"/>
        </w:rPr>
        <w:t xml:space="preserve">. Mutations in this gene have been associated with </w:t>
      </w:r>
      <w:r>
        <w:rPr>
          <w:rFonts w:ascii="Arial" w:eastAsia="Arial Unicode MS" w:hAnsi="Arial" w:cs="Arial"/>
          <w:sz w:val="24"/>
          <w:szCs w:val="24"/>
          <w:lang w:val="en-GB"/>
        </w:rPr>
        <w:t>some of the features present in</w:t>
      </w:r>
      <w:r w:rsidRPr="00B42FB4">
        <w:rPr>
          <w:rFonts w:ascii="Arial" w:eastAsia="Arial Unicode MS" w:hAnsi="Arial" w:cs="Arial"/>
          <w:sz w:val="24"/>
          <w:szCs w:val="24"/>
          <w:lang w:val="en-GB"/>
        </w:rPr>
        <w:t xml:space="preserve"> schizoph</w:t>
      </w:r>
      <w:r>
        <w:rPr>
          <w:rFonts w:ascii="Arial" w:eastAsia="Arial Unicode MS" w:hAnsi="Arial" w:cs="Arial"/>
          <w:sz w:val="24"/>
          <w:szCs w:val="24"/>
          <w:lang w:val="en-GB"/>
        </w:rPr>
        <w:t xml:space="preserve">renia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{"citationItems":[{"id":"ITEM-1","itemData":{"DOI":"10.1523/JNEUROSCI.0786-19.2019","ISSN":"15292401","PMID":"31811028","abstract":"Multiple schizophrenia (SCZ) risk loci may be involved in gene co-regulation mechanisms, and analysis of coexpressed gene networks may help to clarify SCZ molecular basis. We have previously identified a dopamine D2 receptor (DRD2) coexpression module enriched for SCZ risk genes and associated with cognitive and neuroimaging phenotypes of SCZ, as well as with response to treatment with antipsychotics. Here we aimed to identify regulatory factors modulating this coexpression module and their relevance to SCZ. We performed motif enrichment analysis to identify transcription factor (TF) binding sites in human promoters of genes coexpressed with DRD2. Then, we measured transcript levels of a group of these genes in primary mouse cortical neurons in basal conditions and upon overexpression and knockdown of predicted TFs. Finally, we analyzed expression levels of these TFs in dorsolateral prefrontal cortex (DLPFC) of SCZ patients. Our in silico analysis revealed enrichment for NURR1 and ERR1 binding sites. In neuronal cultures, the expression of genes either relevant to SCZ risk (Drd2, Gatad2a, Slc28a1, Cnr1) or indexing coexpression in our module (Btg4, Chit1, Osr1, Gpld1) was significantly modified by gain and loss of Nurr1 and Err1. Postmortem DLPFC expression data analysis showed decreased expression levels of NURR1 and ERR1 in patients with SCZ. For NURR1 such decreased expression is associated with treatment with antipsychotics. Our results show that NURR1 and ERR1 modulate the transcription of DRD2 coexpression partners and support the hypothesis that NURR1 is involved in the response to SCZ treatment.","author":[{"dropping-particle":"","family":"Torretta","given":"Silvia","non-dropping-particle":"","parse-names":false,"suffix":""},{"dropping-particle":"","family":"Rampino","given":"Antonio","non-dropping-particle":"","parse-names":false,"suffix":""},{"dropping-particle":"","family":"Basso","given":"Manuela","non-dropping-particle":"","parse-names":false,"suffix":""},{"dropping-particle":"","family":"Pergola","given":"Giulio","non-dropping-particle":"","parse-names":false,"suffix":""},{"dropping-particle":"Di","family":"Carlo","given":"Pasquale","non-dropping-particle":"","parse-names":false,"suffix":""},{"dropping-particle":"","family":"Shin","given":"Joo H.","non-dropping-particle":"","parse-names":false,"suffix":""},{"dropping-particle":"","family":"Kleinman","given":"Joel E.","non-dropping-particle":"","parse-names":false,"suffix":""},{"dropping-particle":"","family":"Hyde","given":"Thomas M.","non-dropping-particle":"","parse-names":false,"suffix":""},{"dropping-particle":"","family":"Weinberger","given":"Daniel R.","non-dropping-particle":"","parse-names":false,"suffix":""},{"dropping-particle":"","family":"Masellis","given":"Rita","non-dropping-particle":"","parse-names":false,"suffix":""},{"dropping-particle":"","family":"Blasi","given":"Giuseppe","non-dropping-particle":"","parse-names":false,"suffix":""},{"dropping-particle":"","family":"Pennuto","given":"Maria","non-dropping-particle":"","parse-names":false,"suffix":""},{"dropping-particle":"","family":"Bertolino","given":"Alessandro","non-dropping-particle":"","parse-names":false,"suffix":""}],"container-title":"Journal of Neuroscience","id":"ITEM-1","issue":"4","issued":{"date-parts":[["2020","1","22"]]},"page":"932-941","publisher":"J Neurosci","title":"NurR1 and ERR1 modulate the expression of genes of a DRD2 coexpression network enriched for schizophrenia risk","type":"article-journal","volume":"40"},"uris":["http://www.mendeley.com/documents/?uuid=f020aa72-77a3-3564-a802-4084f64d4e00"]},{"id":"ITEM-2","itemData":{"DOI":"10.1093/schbul/sbr176","ISSN":"05867614","PMID":"22294735","abstract":"NR4A2 (nuclear receptor subfamily 4 group A member 2) or Nurr1 is a transcription factor implied in the differentiation, maturation, and survival of dopaminergic neurons. It also has a role in the expression of several proteins that are necessary for the synthesis and regulation of dopamine (DA), such as tyrosine hidroxilase, dopamine transporter, vesicular monoamine transporter 2, and cRET. DA is an important neurotransmitter in attentional pathways. Our aim was to evaluate the influence of NR4A2 gene in the performance of schizophrenia (SZ) patients and healthy subjects on a sustained attention task. For this study, we collected 188 SZ subjects (Diagnostic and Statistical Manual of Mental Disorders, Fourth Edition) and 100 control individuals. We genotyped 5 tag SNPs in NR4A2 gene: rs1150143 (C/G), rs1150144 (A/G), rs834830 (A/G), rs1466408 (T/A), and rs707132 (A/G). We also analyzed the influence of its haplotypes (frequency &gt;5%). To examine sustained attention, all the individuals completed the Degraded Stimulus Continuous Performance Test. We evaluated hits, reaction time, sensibility a, and false alarms. In the schizophrenic group, recessive genotypes of rs1150143, rs1150144, rs834830, and rs707132 were associated with a worse performance. SZ subjects who carried GGGTG haplotype showed less hits (P &lt;. 004), lower sensibility a scores (P &lt;. 009), and a higher reaction time (P =. 013). We observed a sex effect of the gene: genotype and haplotype associations were only present in the male group. We conclude that NR4A2 gene is involved in attentional deficits of SZ patients, modifying hits, sensibility a, and reaction time. © 2012 The Author.","author":[{"dropping-particle":"","family":"Ancín","given":"Inés","non-dropping-particle":"","parse-names":false,"suffix":""},{"dropping-particle":"","family":"Cabranes","given":"José A.","non-dropping-particle":"","parse-names":false,"suffix":""},{"dropping-particle":"","family":"Vázquez-Álvarez","given":"Blanca","non-dropping-particle":"","parse-names":false,"suffix":""},{"dropping-particle":"","family":"Santos","given":"José Luis","non-dropping-particle":"","parse-names":false,"suffix":""},{"dropping-particle":"","family":"Sánchez-Morla","given":"Eva","non-dropping-particle":"","parse-names":false,"suffix":""},{"dropping-particle":"","family":"Alaerts","given":"Maaike","non-dropping-particle":"","parse-names":false,"suffix":""},{"dropping-particle":"","family":"Del-Favero","given":"Jurgen","non-dropping-particle":"","parse-names":false,"suffix":""},{"dropping-particle":"","family":"Barabash","given":"Ana","non-dropping-particle":"","parse-names":false,"suffix":""}],"container-title":"Schizophrenia Bulletin","id":"ITEM-2","issue":"3","issued":{"date-parts":[["2013","5"]]},"page":"555-563","publisher":"Schizophr Bull","title":"NR4A2: Effects of an orphan receptor on sustained attention in a schizophrenic population","type":"article-journal","volume":"39"},"uris":["http://www.mendeley.com/documents/?uuid=d3f632ef-7ad9-3071-865a-ce639fc6291b"]}],"mendeley":{"formattedCitation":"(Ancín et al., 2013; Torretta et al., 2020)","plainTextFormattedCitation":"(Ancín et al., 2013; Torretta et al., 2020)","previouslyFormattedCitation":"(Ancín et al., 2013; Torretta et al., 2020)"},"properties":{"noteIndex":0},"schema":"https://github.com/citation-style-language/schema/raw/master/csl-citation.json"}</w:instrText>
      </w:r>
      <w:r>
        <w:rPr>
          <w:rFonts w:ascii="Arial" w:eastAsia="Arial Unicode MS" w:hAnsi="Arial" w:cs="Arial"/>
          <w:sz w:val="24"/>
          <w:szCs w:val="24"/>
          <w:lang w:val="en-GB"/>
        </w:rPr>
        <w:fldChar w:fldCharType="separate"/>
      </w:r>
      <w:r w:rsidRPr="00C67C71">
        <w:rPr>
          <w:rFonts w:ascii="Arial" w:eastAsia="Arial Unicode MS" w:hAnsi="Arial" w:cs="Arial"/>
          <w:noProof/>
          <w:sz w:val="24"/>
          <w:szCs w:val="24"/>
          <w:lang w:val="en-GB"/>
        </w:rPr>
        <w:t>(Ancín et al., 2013; Torretta et al., 2020)</w:t>
      </w:r>
      <w:r>
        <w:rPr>
          <w:rFonts w:ascii="Arial" w:eastAsia="Arial Unicode MS" w:hAnsi="Arial" w:cs="Arial"/>
          <w:sz w:val="24"/>
          <w:szCs w:val="24"/>
          <w:lang w:val="en-GB"/>
        </w:rPr>
        <w:fldChar w:fldCharType="end"/>
      </w:r>
      <w:r>
        <w:rPr>
          <w:rFonts w:ascii="Arial" w:eastAsia="Arial Unicode MS" w:hAnsi="Arial" w:cs="Arial"/>
          <w:sz w:val="24"/>
          <w:szCs w:val="24"/>
          <w:lang w:val="en-GB"/>
        </w:rPr>
        <w:t xml:space="preserve"> although other studies have failed to find significant associations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{"citationItems":[{"id":"ITEM-1","itemData":{"DOI":"10.1016/j.neulet.2015.05.018","ISSN":"18727972","PMID":"25982322","abstract":"The homo sapiens nuclear receptor subfamily 4, group A (. NR4A2) genetic variation has been implicated as a risk factor for schizophrenia (SZ). Nevertheless, the results are inconclusive. We conducted a comprehensive systematic review and meta-analysis to quantify the impact of NR4A2 variation on the risk of SZ. All eligible case-control studies published up to September 2014 were identified by searching PubMed OVID, EBSCO, PsycINFO and ISI web of knowledge. Pooled odds ratio with 95% confidence interval were used to access the strength of association in fixed- or random-effects model. Seven studies that reported 17 variants with a total of 3027 participants were included. Of these variants, five ones (rs143618355, rs199674295, c.366-369 del TAC, c.-469delG and P4) were present only in cases, and three ones (rs35479735, rs3832066 and rs397706674) were available for meta-analysis. Overall, there was no significant association between the three variants and SZ risk under allele model, dominant model and recessive model. The results failed to reveal significant link between NR4A2 polymorphism and SZ risk. However, large-sized and well-designed studies are warranted to validate our findings.","author":[{"dropping-particle":"","family":"Liu","given":"Hongmei","non-dropping-particle":"","parse-names":false,"suffix":""},{"dropping-particle":"","family":"Fu","given":"Yingmei","non-dropping-particle":"","parse-names":false,"suffix":""},{"dropping-particle":"","family":"Ren","given":"Juanjuan","non-dropping-particle":"","parse-names":false,"suffix":""},{"dropping-particle":"","family":"Yu","given":"Shunying","non-dropping-particle":"","parse-names":false,"suffix":""},{"dropping-particle":"","family":"Liu","given":"Hongbo","non-dropping-particle":"","parse-names":false,"suffix":""},{"dropping-particle":"","family":"Jiang","given":"Ping","non-dropping-particle":"","parse-names":false,"suffix":""},{"dropping-particle":"","family":"Dong","given":"Yi","non-dropping-particle":"","parse-names":false,"suffix":""},{"dropping-particle":"","family":"Li","given":"Huafang","non-dropping-particle":"","parse-names":false,"suffix":""}],"container-title":"Neuroscience Letters","id":"ITEM-1","issued":{"date-parts":[["2015","6","6"]]},"page":"85-90","publisher":"Neurosci Lett","title":"Association between NR4A2 genetic variation and schizophrenia: A comprehensive systematic review and meta-analysis","type":"article-journal","volume":"598"},"uris":["http://www.mendeley.com/documents/?uuid=3629e2df-4346-306f-8d57-3e820d8fab7c"]}],"mendeley":{"formattedCitation":"(Liu et al., 2015)","plainTextFormattedCitation":"(Liu et al., 2015)","previouslyFormattedCitation":"(Liu et al., 2015)"},"properties":{"noteIndex":0},"schema":"https://github.com/citation-style-language/schema/raw/master/csl-citation.json"}</w:instrText>
      </w:r>
      <w:r>
        <w:rPr>
          <w:rFonts w:ascii="Arial" w:eastAsia="Arial Unicode MS" w:hAnsi="Arial" w:cs="Arial"/>
          <w:sz w:val="24"/>
          <w:szCs w:val="24"/>
          <w:lang w:val="en-GB"/>
        </w:rPr>
        <w:fldChar w:fldCharType="separate"/>
      </w:r>
      <w:r w:rsidRPr="00427AF1">
        <w:rPr>
          <w:rFonts w:ascii="Arial" w:eastAsia="Arial Unicode MS" w:hAnsi="Arial" w:cs="Arial"/>
          <w:noProof/>
          <w:sz w:val="24"/>
          <w:szCs w:val="24"/>
          <w:lang w:val="en-GB"/>
        </w:rPr>
        <w:t>(Liu et al., 2015)</w:t>
      </w:r>
      <w:r>
        <w:rPr>
          <w:rFonts w:ascii="Arial" w:eastAsia="Arial Unicode MS" w:hAnsi="Arial" w:cs="Arial"/>
          <w:sz w:val="24"/>
          <w:szCs w:val="24"/>
          <w:lang w:val="en-GB"/>
        </w:rPr>
        <w:fldChar w:fldCharType="end"/>
      </w:r>
    </w:p>
    <w:p w14:paraId="013B8473" w14:textId="77777777" w:rsidR="007F038D" w:rsidRDefault="007F038D" w:rsidP="007F038D">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GB"/>
        </w:rPr>
        <w:t xml:space="preserve"> There are two last examples that we would like to highlight given the sex-specific regulation in their expression that we have observed after ACE. </w:t>
      </w:r>
    </w:p>
    <w:p w14:paraId="6354EB58" w14:textId="77777777" w:rsidR="007F038D" w:rsidRDefault="007F038D" w:rsidP="007F038D">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GB"/>
        </w:rPr>
        <w:t xml:space="preserve">First, the </w:t>
      </w:r>
      <w:proofErr w:type="spellStart"/>
      <w:r w:rsidRPr="00941281">
        <w:rPr>
          <w:rFonts w:ascii="Arial" w:eastAsia="Arial Unicode MS" w:hAnsi="Arial" w:cs="Arial"/>
          <w:i/>
          <w:iCs/>
          <w:sz w:val="24"/>
          <w:szCs w:val="24"/>
          <w:lang w:val="en-GB"/>
        </w:rPr>
        <w:t>Cck</w:t>
      </w:r>
      <w:proofErr w:type="spellEnd"/>
      <w:r>
        <w:rPr>
          <w:rFonts w:ascii="Arial" w:eastAsia="Arial Unicode MS" w:hAnsi="Arial" w:cs="Arial"/>
          <w:sz w:val="24"/>
          <w:szCs w:val="24"/>
          <w:lang w:val="en-GB"/>
        </w:rPr>
        <w:t xml:space="preserve"> gene (up-regulated in the males, down-regulated in the females with ACE), coding for cholecystokinin is relevant considering the fact that </w:t>
      </w:r>
      <w:proofErr w:type="spellStart"/>
      <w:r w:rsidRPr="00B53571">
        <w:rPr>
          <w:rFonts w:ascii="Arial" w:eastAsia="Arial Unicode MS" w:hAnsi="Arial" w:cs="Arial"/>
          <w:i/>
          <w:sz w:val="24"/>
          <w:szCs w:val="24"/>
          <w:lang w:val="en-GB"/>
        </w:rPr>
        <w:t>Cck</w:t>
      </w:r>
      <w:proofErr w:type="spellEnd"/>
      <w:r>
        <w:rPr>
          <w:rFonts w:ascii="Arial" w:eastAsia="Arial Unicode MS" w:hAnsi="Arial" w:cs="Arial"/>
          <w:b/>
          <w:sz w:val="24"/>
          <w:szCs w:val="24"/>
          <w:lang w:val="en-GB"/>
        </w:rPr>
        <w:t xml:space="preserve"> </w:t>
      </w:r>
      <w:r>
        <w:rPr>
          <w:rFonts w:ascii="Arial" w:eastAsia="Arial Unicode MS" w:hAnsi="Arial" w:cs="Arial"/>
          <w:sz w:val="24"/>
          <w:szCs w:val="24"/>
          <w:lang w:val="en-GB"/>
        </w:rPr>
        <w:t xml:space="preserve">expression alterations have been reported in the brain of patients with schizophrenia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{"citationItems":[{"id":"ITEM-1","itemData":{"DOI":"10.1016/S0024-3205(03)00393-X","ISSN":"00243205","abstract":"The mechanism of action of drugs of abuse like cocaine and amphetamines has been studied extensively in the dopamine terminal field areas of the caudate-putamen (CPu) and the nucleus accumbens (NAc) of the rodent brain. These brain regions contain several neuropeptides that must play important roles in the normal physiological functions of these brain regions. The study of neuropeptide physiology in the context of the neurobiological responses to drugs of abuse may shed some light on the intrinsic mechanism of action of neuropeptides of the CPu and the NAc. The neuropeptides substance P (SP) and cholecystokinin (CCK) are present in the striatum where they could play an important role regulating the effects of psychostimulants like cocaine and amphetamines (methamphetamine [METH] is a long acting derivative of d-amphetamine). These highly addictive agents induce the release of dopamine (DA) (and other catecholamines) from dopaminergic terminals of the striatum. The excessive release of DA in the striatum and the NAc has been implicated in the habit-forming properties of these drugs. In order to study the contribution of SP and CCK in the striatum during psychostimulant treatment, we employed selective non-peptide neurokinin-1 (NK-1) and cholecystokinin-2 (CCK-2) receptor antagonists that readily cross the blood brain barrier. We infused the neurokinin-1 receptor (NK-1R) antagonist, L-733,060, into the striatum of freely moving rats via a microdialysis probe in order to assess the effects of SP on cocaine-induced DA overflow in the striatum. Infusion of the NK-1R antagonist prior to a systemic injection of cocaine (10 mg/kg i.p.) significantly attenuated DA overflow in the striatum. Conversely, infusion of a CCK-2 receptor (CCK-2R) antagonist, L-369,293, through the microdialysis probe evoked DA overflow in the striatum in the absence of cocaine and potentiated DA overflow after a single injection of cocaine (10 mg/kg i.p.). Exposure to METH (10 mg/kg 4× at two-hour intervals) produced deficits of dopamine transporters (DAT) in mice striatum that are detectable three days after the treatment and are long lasting. Pre-treatment (i.p. injections) with the NK-1R antagonist, WIN-51,708 30 minutes before the 1st and 4th injections of METH prevented the loss of DAT in the striatum. Moreover, pre-treatment with the NK-1R antagonist prevents METH-induced cell death. Taken together, these results demonstrate that the NK-1R and the CCK-2R are important modulators o…","author":[{"dropping-particle":"","family":"Loonam","given":"Thomas M.","non-dropping-particle":"","parse-names":false,"suffix":""},{"dropping-particle":"","family":"Noailles","given":"Pierre A.H.","non-dropping-particle":"","parse-names":false,"suffix":""},{"dropping-particle":"","family":"Yu","given":"Jing","non-dropping-particle":"","parse-names":false,"suffix":""},{"dropping-particle":"","family":"Zhu","given":"Judy P.Q.","non-dropping-particle":"","parse-names":false,"suffix":""},{"dropping-particle":"","family":"Angulo","given":"Jesus A.","non-dropping-particle":"","parse-names":false,"suffix":""}],"container-title":"Life Sciences","id":"ITEM-1","issue":"6","issued":{"date-parts":[["2003","6","27"]]},"page":"727-739","publisher":"Elsevier Inc.","title":"Substance P and cholecystokinin regulate neurochemical responses to cocaine and methamphetamine in the striatum","type":"paper-conference","volume":"73"},"uris":["http://www.mendeley.com/documents/?uuid=d3f8bb9d-1069-3f83-a7e8-30d62bdbfac8"]}],"mendeley":{"formattedCitation":"(Loonam et al., 2003)","plainTextFormattedCitation":"(Loonam et al., 2003)","previouslyFormattedCitation":"(Loonam et al., 2003)"},"properties":{"noteIndex":0},"schema":"https://github.com/citation-style-language/schema/raw/master/csl-citation.json"}</w:instrText>
      </w:r>
      <w:r>
        <w:rPr>
          <w:rFonts w:ascii="Arial" w:eastAsia="Arial Unicode MS" w:hAnsi="Arial" w:cs="Arial"/>
          <w:sz w:val="24"/>
          <w:szCs w:val="24"/>
          <w:lang w:val="en-GB"/>
        </w:rPr>
        <w:fldChar w:fldCharType="separate"/>
      </w:r>
      <w:r w:rsidRPr="00570DC3">
        <w:rPr>
          <w:rFonts w:ascii="Arial" w:eastAsia="Arial Unicode MS" w:hAnsi="Arial" w:cs="Arial"/>
          <w:noProof/>
          <w:sz w:val="24"/>
          <w:szCs w:val="24"/>
          <w:lang w:val="en-GB"/>
        </w:rPr>
        <w:t>(Loonam et al., 2003)</w:t>
      </w:r>
      <w:r>
        <w:rPr>
          <w:rFonts w:ascii="Arial" w:eastAsia="Arial Unicode MS" w:hAnsi="Arial" w:cs="Arial"/>
          <w:sz w:val="24"/>
          <w:szCs w:val="24"/>
          <w:lang w:val="en-GB"/>
        </w:rPr>
        <w:fldChar w:fldCharType="end"/>
      </w:r>
      <w:r>
        <w:rPr>
          <w:rFonts w:ascii="Arial" w:eastAsia="Arial Unicode MS" w:hAnsi="Arial" w:cs="Arial"/>
          <w:sz w:val="24"/>
          <w:szCs w:val="24"/>
          <w:lang w:val="en-GB"/>
        </w:rPr>
        <w:t xml:space="preserve"> and the p</w:t>
      </w:r>
      <w:r w:rsidRPr="00A12396">
        <w:rPr>
          <w:rFonts w:ascii="Arial" w:eastAsia="Arial Unicode MS" w:hAnsi="Arial" w:cs="Arial"/>
          <w:sz w:val="24"/>
          <w:szCs w:val="24"/>
          <w:lang w:val="en-GB"/>
        </w:rPr>
        <w:t>ossible association of a cholecystokinin promoter variant to schizophrenia</w:t>
      </w:r>
      <w:r>
        <w:rPr>
          <w:rFonts w:ascii="Arial" w:eastAsia="Arial Unicode MS" w:hAnsi="Arial" w:cs="Arial"/>
          <w:sz w:val="24"/>
          <w:szCs w:val="24"/>
          <w:lang w:val="en-GB"/>
        </w:rPr>
        <w:t xml:space="preserve">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{"citationItems":[{"id":"ITEM-1","itemData":{"DOI":"10.1002/ajmg.10408","ISSN":"15524841","PMID":"12116180","abstract":"Several lines of research indicate a cholecystokinin (CCK) deficit in schizophrenia patients. A C to T substitution was found in the promoter region of the CCK gene. We investigated this promoter variant in patients with schizophrenia and geographically-matchedcontrols. The T allele was detected in 24% of the 85 schizophrenics and 16% of the 247 controls. No significant difference in the T allele frequency was found between patients and controls (χ2 = 2.77, P &gt; 0.1). The schizophrenia sample was analyzed further along the dimensions of positive and negative symptoms. The patients with prominent negative symptoms presented a statistically significant association to the T allele (χ2 = 4.13, P &lt; 0.04). However, the significance disappeared after the Bonferroni correction (P &gt; 0.15). Since the case-control analysis may present incorrect ethnic match between cases and controls, we applied the family-based tests to verify the above findings. Both transmission disequilibrium test (TDT; χ2 = 5.33, P &lt; 0.025 in 12 trios) and haplotype relative risk (HRR; χ2 = 3.844, P &lt; 0.05 in 60 trios) indicated a significantly high transmission of T allele to schizophrenia offspring probands from their parents. While our family-based tests seem to support the CCK involvement in schizophrenia, no definite conclusion can be drawn based on such a small sample size. This preliminary finding is subjected to future investigations.","author":[{"dropping-particle":"","family":"Wang","given":"Zhewu","non-dropping-particle":"","parse-names":false,"suffix":""},{"dropping-particle":"","family":"Wassink","given":"Thomas","non-dropping-particle":"","parse-names":false,"suffix":""},{"dropping-particle":"","family":"Andreasen","given":"Nancy C.","non-dropping-particle":"","parse-names":false,"suffix":""},{"dropping-particle":"","family":"Crowe","given":"Raymond R.","non-dropping-particle":"","parse-names":false,"suffix":""}],"container-title":"American Journal of Medical Genetics - Neuropsychiatric Genetics","id":"ITEM-1","issue":"5","issued":{"date-parts":[["2002","7","8"]]},"page":"479-482","publisher":"Am J Med Genet","title":"Possible association of a cholecystokinin promoter variant to schizophrenia","type":"article-journal","volume":"114"},"uris":["http://www.mendeley.com/documents/?uuid=43413f78-233d-3d27-8a08-ac028636dced"]}],"mendeley":{"formattedCitation":"(Wang et al., 2002)","plainTextFormattedCitation":"(Wang et al., 2002)","previouslyFormattedCitation":"(Wang et al., 2002)"},"properties":{"noteIndex":0},"schema":"https://github.com/citation-style-language/schema/raw/master/csl-citation.json"}</w:instrText>
      </w:r>
      <w:r>
        <w:rPr>
          <w:rFonts w:ascii="Arial" w:eastAsia="Arial Unicode MS" w:hAnsi="Arial" w:cs="Arial"/>
          <w:sz w:val="24"/>
          <w:szCs w:val="24"/>
          <w:lang w:val="en-GB"/>
        </w:rPr>
        <w:fldChar w:fldCharType="separate"/>
      </w:r>
      <w:r w:rsidRPr="00B86CBD">
        <w:rPr>
          <w:rFonts w:ascii="Arial" w:eastAsia="Arial Unicode MS" w:hAnsi="Arial" w:cs="Arial"/>
          <w:noProof/>
          <w:sz w:val="24"/>
          <w:szCs w:val="24"/>
          <w:lang w:val="en-GB"/>
        </w:rPr>
        <w:t>(Wang et al., 2002)</w:t>
      </w:r>
      <w:r>
        <w:rPr>
          <w:rFonts w:ascii="Arial" w:eastAsia="Arial Unicode MS" w:hAnsi="Arial" w:cs="Arial"/>
          <w:sz w:val="24"/>
          <w:szCs w:val="24"/>
          <w:lang w:val="en-GB"/>
        </w:rPr>
        <w:fldChar w:fldCharType="end"/>
      </w:r>
      <w:r>
        <w:rPr>
          <w:rFonts w:ascii="Arial" w:eastAsia="Arial Unicode MS" w:hAnsi="Arial" w:cs="Arial"/>
          <w:sz w:val="24"/>
          <w:szCs w:val="24"/>
          <w:lang w:val="en-GB"/>
        </w:rPr>
        <w:t xml:space="preserve">. </w:t>
      </w:r>
    </w:p>
    <w:p w14:paraId="4BD57852" w14:textId="77777777" w:rsidR="007F038D" w:rsidRDefault="007F038D" w:rsidP="007F038D">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GB"/>
        </w:rPr>
        <w:t xml:space="preserve">Second, </w:t>
      </w:r>
      <w:proofErr w:type="spellStart"/>
      <w:r w:rsidRPr="00BA54A5">
        <w:rPr>
          <w:rFonts w:ascii="Arial" w:eastAsia="Arial Unicode MS" w:hAnsi="Arial" w:cs="Arial"/>
          <w:sz w:val="24"/>
          <w:szCs w:val="24"/>
          <w:lang w:val="en-GB"/>
        </w:rPr>
        <w:t>teneurin</w:t>
      </w:r>
      <w:proofErr w:type="spellEnd"/>
      <w:r w:rsidRPr="00BA54A5">
        <w:rPr>
          <w:rFonts w:ascii="Arial" w:eastAsia="Arial Unicode MS" w:hAnsi="Arial" w:cs="Arial"/>
          <w:sz w:val="24"/>
          <w:szCs w:val="24"/>
          <w:lang w:val="en-GB"/>
        </w:rPr>
        <w:t xml:space="preserve"> transmembrane protein 4</w:t>
      </w:r>
      <w:r>
        <w:rPr>
          <w:rFonts w:ascii="Arial" w:eastAsia="Arial Unicode MS" w:hAnsi="Arial" w:cs="Arial"/>
          <w:sz w:val="24"/>
          <w:szCs w:val="24"/>
          <w:lang w:val="en-GB"/>
        </w:rPr>
        <w:t xml:space="preserve"> (</w:t>
      </w:r>
      <w:r w:rsidRPr="00BA63D5">
        <w:rPr>
          <w:rFonts w:ascii="Arial" w:eastAsia="Arial Unicode MS" w:hAnsi="Arial" w:cs="Arial"/>
          <w:i/>
          <w:sz w:val="24"/>
          <w:szCs w:val="24"/>
          <w:lang w:val="en-GB"/>
        </w:rPr>
        <w:t>Tenm4</w:t>
      </w:r>
      <w:r>
        <w:rPr>
          <w:rFonts w:ascii="Arial" w:eastAsia="Arial Unicode MS" w:hAnsi="Arial" w:cs="Arial"/>
          <w:iCs/>
          <w:sz w:val="24"/>
          <w:szCs w:val="24"/>
          <w:lang w:val="en-GB"/>
        </w:rPr>
        <w:t xml:space="preserve">, </w:t>
      </w:r>
      <w:r>
        <w:rPr>
          <w:rFonts w:ascii="Arial" w:eastAsia="Arial Unicode MS" w:hAnsi="Arial" w:cs="Arial"/>
          <w:sz w:val="24"/>
          <w:szCs w:val="24"/>
          <w:lang w:val="en-GB"/>
        </w:rPr>
        <w:t>down-regulated in the males, up-regulated in the females with ACE) is i</w:t>
      </w:r>
      <w:r w:rsidRPr="00BA54A5">
        <w:rPr>
          <w:rFonts w:ascii="Arial" w:eastAsia="Arial Unicode MS" w:hAnsi="Arial" w:cs="Arial"/>
          <w:sz w:val="24"/>
          <w:szCs w:val="24"/>
          <w:lang w:val="en-GB"/>
        </w:rPr>
        <w:t>nvolved in neural development, regulating the establishment of proper connectivity within the nervous system</w:t>
      </w:r>
      <w:r>
        <w:rPr>
          <w:rFonts w:ascii="Arial" w:eastAsia="Arial Unicode MS" w:hAnsi="Arial" w:cs="Arial"/>
          <w:sz w:val="24"/>
          <w:szCs w:val="24"/>
          <w:lang w:val="en-GB"/>
        </w:rPr>
        <w:t xml:space="preserve">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{"citationItems":[{"id":"ITEM-1","itemData":{"DOI":"10.1016/j.ydbio.2005.11.038","ISSN":"00121606","abstract":"Teneurins, which were initially described as ten-a and the pair-rule gene ten-m/odz in Drosophila, are a family of highly conserved proteins that have recently been characterized in Caenorhabditis elegans and a number of vertebrates. We have proposed the nomenclature teneurin 1-4 for the four members of this gene family found in vertebrates. Recent evidence shows that teneurins belong to a novel class of signaling molecules that function both at the cell surface as type II transmembrane receptors and, after the release of the intracellular domain, as transcriptional regulators. Nuclear localization of the intracellular domain has been observed in vitro in mammalian cells and confirmed in vivo in C. elegans. RNAi studies and mutational analysis has revealed that Ten-1 in C. elegans is an important regulator of many aspects of morphogenesis, including germ cell development and neuronal pathfinding. In vertebrates, teneurins are concentrated in the developing and adult central nervous system and at sites of pattern formation, including the developing limb. Teneurins also possess a carboxy terminal sequence that may be processed to generate a neuromodulatory peptide. Teneurin function appears to be required for a fundamentally important signaling mechanism conserved between invertebrates and vertebrates having an impact on many processes relying on cell-cell contact throughout development. © 2005 Elsevier Inc. All rights reserved.","author":[{"dropping-particle":"","family":"Tucker","given":"R. P.","non-dropping-particle":"","parse-names":false,"suffix":""},{"dropping-particle":"","family":"Chiquet-Ehrismann","given":"R.","non-dropping-particle":"","parse-names":false,"suffix":""}],"container-title":"Developmental Biology","id":"ITEM-1","issue":"2","issued":{"date-parts":[["2006","2","15"]]},"page":"237-245","publisher":"Academic Press Inc.","title":"Teneurins: A conserved family of transmembrane proteins involved in intercellular signaling during development","type":"article","volume":"290"},"uris":["http://www.mendeley.com/documents/?uuid=1d230de0-6148-369d-a402-935948b320e5"]}],"mendeley":{"formattedCitation":"(Tucker and Chiquet-Ehrismann, 2006)","plainTextFormattedCitation":"(Tucker and Chiquet-Ehrismann, 2006)","previouslyFormattedCitation":"(Tucker and Chiquet-Ehrismann, 2006)"},"properties":{"noteIndex":0},"schema":"https://github.com/citation-style-language/schema/raw/master/csl-citation.json"}</w:instrText>
      </w:r>
      <w:r>
        <w:rPr>
          <w:rFonts w:ascii="Arial" w:eastAsia="Arial Unicode MS" w:hAnsi="Arial" w:cs="Arial"/>
          <w:sz w:val="24"/>
          <w:szCs w:val="24"/>
          <w:lang w:val="en-GB"/>
        </w:rPr>
        <w:fldChar w:fldCharType="separate"/>
      </w:r>
      <w:r w:rsidRPr="00570DC3">
        <w:rPr>
          <w:rFonts w:ascii="Arial" w:eastAsia="Arial Unicode MS" w:hAnsi="Arial" w:cs="Arial"/>
          <w:noProof/>
          <w:sz w:val="24"/>
          <w:szCs w:val="24"/>
          <w:lang w:val="en-GB"/>
        </w:rPr>
        <w:t>(Tucker and Chiquet-Ehrismann, 2006)</w:t>
      </w:r>
      <w:r>
        <w:rPr>
          <w:rFonts w:ascii="Arial" w:eastAsia="Arial Unicode MS" w:hAnsi="Arial" w:cs="Arial"/>
          <w:sz w:val="24"/>
          <w:szCs w:val="24"/>
          <w:lang w:val="en-GB"/>
        </w:rPr>
        <w:fldChar w:fldCharType="end"/>
      </w:r>
      <w:r>
        <w:rPr>
          <w:rFonts w:ascii="Arial" w:eastAsia="Arial Unicode MS" w:hAnsi="Arial" w:cs="Arial"/>
          <w:sz w:val="24"/>
          <w:szCs w:val="24"/>
          <w:lang w:val="en-GB"/>
        </w:rPr>
        <w:t xml:space="preserve"> and is also a candidate gene for schizophrenia </w:t>
      </w:r>
      <w:r>
        <w:rPr>
          <w:rFonts w:ascii="Arial" w:eastAsia="Arial Unicode MS" w:hAnsi="Arial" w:cs="Arial"/>
          <w:sz w:val="24"/>
          <w:szCs w:val="24"/>
          <w:lang w:val="en-GB"/>
        </w:rPr>
        <w:fldChar w:fldCharType="begin" w:fldLock="1"/>
      </w:r>
      <w:r>
        <w:rPr>
          <w:rFonts w:ascii="Arial" w:eastAsia="Arial Unicode MS" w:hAnsi="Arial" w:cs="Arial"/>
          <w:sz w:val="24"/>
          <w:szCs w:val="24"/>
          <w:lang w:val="en-GB"/>
        </w:rPr>
        <w:instrText>ADDIN CSL_CITATION {"citationItems":[{"id":"ITEM-1","itemData":{"DOI":"10.3389/fgene.2018.00725","ISSN":"16648021","abstract":"Schizophrenia is a complex psychiatric disorder with high genetic heterogeneity, however, the contribution of rare mutations to the disease etiology remains to be further elucidated. We herein performed exome sequencing in a Han Chinese schizophrenia family and identified a missense mutation (c.6724C&gt;T, p.R2242C) in the teneurin transmembrane protein 4 (TENM4) gene in the SCZD2 locus, a region previously linked to schizophrenia at 11q14-21. The mutation was confirmed to co-segregate with the schizophrenia phenotype in the family. Subsequent investigation of TENM4 exons 31, 32, and 33 adjacent to the p.R2242C mutation revealed two additional missense mutations in 120 sporadic schizophrenic patients. Residues mutated in these mutations, which are predicted to be deleterious to protein function, were highly conserved among vertebrates. These rare mutations were not detected in 1000 Genomes, NHLBI Exome Sequencing Project databases, or our in-house 1136 non-schizophrenic control exomes. Analysis of RNA-Seq data showed that TENM4 is expressed in the brain with high abundance and specificity. In line with the important role of TENM4 in central nervous system development, our findings suggested that increased rare variants in TENM4 could be associated with schizophrenia, and thus TENM4 could be a novel candidate gene for schizophrenia in the SCZD2 locus.","author":[{"dropping-particle":"","family":"Xue","given":"Chao Biao","non-dropping-particle":"","parse-names":false,"suffix":""},{"dropping-particle":"","family":"Xu","given":"Zhou Heng","non-dropping-particle":"","parse-names":false,"suffix":""},{"dropping-particle":"","family":"Zhu","given":"Jun","non-dropping-particle":"","parse-names":false,"suffix":""},{"dropping-particle":"","family":"Wu","given":"Yu","non-dropping-particle":"","parse-names":false,"suffix":""},{"dropping-particle":"","family":"Zhuang","given":"Xi Hang","non-dropping-particle":"","parse-names":false,"suffix":""},{"dropping-particle":"","family":"Chen","given":"Qu Liang","non-dropping-particle":"","parse-names":false,"suffix":""},{"dropping-particle":"","family":"Wu","given":"Cai Ru","non-dropping-particle":"","parse-names":false,"suffix":""},{"dropping-particle":"","family":"Hu","given":"Jin Tao","non-dropping-particle":"","parse-names":false,"suffix":""},{"dropping-particle":"","family":"Zhou","given":"Hou Shi","non-dropping-particle":"","parse-names":false,"suffix":""},{"dropping-particle":"","family":"Xie","given":"Wei Hang","non-dropping-particle":"","parse-names":false,"suffix":""},{"dropping-particle":"","family":"Yi","given":"Xin","non-dropping-particle":"","parse-names":false,"suffix":""},{"dropping-particle":"","family":"Yu","given":"Shan Shan","non-dropping-particle":"","parse-names":false,"suffix":""},{"dropping-particle":"","family":"Peng","given":"Zhi Yu","non-dropping-particle":"","parse-names":false,"suffix":""},{"dropping-particle":"","family":"Yang","given":"Huan Ming","non-dropping-particle":"","parse-names":false,"suffix":""},{"dropping-particle":"","family":"Hong","given":"Xiao Hong","non-dropping-particle":"","parse-names":false,"suffix":""},{"dropping-particle":"","family":"Chen","given":"Jian Huan","non-dropping-particle":"","parse-names":false,"suffix":""}],"container-title":"Frontiers in Genetics","id":"ITEM-1","issue":"JAN","issued":{"date-parts":[["2019"]]},"publisher":"Frontiers Media S.A.","title":"Exome sequencing identifies TENM4 as a novel candidate gene for schizophrenia in the SCZD2 locus at 11q14-21","type":"article-journal","volume":"10"},"uris":["http://www.mendeley.com/documents/?uuid=b8ca6769-87d6-3391-8c37-419dd663d8b2"]}],"mendeley":{"formattedCitation":"(Xue et al., 2019)","plainTextFormattedCitation":"(Xue et al., 2019)","previouslyFormattedCitation":"(Xue et al., 2019)"},"properties":{"noteIndex":0},"schema":"https://github.com/citation-style-language/schema/raw/master/csl-citation.json"}</w:instrText>
      </w:r>
      <w:r>
        <w:rPr>
          <w:rFonts w:ascii="Arial" w:eastAsia="Arial Unicode MS" w:hAnsi="Arial" w:cs="Arial"/>
          <w:sz w:val="24"/>
          <w:szCs w:val="24"/>
          <w:lang w:val="en-GB"/>
        </w:rPr>
        <w:fldChar w:fldCharType="separate"/>
      </w:r>
      <w:r w:rsidRPr="00570DC3">
        <w:rPr>
          <w:rFonts w:ascii="Arial" w:eastAsia="Arial Unicode MS" w:hAnsi="Arial" w:cs="Arial"/>
          <w:noProof/>
          <w:sz w:val="24"/>
          <w:szCs w:val="24"/>
          <w:lang w:val="en-GB"/>
        </w:rPr>
        <w:t>(Xue et al., 2019)</w:t>
      </w:r>
      <w:r>
        <w:rPr>
          <w:rFonts w:ascii="Arial" w:eastAsia="Arial Unicode MS" w:hAnsi="Arial" w:cs="Arial"/>
          <w:sz w:val="24"/>
          <w:szCs w:val="24"/>
          <w:lang w:val="en-GB"/>
        </w:rPr>
        <w:fldChar w:fldCharType="end"/>
      </w:r>
      <w:r w:rsidRPr="00BA54A5">
        <w:rPr>
          <w:rFonts w:ascii="Arial" w:eastAsia="Arial Unicode MS" w:hAnsi="Arial" w:cs="Arial"/>
          <w:sz w:val="24"/>
          <w:szCs w:val="24"/>
          <w:lang w:val="en-GB"/>
        </w:rPr>
        <w:t>.</w:t>
      </w:r>
    </w:p>
    <w:p w14:paraId="5775AF90" w14:textId="77777777" w:rsidR="007F038D" w:rsidRDefault="007F038D" w:rsidP="007F038D">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GB"/>
        </w:rPr>
        <w:t xml:space="preserve">Of note, the divergent regulation of these last two genes in males and females may suggest vulnerability vs. resilience phenotypes in each sex, an important question that should be further explored in future studies. </w:t>
      </w:r>
    </w:p>
    <w:p w14:paraId="73134DE1" w14:textId="26693497" w:rsidR="007F038D" w:rsidRPr="00FA54E7" w:rsidRDefault="007F038D">
      <w:pPr>
        <w:spacing w:line="360" w:lineRule="auto"/>
        <w:ind w:firstLine="708"/>
        <w:jc w:val="both"/>
        <w:rPr>
          <w:rFonts w:ascii="Arial" w:eastAsia="Arial Unicode MS" w:hAnsi="Arial" w:cs="Arial"/>
          <w:sz w:val="24"/>
          <w:szCs w:val="24"/>
          <w:lang w:val="en-GB"/>
        </w:rPr>
      </w:pPr>
      <w:r>
        <w:rPr>
          <w:rFonts w:ascii="Arial" w:eastAsia="Arial Unicode MS" w:hAnsi="Arial" w:cs="Arial"/>
          <w:sz w:val="24"/>
          <w:szCs w:val="24"/>
          <w:lang w:val="en-GB"/>
        </w:rPr>
        <w:lastRenderedPageBreak/>
        <w:t xml:space="preserve">We have highlighted here some differentially expressed genes that could be involved in a potential susceptibility or resilience </w:t>
      </w:r>
      <w:r w:rsidR="00906F2A">
        <w:rPr>
          <w:rFonts w:ascii="Arial" w:eastAsia="Arial Unicode MS" w:hAnsi="Arial" w:cs="Arial"/>
          <w:sz w:val="24"/>
          <w:szCs w:val="24"/>
          <w:lang w:val="en-GB"/>
        </w:rPr>
        <w:t xml:space="preserve">(depending on the direction of the changes) </w:t>
      </w:r>
      <w:r>
        <w:rPr>
          <w:rFonts w:ascii="Arial" w:eastAsia="Arial Unicode MS" w:hAnsi="Arial" w:cs="Arial"/>
          <w:sz w:val="24"/>
          <w:szCs w:val="24"/>
          <w:lang w:val="en-GB"/>
        </w:rPr>
        <w:t xml:space="preserve">to schizophrenia in an important region for this disorder such as the </w:t>
      </w:r>
      <w:proofErr w:type="spellStart"/>
      <w:r>
        <w:rPr>
          <w:rFonts w:ascii="Arial" w:eastAsia="Arial Unicode MS" w:hAnsi="Arial" w:cs="Arial"/>
          <w:sz w:val="24"/>
          <w:szCs w:val="24"/>
          <w:lang w:val="en-GB"/>
        </w:rPr>
        <w:t>NAcc</w:t>
      </w:r>
      <w:proofErr w:type="spellEnd"/>
      <w:r>
        <w:rPr>
          <w:rFonts w:ascii="Arial" w:eastAsia="Arial Unicode MS" w:hAnsi="Arial" w:cs="Arial"/>
          <w:sz w:val="24"/>
          <w:szCs w:val="24"/>
          <w:lang w:val="en-GB"/>
        </w:rPr>
        <w:t xml:space="preserve">. </w:t>
      </w:r>
      <w:r w:rsidR="00906F2A">
        <w:rPr>
          <w:rFonts w:ascii="Arial" w:eastAsia="Arial Unicode MS" w:hAnsi="Arial" w:cs="Arial"/>
          <w:sz w:val="24"/>
          <w:szCs w:val="24"/>
          <w:lang w:val="en-GB"/>
        </w:rPr>
        <w:t>Importantly</w:t>
      </w:r>
      <w:r>
        <w:rPr>
          <w:rFonts w:ascii="Arial" w:eastAsia="Arial Unicode MS" w:hAnsi="Arial" w:cs="Arial"/>
          <w:sz w:val="24"/>
          <w:szCs w:val="24"/>
          <w:lang w:val="en-GB"/>
        </w:rPr>
        <w:t xml:space="preserve">, further studies in animal models and human samples should validate these results. In any case, we believe that these data open new avenues for research that should be exploited in the future and underscore the importance of including both male and female subjects in the studies as the results obtained may be </w:t>
      </w:r>
      <w:r w:rsidR="0062387E">
        <w:rPr>
          <w:rFonts w:ascii="Arial" w:eastAsia="Arial Unicode MS" w:hAnsi="Arial" w:cs="Arial"/>
          <w:sz w:val="24"/>
          <w:szCs w:val="24"/>
          <w:lang w:val="en-GB"/>
        </w:rPr>
        <w:t>completely</w:t>
      </w:r>
      <w:r>
        <w:rPr>
          <w:rFonts w:ascii="Arial" w:eastAsia="Arial Unicode MS" w:hAnsi="Arial" w:cs="Arial"/>
          <w:sz w:val="24"/>
          <w:szCs w:val="24"/>
          <w:lang w:val="en-GB"/>
        </w:rPr>
        <w:t xml:space="preserve"> different as a function of the sex of the individual. </w:t>
      </w:r>
    </w:p>
    <w:p w14:paraId="7CBF94A3" w14:textId="7F542390" w:rsidR="005C1F05" w:rsidRDefault="005C1F05" w:rsidP="009167C5">
      <w:pPr>
        <w:spacing w:line="360" w:lineRule="auto"/>
        <w:ind w:firstLine="708"/>
        <w:jc w:val="both"/>
        <w:rPr>
          <w:rFonts w:ascii="Arial" w:eastAsia="Arial Unicode MS" w:hAnsi="Arial" w:cs="Arial"/>
          <w:sz w:val="24"/>
          <w:szCs w:val="24"/>
          <w:lang w:val="en-US"/>
        </w:rPr>
      </w:pPr>
    </w:p>
    <w:p w14:paraId="58E117FE" w14:textId="77777777" w:rsidR="007718C2" w:rsidRDefault="007718C2">
      <w:pPr>
        <w:rPr>
          <w:rFonts w:ascii="Arial" w:eastAsia="Times New Roman" w:hAnsi="Arial" w:cs="Arial"/>
          <w:b/>
          <w:bCs/>
          <w:sz w:val="24"/>
          <w:szCs w:val="24"/>
          <w:lang w:val="en-US" w:eastAsia="es-ES"/>
        </w:rPr>
      </w:pPr>
      <w:r>
        <w:rPr>
          <w:rFonts w:ascii="Arial" w:eastAsia="Times New Roman" w:hAnsi="Arial" w:cs="Arial"/>
          <w:b/>
          <w:bCs/>
          <w:sz w:val="24"/>
          <w:szCs w:val="24"/>
          <w:lang w:val="en-US" w:eastAsia="es-ES"/>
        </w:rPr>
        <w:br w:type="page"/>
      </w:r>
    </w:p>
    <w:p w14:paraId="6DC97906" w14:textId="43639D93" w:rsidR="00213ED1" w:rsidRPr="008A16EB" w:rsidRDefault="00213ED1" w:rsidP="008A16EB">
      <w:pPr>
        <w:spacing w:line="360" w:lineRule="auto"/>
        <w:jc w:val="both"/>
        <w:rPr>
          <w:rFonts w:ascii="Arial" w:eastAsia="Times New Roman" w:hAnsi="Arial" w:cs="Arial"/>
          <w:b/>
          <w:bCs/>
          <w:sz w:val="24"/>
          <w:szCs w:val="24"/>
          <w:lang w:val="en-US" w:eastAsia="es-ES"/>
        </w:rPr>
      </w:pPr>
      <w:r w:rsidRPr="008A16EB">
        <w:rPr>
          <w:rFonts w:ascii="Arial" w:eastAsia="Times New Roman" w:hAnsi="Arial" w:cs="Arial"/>
          <w:b/>
          <w:bCs/>
          <w:sz w:val="24"/>
          <w:szCs w:val="24"/>
          <w:lang w:val="en-US" w:eastAsia="es-ES"/>
        </w:rPr>
        <w:lastRenderedPageBreak/>
        <w:t>SUPPLEMENTARY FIGURES</w:t>
      </w:r>
    </w:p>
    <w:p w14:paraId="6534C1E8" w14:textId="166AD6C5" w:rsidR="00213ED1" w:rsidRDefault="00CD2AB6" w:rsidP="008A16EB">
      <w:pPr>
        <w:spacing w:line="360" w:lineRule="auto"/>
        <w:jc w:val="both"/>
        <w:rPr>
          <w:rFonts w:ascii="Arial" w:hAnsi="Arial" w:cs="Arial"/>
          <w:sz w:val="24"/>
          <w:szCs w:val="24"/>
          <w:lang w:val="en-GB"/>
        </w:rPr>
      </w:pPr>
      <w:r>
        <w:rPr>
          <w:rFonts w:ascii="Arial" w:hAnsi="Arial" w:cs="Arial"/>
          <w:b/>
          <w:bCs/>
          <w:noProof/>
          <w:sz w:val="24"/>
          <w:szCs w:val="24"/>
          <w:lang w:val="en-GB"/>
        </w:rPr>
        <w:drawing>
          <wp:inline distT="0" distB="0" distL="0" distR="0" wp14:anchorId="399231DB" wp14:editId="3E7500A5">
            <wp:extent cx="5417699" cy="65054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4792" cy="6526013"/>
                    </a:xfrm>
                    <a:prstGeom prst="rect">
                      <a:avLst/>
                    </a:prstGeom>
                    <a:noFill/>
                  </pic:spPr>
                </pic:pic>
              </a:graphicData>
            </a:graphic>
          </wp:inline>
        </w:drawing>
      </w:r>
      <w:r w:rsidR="00213ED1" w:rsidRPr="008A16EB">
        <w:rPr>
          <w:rFonts w:ascii="Arial" w:hAnsi="Arial" w:cs="Arial"/>
          <w:b/>
          <w:bCs/>
          <w:sz w:val="24"/>
          <w:szCs w:val="24"/>
          <w:lang w:val="en-GB"/>
        </w:rPr>
        <w:t xml:space="preserve">Figure </w:t>
      </w:r>
      <w:r w:rsidR="00A13DFF" w:rsidRPr="008A16EB">
        <w:rPr>
          <w:rFonts w:ascii="Arial" w:hAnsi="Arial" w:cs="Arial"/>
          <w:b/>
          <w:bCs/>
          <w:sz w:val="24"/>
          <w:szCs w:val="24"/>
          <w:lang w:val="en-GB"/>
        </w:rPr>
        <w:t>S</w:t>
      </w:r>
      <w:r w:rsidR="00213ED1" w:rsidRPr="008A16EB">
        <w:rPr>
          <w:rFonts w:ascii="Arial" w:hAnsi="Arial" w:cs="Arial"/>
          <w:b/>
          <w:bCs/>
          <w:sz w:val="24"/>
          <w:szCs w:val="24"/>
          <w:lang w:val="en-GB"/>
        </w:rPr>
        <w:t>1. Bodyweight evolution.</w:t>
      </w:r>
      <w:r w:rsidR="00213ED1" w:rsidRPr="008A16EB">
        <w:rPr>
          <w:rFonts w:ascii="Arial" w:hAnsi="Arial" w:cs="Arial"/>
          <w:sz w:val="24"/>
          <w:szCs w:val="24"/>
          <w:lang w:val="en-GB"/>
        </w:rPr>
        <w:t xml:space="preserve"> </w:t>
      </w:r>
      <w:r w:rsidR="00213ED1" w:rsidRPr="008A16EB">
        <w:rPr>
          <w:rFonts w:ascii="Arial" w:hAnsi="Arial" w:cs="Arial"/>
          <w:b/>
          <w:bCs/>
          <w:sz w:val="24"/>
          <w:szCs w:val="24"/>
          <w:lang w:val="en-GB"/>
        </w:rPr>
        <w:t>A)</w:t>
      </w:r>
      <w:r w:rsidR="00213ED1" w:rsidRPr="008A16EB">
        <w:rPr>
          <w:rFonts w:ascii="Arial" w:hAnsi="Arial" w:cs="Arial"/>
          <w:sz w:val="24"/>
          <w:szCs w:val="24"/>
          <w:lang w:val="en-GB"/>
        </w:rPr>
        <w:t xml:space="preserve"> Bodyweight in three different time points. Only the expected sex differences were present in first treatment day (PND28) (F</w:t>
      </w:r>
      <w:r w:rsidR="00213ED1" w:rsidRPr="008A16EB">
        <w:rPr>
          <w:rFonts w:ascii="Arial" w:hAnsi="Arial" w:cs="Arial"/>
          <w:sz w:val="24"/>
          <w:szCs w:val="24"/>
          <w:vertAlign w:val="subscript"/>
          <w:lang w:val="en-GB"/>
        </w:rPr>
        <w:t>1,297</w:t>
      </w:r>
      <w:r w:rsidR="00213ED1" w:rsidRPr="008A16EB">
        <w:rPr>
          <w:rFonts w:ascii="Arial" w:hAnsi="Arial" w:cs="Arial"/>
          <w:sz w:val="24"/>
          <w:szCs w:val="24"/>
          <w:lang w:val="en-GB"/>
        </w:rPr>
        <w:t>=14.686; p&lt;0.000;</w:t>
      </w:r>
      <w:r w:rsidR="00213ED1" w:rsidRPr="008A16EB">
        <w:rPr>
          <w:rFonts w:ascii="Arial" w:eastAsia="Times New Roman" w:hAnsi="Arial" w:cs="Arial"/>
          <w:sz w:val="24"/>
          <w:szCs w:val="24"/>
          <w:lang w:val="en-GB" w:eastAsia="es-ES"/>
        </w:rPr>
        <w:t xml:space="preserve"> η</w:t>
      </w:r>
      <w:r w:rsidR="00213ED1" w:rsidRPr="008A16EB">
        <w:rPr>
          <w:rFonts w:ascii="Arial" w:eastAsia="Times New Roman" w:hAnsi="Arial" w:cs="Arial"/>
          <w:sz w:val="24"/>
          <w:szCs w:val="24"/>
          <w:vertAlign w:val="subscript"/>
          <w:lang w:val="en-GB" w:eastAsia="es-ES"/>
        </w:rPr>
        <w:t>p</w:t>
      </w:r>
      <w:r w:rsidR="00213ED1" w:rsidRPr="008A16EB">
        <w:rPr>
          <w:rFonts w:ascii="Arial" w:eastAsia="Times New Roman" w:hAnsi="Arial" w:cs="Arial"/>
          <w:sz w:val="24"/>
          <w:szCs w:val="24"/>
          <w:vertAlign w:val="superscript"/>
          <w:lang w:val="en-GB" w:eastAsia="es-ES"/>
        </w:rPr>
        <w:t>2</w:t>
      </w:r>
      <w:r w:rsidR="00213ED1" w:rsidRPr="008A16EB">
        <w:rPr>
          <w:rFonts w:ascii="Arial" w:eastAsia="Times New Roman" w:hAnsi="Arial" w:cs="Arial"/>
          <w:sz w:val="24"/>
          <w:szCs w:val="24"/>
          <w:lang w:val="en-GB" w:eastAsia="es-ES"/>
        </w:rPr>
        <w:t>=0.04</w:t>
      </w:r>
      <w:r w:rsidR="00213ED1" w:rsidRPr="008A16EB">
        <w:rPr>
          <w:rFonts w:ascii="Arial" w:hAnsi="Arial" w:cs="Arial"/>
          <w:sz w:val="24"/>
          <w:szCs w:val="24"/>
          <w:lang w:val="en-GB"/>
        </w:rPr>
        <w:t xml:space="preserve">) indicating no prior weight bias due to </w:t>
      </w:r>
      <w:r w:rsidR="00E16CCE">
        <w:rPr>
          <w:rFonts w:ascii="Arial" w:hAnsi="Arial" w:cs="Arial"/>
          <w:sz w:val="24"/>
          <w:szCs w:val="24"/>
          <w:lang w:val="en-GB"/>
        </w:rPr>
        <w:t>ACE</w:t>
      </w:r>
      <w:r w:rsidR="00E16CCE" w:rsidRPr="008A16EB">
        <w:rPr>
          <w:rFonts w:ascii="Arial" w:hAnsi="Arial" w:cs="Arial"/>
          <w:sz w:val="24"/>
          <w:szCs w:val="24"/>
          <w:lang w:val="en-GB"/>
        </w:rPr>
        <w:t xml:space="preserve"> </w:t>
      </w:r>
      <w:r w:rsidR="00213ED1" w:rsidRPr="008A16EB">
        <w:rPr>
          <w:rFonts w:ascii="Arial" w:hAnsi="Arial" w:cs="Arial"/>
          <w:sz w:val="24"/>
          <w:szCs w:val="24"/>
          <w:lang w:val="en-GB"/>
        </w:rPr>
        <w:t xml:space="preserve">factor. Nonetheless the mean bodyweight was lower THC groups at the end of the </w:t>
      </w:r>
      <w:r w:rsidR="00E16CCE" w:rsidRPr="008A16EB">
        <w:rPr>
          <w:rFonts w:ascii="Arial" w:hAnsi="Arial" w:cs="Arial"/>
          <w:sz w:val="24"/>
          <w:szCs w:val="24"/>
          <w:lang w:val="en-GB"/>
        </w:rPr>
        <w:t>treatment (</w:t>
      </w:r>
      <w:r w:rsidR="00213ED1" w:rsidRPr="008A16EB">
        <w:rPr>
          <w:rFonts w:ascii="Arial" w:hAnsi="Arial" w:cs="Arial"/>
          <w:sz w:val="24"/>
          <w:szCs w:val="24"/>
          <w:lang w:val="en-GB"/>
        </w:rPr>
        <w:t>PND44) (</w:t>
      </w:r>
      <w:bookmarkStart w:id="16" w:name="_Hlk67918193"/>
      <w:r w:rsidR="00213ED1" w:rsidRPr="008A16EB">
        <w:rPr>
          <w:rFonts w:ascii="Arial" w:hAnsi="Arial" w:cs="Arial"/>
          <w:sz w:val="24"/>
          <w:szCs w:val="24"/>
          <w:lang w:val="en-GB"/>
        </w:rPr>
        <w:t>F</w:t>
      </w:r>
      <w:r w:rsidR="00213ED1" w:rsidRPr="008A16EB">
        <w:rPr>
          <w:rFonts w:ascii="Arial" w:hAnsi="Arial" w:cs="Arial"/>
          <w:sz w:val="24"/>
          <w:szCs w:val="24"/>
          <w:vertAlign w:val="subscript"/>
          <w:lang w:val="en-GB"/>
        </w:rPr>
        <w:t>1,299</w:t>
      </w:r>
      <w:r w:rsidR="00213ED1" w:rsidRPr="008A16EB">
        <w:rPr>
          <w:rFonts w:ascii="Arial" w:hAnsi="Arial" w:cs="Arial"/>
          <w:sz w:val="24"/>
          <w:szCs w:val="24"/>
          <w:lang w:val="en-GB"/>
        </w:rPr>
        <w:t xml:space="preserve">=20.162; p&lt;0.000; </w:t>
      </w:r>
      <w:r w:rsidR="00213ED1" w:rsidRPr="008A16EB">
        <w:rPr>
          <w:rFonts w:ascii="Arial" w:eastAsia="Times New Roman" w:hAnsi="Arial" w:cs="Arial"/>
          <w:sz w:val="24"/>
          <w:szCs w:val="24"/>
          <w:lang w:val="en-GB" w:eastAsia="es-ES"/>
        </w:rPr>
        <w:t>η</w:t>
      </w:r>
      <w:r w:rsidR="00213ED1" w:rsidRPr="008A16EB">
        <w:rPr>
          <w:rFonts w:ascii="Arial" w:eastAsia="Times New Roman" w:hAnsi="Arial" w:cs="Arial"/>
          <w:sz w:val="24"/>
          <w:szCs w:val="24"/>
          <w:vertAlign w:val="subscript"/>
          <w:lang w:val="en-GB" w:eastAsia="es-ES"/>
        </w:rPr>
        <w:t>p</w:t>
      </w:r>
      <w:r w:rsidR="00213ED1" w:rsidRPr="008A16EB">
        <w:rPr>
          <w:rFonts w:ascii="Arial" w:eastAsia="Times New Roman" w:hAnsi="Arial" w:cs="Arial"/>
          <w:sz w:val="24"/>
          <w:szCs w:val="24"/>
          <w:vertAlign w:val="superscript"/>
          <w:lang w:val="en-GB" w:eastAsia="es-ES"/>
        </w:rPr>
        <w:t>2</w:t>
      </w:r>
      <w:r w:rsidR="00213ED1" w:rsidRPr="008A16EB">
        <w:rPr>
          <w:rFonts w:ascii="Arial" w:hAnsi="Arial" w:cs="Arial"/>
          <w:sz w:val="24"/>
          <w:szCs w:val="24"/>
          <w:lang w:val="en-GB"/>
        </w:rPr>
        <w:t xml:space="preserve">=0.06) </w:t>
      </w:r>
      <w:bookmarkEnd w:id="16"/>
      <w:r w:rsidR="00213ED1" w:rsidRPr="008A16EB">
        <w:rPr>
          <w:rFonts w:ascii="Arial" w:hAnsi="Arial" w:cs="Arial"/>
          <w:sz w:val="24"/>
          <w:szCs w:val="24"/>
          <w:lang w:val="en-GB"/>
        </w:rPr>
        <w:t>and at adulthood (PND90) (F</w:t>
      </w:r>
      <w:r w:rsidR="00213ED1" w:rsidRPr="008A16EB">
        <w:rPr>
          <w:rFonts w:ascii="Arial" w:hAnsi="Arial" w:cs="Arial"/>
          <w:sz w:val="24"/>
          <w:szCs w:val="24"/>
          <w:vertAlign w:val="subscript"/>
          <w:lang w:val="en-GB"/>
        </w:rPr>
        <w:t>1,341</w:t>
      </w:r>
      <w:r w:rsidR="00213ED1" w:rsidRPr="008A16EB">
        <w:rPr>
          <w:rFonts w:ascii="Arial" w:hAnsi="Arial" w:cs="Arial"/>
          <w:sz w:val="24"/>
          <w:szCs w:val="24"/>
          <w:lang w:val="en-GB"/>
        </w:rPr>
        <w:t>=14.686; p=</w:t>
      </w:r>
      <w:r w:rsidR="00213ED1" w:rsidRPr="008A16EB">
        <w:rPr>
          <w:rFonts w:ascii="Arial" w:eastAsia="Times New Roman" w:hAnsi="Arial" w:cs="Arial"/>
          <w:sz w:val="24"/>
          <w:szCs w:val="24"/>
          <w:lang w:val="en-GB" w:eastAsia="es-ES"/>
        </w:rPr>
        <w:t>0.004</w:t>
      </w:r>
      <w:r w:rsidR="00213ED1" w:rsidRPr="008A16EB">
        <w:rPr>
          <w:rFonts w:ascii="Arial" w:hAnsi="Arial" w:cs="Arial"/>
          <w:sz w:val="24"/>
          <w:szCs w:val="24"/>
          <w:lang w:val="en-GB"/>
        </w:rPr>
        <w:t xml:space="preserve">; </w:t>
      </w:r>
      <w:r w:rsidR="00213ED1" w:rsidRPr="008A16EB">
        <w:rPr>
          <w:rFonts w:ascii="Arial" w:eastAsia="Times New Roman" w:hAnsi="Arial" w:cs="Arial"/>
          <w:sz w:val="24"/>
          <w:szCs w:val="24"/>
          <w:lang w:val="en-GB" w:eastAsia="es-ES"/>
        </w:rPr>
        <w:t>η</w:t>
      </w:r>
      <w:r w:rsidR="00213ED1" w:rsidRPr="008A16EB">
        <w:rPr>
          <w:rFonts w:ascii="Arial" w:eastAsia="Times New Roman" w:hAnsi="Arial" w:cs="Arial"/>
          <w:sz w:val="24"/>
          <w:szCs w:val="24"/>
          <w:vertAlign w:val="subscript"/>
          <w:lang w:val="en-GB" w:eastAsia="es-ES"/>
        </w:rPr>
        <w:t>p</w:t>
      </w:r>
      <w:r w:rsidR="00213ED1" w:rsidRPr="008A16EB">
        <w:rPr>
          <w:rFonts w:ascii="Arial" w:eastAsia="Times New Roman" w:hAnsi="Arial" w:cs="Arial"/>
          <w:sz w:val="24"/>
          <w:szCs w:val="24"/>
          <w:vertAlign w:val="superscript"/>
          <w:lang w:val="en-GB" w:eastAsia="es-ES"/>
        </w:rPr>
        <w:t>2</w:t>
      </w:r>
      <w:r w:rsidR="00213ED1" w:rsidRPr="008A16EB">
        <w:rPr>
          <w:rFonts w:ascii="Arial" w:hAnsi="Arial" w:cs="Arial"/>
          <w:sz w:val="24"/>
          <w:szCs w:val="24"/>
          <w:lang w:val="en-GB"/>
        </w:rPr>
        <w:t>=</w:t>
      </w:r>
      <w:r w:rsidR="00213ED1" w:rsidRPr="008A16EB">
        <w:rPr>
          <w:rFonts w:ascii="Arial" w:eastAsia="Times New Roman" w:hAnsi="Arial" w:cs="Arial"/>
          <w:sz w:val="24"/>
          <w:szCs w:val="24"/>
          <w:lang w:val="en-GB" w:eastAsia="es-ES"/>
        </w:rPr>
        <w:t>0.02</w:t>
      </w:r>
      <w:r w:rsidR="00213ED1" w:rsidRPr="008A16EB">
        <w:rPr>
          <w:rFonts w:ascii="Arial" w:hAnsi="Arial" w:cs="Arial"/>
          <w:sz w:val="24"/>
          <w:szCs w:val="24"/>
          <w:lang w:val="en-GB"/>
        </w:rPr>
        <w:t xml:space="preserve">) </w:t>
      </w:r>
      <w:r w:rsidR="00213ED1" w:rsidRPr="008A16EB">
        <w:rPr>
          <w:rFonts w:ascii="Arial" w:hAnsi="Arial" w:cs="Arial"/>
          <w:b/>
          <w:bCs/>
          <w:sz w:val="24"/>
          <w:szCs w:val="24"/>
          <w:lang w:val="en-GB"/>
        </w:rPr>
        <w:t>B)</w:t>
      </w:r>
      <w:r w:rsidR="00213ED1" w:rsidRPr="008A16EB">
        <w:rPr>
          <w:rFonts w:ascii="Arial" w:hAnsi="Arial" w:cs="Arial"/>
          <w:sz w:val="24"/>
          <w:szCs w:val="24"/>
          <w:lang w:val="en-GB"/>
        </w:rPr>
        <w:t xml:space="preserve"> Bodyweight time course across chronic treatment and </w:t>
      </w:r>
      <w:r w:rsidR="00213ED1" w:rsidRPr="008A16EB">
        <w:rPr>
          <w:rFonts w:ascii="Arial" w:hAnsi="Arial" w:cs="Arial"/>
          <w:b/>
          <w:bCs/>
          <w:sz w:val="24"/>
          <w:szCs w:val="24"/>
          <w:lang w:val="en-GB"/>
        </w:rPr>
        <w:t>C)</w:t>
      </w:r>
      <w:r w:rsidR="00213ED1" w:rsidRPr="008A16EB">
        <w:rPr>
          <w:rFonts w:ascii="Arial" w:hAnsi="Arial" w:cs="Arial"/>
          <w:sz w:val="24"/>
          <w:szCs w:val="24"/>
          <w:lang w:val="en-GB"/>
        </w:rPr>
        <w:t xml:space="preserve"> Bodyweight time course in the three experimental points </w:t>
      </w:r>
      <w:r w:rsidR="00213ED1" w:rsidRPr="008A16EB">
        <w:rPr>
          <w:rFonts w:ascii="Arial" w:hAnsi="Arial" w:cs="Arial"/>
          <w:sz w:val="24"/>
          <w:szCs w:val="24"/>
          <w:lang w:val="en-GB"/>
        </w:rPr>
        <w:lastRenderedPageBreak/>
        <w:t xml:space="preserve">selected. </w:t>
      </w:r>
      <w:r w:rsidR="00213ED1" w:rsidRPr="008A16EB">
        <w:rPr>
          <w:rFonts w:ascii="Arial" w:hAnsi="Arial" w:cs="Arial"/>
          <w:b/>
          <w:bCs/>
          <w:sz w:val="24"/>
          <w:szCs w:val="24"/>
          <w:lang w:val="en-GB"/>
        </w:rPr>
        <w:t>D)</w:t>
      </w:r>
      <w:r w:rsidR="00213ED1" w:rsidRPr="008A16EB">
        <w:rPr>
          <w:rFonts w:ascii="Arial" w:hAnsi="Arial" w:cs="Arial"/>
          <w:sz w:val="24"/>
          <w:szCs w:val="24"/>
          <w:lang w:val="en-GB"/>
        </w:rPr>
        <w:t xml:space="preserve"> Net bodyweight gain during treatment (PND44 Weight - PND28 Weight) and </w:t>
      </w:r>
      <w:r w:rsidR="00213ED1" w:rsidRPr="008A16EB">
        <w:rPr>
          <w:rFonts w:ascii="Arial" w:hAnsi="Arial" w:cs="Arial"/>
          <w:b/>
          <w:bCs/>
          <w:sz w:val="24"/>
          <w:szCs w:val="24"/>
          <w:lang w:val="en-GB"/>
        </w:rPr>
        <w:t>E)</w:t>
      </w:r>
      <w:r w:rsidR="00213ED1" w:rsidRPr="008A16EB">
        <w:rPr>
          <w:rFonts w:ascii="Arial" w:hAnsi="Arial" w:cs="Arial"/>
          <w:sz w:val="24"/>
          <w:szCs w:val="24"/>
          <w:lang w:val="en-GB"/>
        </w:rPr>
        <w:t xml:space="preserve"> Net body weight gain during the washout period (Bodyweight on PND90– Bodyweight on PND44). The bodyweight gain during the THC treatment was slightly lower in the groups of THC-treated animals (F</w:t>
      </w:r>
      <w:r w:rsidR="00213ED1" w:rsidRPr="008A16EB">
        <w:rPr>
          <w:rFonts w:ascii="Arial" w:hAnsi="Arial" w:cs="Arial"/>
          <w:sz w:val="24"/>
          <w:szCs w:val="24"/>
          <w:vertAlign w:val="subscript"/>
          <w:lang w:val="en-GB"/>
        </w:rPr>
        <w:t>1.296</w:t>
      </w:r>
      <w:r w:rsidR="00213ED1" w:rsidRPr="008A16EB">
        <w:rPr>
          <w:rFonts w:ascii="Arial" w:hAnsi="Arial" w:cs="Arial"/>
          <w:sz w:val="24"/>
          <w:szCs w:val="24"/>
          <w:lang w:val="en-GB"/>
        </w:rPr>
        <w:t xml:space="preserve">=22.585; p&lt;0.000; </w:t>
      </w:r>
      <w:r w:rsidR="00213ED1" w:rsidRPr="008A16EB">
        <w:rPr>
          <w:rFonts w:ascii="Arial" w:eastAsia="Times New Roman" w:hAnsi="Arial" w:cs="Arial"/>
          <w:sz w:val="24"/>
          <w:szCs w:val="24"/>
          <w:lang w:val="en-GB" w:eastAsia="es-ES"/>
        </w:rPr>
        <w:t>η</w:t>
      </w:r>
      <w:r w:rsidR="00213ED1" w:rsidRPr="008A16EB">
        <w:rPr>
          <w:rFonts w:ascii="Arial" w:eastAsia="Times New Roman" w:hAnsi="Arial" w:cs="Arial"/>
          <w:sz w:val="24"/>
          <w:szCs w:val="24"/>
          <w:vertAlign w:val="subscript"/>
          <w:lang w:val="en-GB" w:eastAsia="es-ES"/>
        </w:rPr>
        <w:t>p</w:t>
      </w:r>
      <w:r w:rsidR="00213ED1" w:rsidRPr="008A16EB">
        <w:rPr>
          <w:rFonts w:ascii="Arial" w:eastAsia="Times New Roman" w:hAnsi="Arial" w:cs="Arial"/>
          <w:sz w:val="24"/>
          <w:szCs w:val="24"/>
          <w:vertAlign w:val="superscript"/>
          <w:lang w:val="en-GB" w:eastAsia="es-ES"/>
        </w:rPr>
        <w:t>2</w:t>
      </w:r>
      <w:r w:rsidR="00213ED1" w:rsidRPr="008A16EB">
        <w:rPr>
          <w:rFonts w:ascii="Arial" w:hAnsi="Arial" w:cs="Arial"/>
          <w:sz w:val="24"/>
          <w:szCs w:val="24"/>
          <w:lang w:val="en-GB"/>
        </w:rPr>
        <w:t>=0.07). However, only a significant Sex effect (male&gt;female) was found in weight gain during the washout period (F</w:t>
      </w:r>
      <w:r w:rsidR="00213ED1" w:rsidRPr="008A16EB">
        <w:rPr>
          <w:rFonts w:ascii="Arial" w:hAnsi="Arial" w:cs="Arial"/>
          <w:sz w:val="24"/>
          <w:szCs w:val="24"/>
          <w:vertAlign w:val="subscript"/>
          <w:lang w:val="en-GB"/>
        </w:rPr>
        <w:t>1,294</w:t>
      </w:r>
      <w:r w:rsidR="00213ED1" w:rsidRPr="008A16EB">
        <w:rPr>
          <w:rFonts w:ascii="Arial" w:hAnsi="Arial" w:cs="Arial"/>
          <w:sz w:val="24"/>
          <w:szCs w:val="24"/>
          <w:lang w:val="en-GB"/>
        </w:rPr>
        <w:t xml:space="preserve">=362.205; p&lt;0.000; </w:t>
      </w:r>
      <w:r w:rsidR="00213ED1" w:rsidRPr="008A16EB">
        <w:rPr>
          <w:rFonts w:ascii="Arial" w:eastAsia="Times New Roman" w:hAnsi="Arial" w:cs="Arial"/>
          <w:sz w:val="24"/>
          <w:szCs w:val="24"/>
          <w:lang w:val="en-GB" w:eastAsia="es-ES"/>
        </w:rPr>
        <w:t>η</w:t>
      </w:r>
      <w:r w:rsidR="00213ED1" w:rsidRPr="008A16EB">
        <w:rPr>
          <w:rFonts w:ascii="Arial" w:eastAsia="Times New Roman" w:hAnsi="Arial" w:cs="Arial"/>
          <w:sz w:val="24"/>
          <w:szCs w:val="24"/>
          <w:vertAlign w:val="subscript"/>
          <w:lang w:val="en-GB" w:eastAsia="es-ES"/>
        </w:rPr>
        <w:t>p</w:t>
      </w:r>
      <w:r w:rsidR="00213ED1" w:rsidRPr="008A16EB">
        <w:rPr>
          <w:rFonts w:ascii="Arial" w:eastAsia="Times New Roman" w:hAnsi="Arial" w:cs="Arial"/>
          <w:sz w:val="24"/>
          <w:szCs w:val="24"/>
          <w:vertAlign w:val="superscript"/>
          <w:lang w:val="en-GB" w:eastAsia="es-ES"/>
        </w:rPr>
        <w:t>2</w:t>
      </w:r>
      <w:r w:rsidR="00213ED1" w:rsidRPr="008A16EB">
        <w:rPr>
          <w:rFonts w:ascii="Arial" w:hAnsi="Arial" w:cs="Arial"/>
          <w:sz w:val="24"/>
          <w:szCs w:val="24"/>
          <w:lang w:val="en-GB"/>
        </w:rPr>
        <w:t>=0.51</w:t>
      </w:r>
      <w:r w:rsidR="00213ED1" w:rsidRPr="006E0C73">
        <w:rPr>
          <w:rFonts w:ascii="Arial" w:hAnsi="Arial" w:cs="Arial"/>
          <w:sz w:val="24"/>
          <w:szCs w:val="24"/>
          <w:lang w:val="en-GB"/>
        </w:rPr>
        <w:t>)</w:t>
      </w:r>
      <w:r w:rsidRPr="006E0C73">
        <w:rPr>
          <w:rFonts w:ascii="Arial" w:hAnsi="Arial" w:cs="Arial"/>
          <w:sz w:val="24"/>
          <w:szCs w:val="24"/>
          <w:lang w:val="en-GB"/>
        </w:rPr>
        <w:t>.</w:t>
      </w:r>
      <w:r w:rsidR="00BD03B5" w:rsidRPr="006E0C73">
        <w:rPr>
          <w:rFonts w:ascii="Arial" w:hAnsi="Arial" w:cs="Arial"/>
          <w:sz w:val="24"/>
          <w:szCs w:val="24"/>
          <w:lang w:val="en-GB"/>
        </w:rPr>
        <w:t xml:space="preserve"> </w:t>
      </w:r>
      <w:r w:rsidR="00BD03B5" w:rsidRPr="006E0C73">
        <w:rPr>
          <w:rFonts w:ascii="Arial" w:hAnsi="Arial" w:cs="Arial"/>
          <w:sz w:val="24"/>
          <w:szCs w:val="24"/>
          <w:lang w:val="en-US"/>
        </w:rPr>
        <w:t xml:space="preserve">The data are expressed as the </w:t>
      </w:r>
      <w:proofErr w:type="spellStart"/>
      <w:r w:rsidR="00BD03B5" w:rsidRPr="006E0C73">
        <w:rPr>
          <w:rFonts w:ascii="Arial" w:hAnsi="Arial" w:cs="Arial"/>
          <w:sz w:val="24"/>
          <w:szCs w:val="24"/>
          <w:lang w:val="en-US"/>
        </w:rPr>
        <w:t>mean±SEM</w:t>
      </w:r>
      <w:proofErr w:type="spellEnd"/>
      <w:r w:rsidR="00BD03B5" w:rsidRPr="006E0C73">
        <w:rPr>
          <w:rFonts w:ascii="Arial" w:hAnsi="Arial" w:cs="Arial"/>
          <w:sz w:val="24"/>
          <w:szCs w:val="24"/>
          <w:lang w:val="en-US"/>
        </w:rPr>
        <w:t xml:space="preserve"> values in addition to individual values in grouped data.</w:t>
      </w:r>
      <w:r w:rsidR="006E0C73" w:rsidRPr="006E0C73">
        <w:rPr>
          <w:rFonts w:ascii="Arial" w:hAnsi="Arial" w:cs="Arial"/>
          <w:sz w:val="24"/>
          <w:szCs w:val="24"/>
          <w:lang w:val="en-GB"/>
        </w:rPr>
        <w:t xml:space="preserve"> </w:t>
      </w:r>
      <w:r w:rsidR="006E0C73" w:rsidRPr="001B6FEA">
        <w:rPr>
          <w:rFonts w:ascii="Arial" w:hAnsi="Arial" w:cs="Arial"/>
          <w:color w:val="000000" w:themeColor="text1"/>
          <w:lang w:val="en-US"/>
        </w:rPr>
        <w:t xml:space="preserve">Significant effects of </w:t>
      </w:r>
      <w:r w:rsidR="000227B6">
        <w:rPr>
          <w:rFonts w:ascii="Arial" w:hAnsi="Arial" w:cs="Arial"/>
          <w:color w:val="000000" w:themeColor="text1"/>
          <w:lang w:val="en-US"/>
        </w:rPr>
        <w:t xml:space="preserve">the Sex </w:t>
      </w:r>
      <w:r w:rsidR="006E0C73" w:rsidRPr="001B6FEA">
        <w:rPr>
          <w:rFonts w:ascii="Arial" w:hAnsi="Arial" w:cs="Arial"/>
          <w:color w:val="000000" w:themeColor="text1"/>
          <w:lang w:val="en-US"/>
        </w:rPr>
        <w:t xml:space="preserve">factor </w:t>
      </w:r>
      <w:r w:rsidR="006E0C73">
        <w:rPr>
          <w:rFonts w:ascii="Arial" w:hAnsi="Arial" w:cs="Arial"/>
          <w:color w:val="000000" w:themeColor="text1"/>
          <w:lang w:val="en-US"/>
        </w:rPr>
        <w:t xml:space="preserve">are represented by “sex”, </w:t>
      </w:r>
      <w:r w:rsidR="00E16CCE">
        <w:rPr>
          <w:rFonts w:ascii="Arial" w:hAnsi="Arial" w:cs="Arial"/>
          <w:color w:val="000000" w:themeColor="text1"/>
          <w:lang w:val="en-US"/>
        </w:rPr>
        <w:t>ACE</w:t>
      </w:r>
      <w:r w:rsidR="00E16CCE" w:rsidRPr="001B6FEA">
        <w:rPr>
          <w:rFonts w:ascii="Arial" w:hAnsi="Arial" w:cs="Arial"/>
          <w:color w:val="000000" w:themeColor="text1"/>
          <w:lang w:val="en-US"/>
        </w:rPr>
        <w:t xml:space="preserve"> </w:t>
      </w:r>
      <w:r w:rsidR="006E0C73" w:rsidRPr="001B6FEA">
        <w:rPr>
          <w:rFonts w:ascii="Arial" w:hAnsi="Arial" w:cs="Arial"/>
          <w:color w:val="000000" w:themeColor="text1"/>
          <w:lang w:val="en-US"/>
        </w:rPr>
        <w:t xml:space="preserve">effects </w:t>
      </w:r>
      <w:r w:rsidR="000227B6">
        <w:rPr>
          <w:rFonts w:ascii="Arial" w:hAnsi="Arial" w:cs="Arial"/>
          <w:color w:val="000000" w:themeColor="text1"/>
          <w:lang w:val="en-US"/>
        </w:rPr>
        <w:t xml:space="preserve">are </w:t>
      </w:r>
      <w:r w:rsidR="006E0C73" w:rsidRPr="001B6FEA">
        <w:rPr>
          <w:rFonts w:ascii="Arial" w:hAnsi="Arial" w:cs="Arial"/>
          <w:color w:val="000000" w:themeColor="text1"/>
          <w:lang w:val="en-US"/>
        </w:rPr>
        <w:t xml:space="preserve">represented </w:t>
      </w:r>
      <w:r w:rsidR="006E0C73">
        <w:rPr>
          <w:rFonts w:ascii="Arial" w:hAnsi="Arial" w:cs="Arial"/>
          <w:lang w:val="en-US"/>
        </w:rPr>
        <w:t>by “</w:t>
      </w:r>
      <w:proofErr w:type="spellStart"/>
      <w:r w:rsidR="006E0C73">
        <w:rPr>
          <w:rFonts w:ascii="Arial" w:hAnsi="Arial" w:cs="Arial"/>
          <w:lang w:val="en-US"/>
        </w:rPr>
        <w:t>thc</w:t>
      </w:r>
      <w:proofErr w:type="spellEnd"/>
      <w:r w:rsidR="006E0C73">
        <w:rPr>
          <w:rFonts w:ascii="Arial" w:hAnsi="Arial" w:cs="Arial"/>
          <w:lang w:val="en-US"/>
        </w:rPr>
        <w:t>”.</w:t>
      </w:r>
    </w:p>
    <w:p w14:paraId="381321FF" w14:textId="40CAFBF1" w:rsidR="007718C2" w:rsidRPr="008A16EB" w:rsidRDefault="007718C2" w:rsidP="008A16EB">
      <w:pPr>
        <w:spacing w:line="360" w:lineRule="auto"/>
        <w:jc w:val="both"/>
        <w:rPr>
          <w:rFonts w:ascii="Arial" w:hAnsi="Arial" w:cs="Arial"/>
          <w:sz w:val="24"/>
          <w:szCs w:val="24"/>
          <w:lang w:val="en-GB"/>
        </w:rPr>
      </w:pPr>
      <w:r>
        <w:rPr>
          <w:noProof/>
        </w:rPr>
        <w:drawing>
          <wp:inline distT="0" distB="0" distL="0" distR="0" wp14:anchorId="4630171B" wp14:editId="3322E881">
            <wp:extent cx="5400040" cy="4039235"/>
            <wp:effectExtent l="0" t="0" r="0" b="0"/>
            <wp:docPr id="119" name="Picture 118">
              <a:extLst xmlns:a="http://schemas.openxmlformats.org/drawingml/2006/main">
                <a:ext uri="{FF2B5EF4-FFF2-40B4-BE49-F238E27FC236}">
                  <a16:creationId xmlns:a16="http://schemas.microsoft.com/office/drawing/2014/main" id="{D5643B77-4338-4491-BF09-99CAE21401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8">
                      <a:extLst>
                        <a:ext uri="{FF2B5EF4-FFF2-40B4-BE49-F238E27FC236}">
                          <a16:creationId xmlns:a16="http://schemas.microsoft.com/office/drawing/2014/main" id="{D5643B77-4338-4491-BF09-99CAE21401E7}"/>
                        </a:ext>
                      </a:extLst>
                    </pic:cNvPr>
                    <pic:cNvPicPr>
                      <a:picLocks noChangeAspect="1"/>
                    </pic:cNvPicPr>
                  </pic:nvPicPr>
                  <pic:blipFill>
                    <a:blip r:embed="rId12"/>
                    <a:stretch>
                      <a:fillRect/>
                    </a:stretch>
                  </pic:blipFill>
                  <pic:spPr>
                    <a:xfrm>
                      <a:off x="0" y="0"/>
                      <a:ext cx="5400040" cy="4039235"/>
                    </a:xfrm>
                    <a:prstGeom prst="rect">
                      <a:avLst/>
                    </a:prstGeom>
                  </pic:spPr>
                </pic:pic>
              </a:graphicData>
            </a:graphic>
          </wp:inline>
        </w:drawing>
      </w:r>
    </w:p>
    <w:p w14:paraId="4207A1BE" w14:textId="0437D459" w:rsidR="00213ED1" w:rsidRDefault="007718C2" w:rsidP="007718C2">
      <w:pPr>
        <w:spacing w:line="360" w:lineRule="auto"/>
        <w:jc w:val="both"/>
        <w:rPr>
          <w:rFonts w:ascii="Arial" w:hAnsi="Arial" w:cs="Arial"/>
          <w:lang w:val="en-US"/>
        </w:rPr>
      </w:pPr>
      <w:r w:rsidRPr="00016E4D">
        <w:rPr>
          <w:rFonts w:ascii="Arial" w:eastAsia="Arial Unicode MS" w:hAnsi="Arial" w:cs="Arial"/>
          <w:b/>
          <w:bCs/>
          <w:sz w:val="24"/>
          <w:szCs w:val="24"/>
          <w:lang w:val="en-US"/>
        </w:rPr>
        <w:t>Figure S2.</w:t>
      </w:r>
      <w:r w:rsidRPr="00016E4D">
        <w:rPr>
          <w:rFonts w:ascii="Arial" w:eastAsiaTheme="minorEastAsia" w:hAnsi="Arial" w:cs="Arial"/>
          <w:b/>
          <w:bCs/>
          <w:kern w:val="24"/>
          <w:lang w:val="en-US"/>
        </w:rPr>
        <w:t xml:space="preserve"> </w:t>
      </w:r>
      <w:r w:rsidRPr="00016E4D">
        <w:rPr>
          <w:rFonts w:ascii="Arial" w:eastAsia="Arial Unicode MS" w:hAnsi="Arial" w:cs="Arial"/>
          <w:b/>
          <w:bCs/>
          <w:sz w:val="24"/>
          <w:szCs w:val="24"/>
          <w:lang w:val="en-US"/>
        </w:rPr>
        <w:t>Habit Formation</w:t>
      </w:r>
      <w:r w:rsidRPr="00016E4D">
        <w:rPr>
          <w:rFonts w:ascii="Arial" w:eastAsia="Arial Unicode MS" w:hAnsi="Arial" w:cs="Arial"/>
          <w:sz w:val="24"/>
          <w:szCs w:val="24"/>
          <w:lang w:val="en-US"/>
        </w:rPr>
        <w:t xml:space="preserve">. </w:t>
      </w:r>
      <w:r w:rsidRPr="007718C2">
        <w:rPr>
          <w:rFonts w:ascii="Arial" w:hAnsi="Arial" w:cs="Arial"/>
          <w:b/>
          <w:bCs/>
          <w:lang w:val="en-US"/>
        </w:rPr>
        <w:t>A)</w:t>
      </w:r>
      <w:r w:rsidRPr="007718C2">
        <w:rPr>
          <w:rFonts w:ascii="Arial" w:hAnsi="Arial" w:cs="Arial"/>
          <w:lang w:val="en-US"/>
        </w:rPr>
        <w:t xml:space="preserve"> Devaluation index obtained in the outcome devaluation tests. </w:t>
      </w:r>
      <w:r w:rsidRPr="007718C2">
        <w:rPr>
          <w:rFonts w:ascii="Arial" w:hAnsi="Arial" w:cs="Arial"/>
          <w:b/>
          <w:bCs/>
          <w:lang w:val="en-US"/>
        </w:rPr>
        <w:t>B)</w:t>
      </w:r>
      <w:r w:rsidRPr="007718C2">
        <w:rPr>
          <w:rFonts w:ascii="Arial" w:hAnsi="Arial" w:cs="Arial"/>
          <w:lang w:val="en-US"/>
        </w:rPr>
        <w:t xml:space="preserve"> Lever presses in the contingency degradation tests. </w:t>
      </w:r>
      <w:r w:rsidR="00BD03B5" w:rsidRPr="00BD03B5">
        <w:rPr>
          <w:rFonts w:ascii="Arial" w:hAnsi="Arial" w:cs="Arial"/>
          <w:lang w:val="en-US"/>
        </w:rPr>
        <w:t>The</w:t>
      </w:r>
      <w:r w:rsidR="00BD03B5">
        <w:rPr>
          <w:rFonts w:ascii="Arial" w:hAnsi="Arial" w:cs="Arial"/>
          <w:lang w:val="en-US"/>
        </w:rPr>
        <w:t xml:space="preserve"> g</w:t>
      </w:r>
      <w:r w:rsidRPr="006C2A16">
        <w:rPr>
          <w:rFonts w:ascii="Arial" w:hAnsi="Arial" w:cs="Arial"/>
          <w:lang w:val="en-US"/>
        </w:rPr>
        <w:t xml:space="preserve">raphs represent individual values and </w:t>
      </w:r>
      <w:proofErr w:type="spellStart"/>
      <w:r w:rsidRPr="006C2A16">
        <w:rPr>
          <w:rFonts w:ascii="Arial" w:hAnsi="Arial" w:cs="Arial"/>
          <w:lang w:val="en-US"/>
        </w:rPr>
        <w:t>mean±SEM</w:t>
      </w:r>
      <w:proofErr w:type="spellEnd"/>
      <w:r w:rsidRPr="006C2A16">
        <w:rPr>
          <w:rFonts w:ascii="Arial" w:hAnsi="Arial" w:cs="Arial"/>
          <w:lang w:val="en-US"/>
        </w:rPr>
        <w:t>.</w:t>
      </w:r>
    </w:p>
    <w:p w14:paraId="698B0715" w14:textId="1DC57401" w:rsidR="00CD2AB6" w:rsidRPr="007718C2" w:rsidRDefault="0083088B" w:rsidP="007718C2">
      <w:pPr>
        <w:spacing w:line="360" w:lineRule="auto"/>
        <w:jc w:val="both"/>
        <w:rPr>
          <w:rFonts w:ascii="Arial" w:eastAsia="Arial Unicode MS" w:hAnsi="Arial" w:cs="Arial"/>
          <w:sz w:val="24"/>
          <w:szCs w:val="24"/>
          <w:lang w:val="en-US"/>
        </w:rPr>
      </w:pPr>
      <w:r>
        <w:rPr>
          <w:rFonts w:ascii="Arial" w:eastAsia="Arial Unicode MS" w:hAnsi="Arial" w:cs="Arial"/>
          <w:noProof/>
          <w:sz w:val="24"/>
          <w:szCs w:val="24"/>
          <w:lang w:val="en-US"/>
        </w:rPr>
        <w:lastRenderedPageBreak/>
        <w:drawing>
          <wp:inline distT="0" distB="0" distL="0" distR="0" wp14:anchorId="22E8444A" wp14:editId="0036113D">
            <wp:extent cx="5380127" cy="5495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5023" cy="5510545"/>
                    </a:xfrm>
                    <a:prstGeom prst="rect">
                      <a:avLst/>
                    </a:prstGeom>
                    <a:noFill/>
                  </pic:spPr>
                </pic:pic>
              </a:graphicData>
            </a:graphic>
          </wp:inline>
        </w:drawing>
      </w:r>
    </w:p>
    <w:p w14:paraId="32C11C8C" w14:textId="60DDDCA0" w:rsidR="00BD03B5" w:rsidRPr="00BD03B5" w:rsidRDefault="00CD2AB6" w:rsidP="00BD03B5">
      <w:pPr>
        <w:spacing w:line="360" w:lineRule="auto"/>
        <w:jc w:val="both"/>
        <w:rPr>
          <w:rFonts w:ascii="Arial" w:hAnsi="Arial" w:cs="Arial"/>
          <w:lang w:val="en-US"/>
        </w:rPr>
      </w:pPr>
      <w:r w:rsidRPr="00016E4D">
        <w:rPr>
          <w:rFonts w:ascii="Arial" w:hAnsi="Arial" w:cs="Arial"/>
          <w:b/>
          <w:bCs/>
          <w:sz w:val="24"/>
          <w:szCs w:val="24"/>
          <w:lang w:val="en-GB"/>
        </w:rPr>
        <w:t>Figure S3: Pavlovian to Instrumental Transfer (PIT) supplementary figures.</w:t>
      </w:r>
      <w:r w:rsidR="00ED49A4" w:rsidRPr="00016E4D">
        <w:rPr>
          <w:rFonts w:ascii="Arial" w:hAnsi="Arial" w:cs="Arial"/>
          <w:b/>
          <w:bCs/>
          <w:sz w:val="24"/>
          <w:szCs w:val="24"/>
          <w:lang w:val="en-GB"/>
        </w:rPr>
        <w:t xml:space="preserve"> </w:t>
      </w:r>
      <w:r w:rsidR="00ED49A4" w:rsidRPr="008A16EB">
        <w:rPr>
          <w:rFonts w:ascii="Arial" w:hAnsi="Arial" w:cs="Arial"/>
          <w:b/>
          <w:bCs/>
          <w:sz w:val="24"/>
          <w:szCs w:val="24"/>
          <w:lang w:val="en-GB"/>
        </w:rPr>
        <w:t>A)</w:t>
      </w:r>
      <w:r w:rsidR="00ED49A4" w:rsidRPr="008A16EB">
        <w:rPr>
          <w:rFonts w:ascii="Arial" w:hAnsi="Arial" w:cs="Arial"/>
          <w:sz w:val="24"/>
          <w:szCs w:val="24"/>
          <w:lang w:val="en-GB"/>
        </w:rPr>
        <w:t xml:space="preserve"> Head entries (HEs) ratio across </w:t>
      </w:r>
      <w:r w:rsidR="00F379FF">
        <w:rPr>
          <w:rFonts w:ascii="Arial" w:hAnsi="Arial" w:cs="Arial"/>
          <w:sz w:val="24"/>
          <w:szCs w:val="24"/>
          <w:lang w:val="en-GB"/>
        </w:rPr>
        <w:t>P</w:t>
      </w:r>
      <w:r w:rsidR="00ED49A4" w:rsidRPr="008A16EB">
        <w:rPr>
          <w:rFonts w:ascii="Arial" w:hAnsi="Arial" w:cs="Arial"/>
          <w:sz w:val="24"/>
          <w:szCs w:val="24"/>
          <w:lang w:val="en-GB"/>
        </w:rPr>
        <w:t>avlovian training sessions. Males and females are plotted separately for the sake of visual clarity. There was a general increase in the amount of HEs during CS</w:t>
      </w:r>
      <w:r w:rsidR="00ED49A4" w:rsidRPr="009C09F9">
        <w:rPr>
          <w:rFonts w:ascii="Arial" w:hAnsi="Arial" w:cs="Arial"/>
          <w:sz w:val="24"/>
          <w:szCs w:val="24"/>
          <w:vertAlign w:val="superscript"/>
          <w:lang w:val="en-GB"/>
        </w:rPr>
        <w:t xml:space="preserve">+ </w:t>
      </w:r>
      <w:r w:rsidR="00ED49A4" w:rsidRPr="008A16EB">
        <w:rPr>
          <w:rFonts w:ascii="Arial" w:hAnsi="Arial" w:cs="Arial"/>
          <w:sz w:val="24"/>
          <w:szCs w:val="24"/>
          <w:lang w:val="en-GB"/>
        </w:rPr>
        <w:t>across the sessions (F</w:t>
      </w:r>
      <w:r w:rsidR="00ED49A4" w:rsidRPr="008A16EB">
        <w:rPr>
          <w:rFonts w:ascii="Arial" w:hAnsi="Arial" w:cs="Arial"/>
          <w:sz w:val="24"/>
          <w:szCs w:val="24"/>
          <w:vertAlign w:val="subscript"/>
          <w:lang w:val="en-GB"/>
        </w:rPr>
        <w:t>5.7,341.6</w:t>
      </w:r>
      <w:r w:rsidR="00ED49A4" w:rsidRPr="008A16EB">
        <w:rPr>
          <w:rFonts w:ascii="Arial" w:hAnsi="Arial" w:cs="Arial"/>
          <w:sz w:val="24"/>
          <w:szCs w:val="24"/>
          <w:lang w:val="en-GB"/>
        </w:rPr>
        <w:t>=9.657; p=0.000;</w:t>
      </w:r>
      <w:r w:rsidR="00ED49A4" w:rsidRPr="008A16EB">
        <w:rPr>
          <w:rFonts w:ascii="Arial" w:eastAsia="Times New Roman" w:hAnsi="Arial" w:cs="Arial"/>
          <w:sz w:val="24"/>
          <w:szCs w:val="24"/>
          <w:lang w:val="en-GB" w:eastAsia="es-ES"/>
        </w:rPr>
        <w:t xml:space="preserve">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=0.14</w:t>
      </w:r>
      <w:r w:rsidR="00ED49A4" w:rsidRPr="008A16EB">
        <w:rPr>
          <w:rFonts w:ascii="Arial" w:hAnsi="Arial" w:cs="Arial"/>
          <w:sz w:val="24"/>
          <w:szCs w:val="24"/>
          <w:lang w:val="en-GB"/>
        </w:rPr>
        <w:t xml:space="preserve">). Also, there was a Sex x </w:t>
      </w:r>
      <w:r w:rsidR="00E16CCE">
        <w:rPr>
          <w:rFonts w:ascii="Arial" w:hAnsi="Arial" w:cs="Arial"/>
          <w:sz w:val="24"/>
          <w:szCs w:val="24"/>
          <w:lang w:val="en-GB"/>
        </w:rPr>
        <w:t>ACE</w:t>
      </w:r>
      <w:r w:rsidR="00E16CCE" w:rsidRPr="008A16EB">
        <w:rPr>
          <w:rFonts w:ascii="Arial" w:hAnsi="Arial" w:cs="Arial"/>
          <w:sz w:val="24"/>
          <w:szCs w:val="24"/>
          <w:lang w:val="en-GB"/>
        </w:rPr>
        <w:t xml:space="preserve"> </w:t>
      </w:r>
      <w:r w:rsidR="00ED49A4" w:rsidRPr="008A16EB">
        <w:rPr>
          <w:rFonts w:ascii="Arial" w:hAnsi="Arial" w:cs="Arial"/>
          <w:sz w:val="24"/>
          <w:szCs w:val="24"/>
          <w:lang w:val="en-GB"/>
        </w:rPr>
        <w:t>interaction (F</w:t>
      </w:r>
      <w:r w:rsidR="00ED49A4" w:rsidRPr="008A16EB">
        <w:rPr>
          <w:rFonts w:ascii="Arial" w:hAnsi="Arial" w:cs="Arial"/>
          <w:sz w:val="24"/>
          <w:szCs w:val="24"/>
          <w:vertAlign w:val="subscript"/>
          <w:lang w:val="en-GB"/>
        </w:rPr>
        <w:t>5.7,341.6</w:t>
      </w:r>
      <w:r w:rsidR="00ED49A4" w:rsidRPr="008A16EB">
        <w:rPr>
          <w:rFonts w:ascii="Arial" w:hAnsi="Arial" w:cs="Arial"/>
          <w:sz w:val="24"/>
          <w:szCs w:val="24"/>
          <w:lang w:val="en-GB"/>
        </w:rPr>
        <w:t xml:space="preserve"> =</w:t>
      </w:r>
      <w:r w:rsidR="00ED49A4" w:rsidRPr="008A16EB">
        <w:rPr>
          <w:rFonts w:ascii="Arial" w:eastAsia="Times New Roman" w:hAnsi="Arial" w:cs="Arial"/>
          <w:sz w:val="24"/>
          <w:szCs w:val="24"/>
          <w:lang w:val="en-GB" w:eastAsia="es-ES"/>
        </w:rPr>
        <w:t xml:space="preserve">2.338; </w:t>
      </w:r>
      <w:r w:rsidR="00ED49A4" w:rsidRPr="008A16EB">
        <w:rPr>
          <w:rFonts w:ascii="Arial" w:hAnsi="Arial" w:cs="Arial"/>
          <w:sz w:val="24"/>
          <w:szCs w:val="24"/>
          <w:lang w:val="en-GB"/>
        </w:rPr>
        <w:t>p=</w:t>
      </w:r>
      <w:r w:rsidR="00ED49A4" w:rsidRPr="008A16EB">
        <w:rPr>
          <w:rFonts w:ascii="Arial" w:eastAsia="Times New Roman" w:hAnsi="Arial" w:cs="Arial"/>
          <w:sz w:val="24"/>
          <w:szCs w:val="24"/>
          <w:lang w:val="en-GB" w:eastAsia="es-ES"/>
        </w:rPr>
        <w:t>0.033;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 xml:space="preserve">=0.03), but no differences were detected in the analysis of the simple effects. </w:t>
      </w:r>
      <w:r w:rsidR="00BD03B5">
        <w:rPr>
          <w:rFonts w:ascii="Arial" w:hAnsi="Arial" w:cs="Arial"/>
          <w:b/>
          <w:bCs/>
          <w:sz w:val="24"/>
          <w:szCs w:val="24"/>
          <w:lang w:val="en-GB"/>
        </w:rPr>
        <w:t>B</w:t>
      </w:r>
      <w:r w:rsidR="00ED49A4" w:rsidRPr="008A16EB">
        <w:rPr>
          <w:rFonts w:ascii="Arial" w:hAnsi="Arial" w:cs="Arial"/>
          <w:b/>
          <w:bCs/>
          <w:sz w:val="24"/>
          <w:szCs w:val="24"/>
          <w:lang w:val="en-GB"/>
        </w:rPr>
        <w:t>)</w:t>
      </w:r>
      <w:r w:rsidR="00ED49A4" w:rsidRPr="008A16EB">
        <w:rPr>
          <w:rFonts w:ascii="Arial" w:hAnsi="Arial" w:cs="Arial"/>
          <w:sz w:val="24"/>
          <w:szCs w:val="24"/>
          <w:lang w:val="en-GB"/>
        </w:rPr>
        <w:t xml:space="preserve"> Active to inactive Lever Press ratio across training sessions. Males and females plotted separately for the sake of visual clarity. There was a general increase in the discrimination and preference for the AL over the IL across the sessions (F</w:t>
      </w:r>
      <w:r w:rsidR="00ED49A4" w:rsidRPr="008A16EB">
        <w:rPr>
          <w:rFonts w:ascii="Arial" w:eastAsia="Times New Roman" w:hAnsi="Arial" w:cs="Arial"/>
          <w:sz w:val="24"/>
          <w:szCs w:val="24"/>
          <w:vertAlign w:val="subscript"/>
          <w:lang w:val="en-GB" w:eastAsia="es-ES"/>
        </w:rPr>
        <w:t>2.09</w:t>
      </w:r>
      <w:r w:rsidR="00ED49A4" w:rsidRPr="008A16EB">
        <w:rPr>
          <w:rFonts w:ascii="Arial" w:hAnsi="Arial" w:cs="Arial"/>
          <w:sz w:val="24"/>
          <w:szCs w:val="24"/>
          <w:vertAlign w:val="subscript"/>
          <w:lang w:val="en-GB"/>
        </w:rPr>
        <w:t>,</w:t>
      </w:r>
      <w:r w:rsidR="00ED49A4" w:rsidRPr="008A16EB">
        <w:rPr>
          <w:rFonts w:ascii="Arial" w:eastAsia="Times New Roman" w:hAnsi="Arial" w:cs="Arial"/>
          <w:sz w:val="24"/>
          <w:szCs w:val="24"/>
          <w:vertAlign w:val="subscript"/>
          <w:lang w:val="en-GB" w:eastAsia="es-ES"/>
        </w:rPr>
        <w:t>396</w:t>
      </w:r>
      <w:r w:rsidR="00ED49A4" w:rsidRPr="008A16EB">
        <w:rPr>
          <w:rFonts w:ascii="Arial" w:hAnsi="Arial" w:cs="Arial"/>
          <w:sz w:val="24"/>
          <w:szCs w:val="24"/>
          <w:lang w:val="en-GB"/>
        </w:rPr>
        <w:t>=</w:t>
      </w:r>
      <w:r w:rsidR="00ED49A4" w:rsidRPr="008A16EB">
        <w:rPr>
          <w:rFonts w:ascii="Arial" w:eastAsia="Times New Roman" w:hAnsi="Arial" w:cs="Arial"/>
          <w:sz w:val="24"/>
          <w:szCs w:val="24"/>
          <w:lang w:val="en-GB" w:eastAsia="es-ES"/>
        </w:rPr>
        <w:t>136.664</w:t>
      </w:r>
      <w:r w:rsidR="00ED49A4" w:rsidRPr="008A16EB">
        <w:rPr>
          <w:rFonts w:ascii="Arial" w:hAnsi="Arial" w:cs="Arial"/>
          <w:sz w:val="24"/>
          <w:szCs w:val="24"/>
          <w:lang w:val="en-GB"/>
        </w:rPr>
        <w:t>; p=</w:t>
      </w:r>
      <w:r w:rsidR="00ED49A4" w:rsidRPr="008A16EB">
        <w:rPr>
          <w:rFonts w:ascii="Arial" w:eastAsia="Times New Roman" w:hAnsi="Arial" w:cs="Arial"/>
          <w:sz w:val="24"/>
          <w:szCs w:val="24"/>
          <w:lang w:val="en-GB" w:eastAsia="es-ES"/>
        </w:rPr>
        <w:t>0.000;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 xml:space="preserve">=0.67). </w:t>
      </w:r>
      <w:r w:rsidR="00BD03B5">
        <w:rPr>
          <w:rFonts w:ascii="Arial" w:hAnsi="Arial" w:cs="Arial"/>
          <w:b/>
          <w:bCs/>
          <w:sz w:val="24"/>
          <w:szCs w:val="24"/>
          <w:lang w:val="en-GB"/>
        </w:rPr>
        <w:t>C</w:t>
      </w:r>
      <w:r w:rsidR="00ED49A4" w:rsidRPr="008A16EB">
        <w:rPr>
          <w:rFonts w:ascii="Arial" w:hAnsi="Arial" w:cs="Arial"/>
          <w:b/>
          <w:bCs/>
          <w:sz w:val="24"/>
          <w:szCs w:val="24"/>
          <w:lang w:val="en-GB"/>
        </w:rPr>
        <w:t>)</w:t>
      </w:r>
      <w:r w:rsidR="00ED49A4" w:rsidRPr="008A16EB">
        <w:rPr>
          <w:rFonts w:ascii="Arial" w:hAnsi="Arial" w:cs="Arial"/>
          <w:sz w:val="24"/>
          <w:szCs w:val="24"/>
          <w:lang w:val="en-GB"/>
        </w:rPr>
        <w:t xml:space="preserve"> Percentage of lever presses during the CS</w:t>
      </w:r>
      <w:r w:rsidR="00ED49A4" w:rsidRPr="006B021A">
        <w:rPr>
          <w:rFonts w:ascii="Arial" w:hAnsi="Arial" w:cs="Arial"/>
          <w:sz w:val="24"/>
          <w:szCs w:val="24"/>
          <w:vertAlign w:val="superscript"/>
          <w:lang w:val="en-GB"/>
        </w:rPr>
        <w:t>+</w:t>
      </w:r>
      <w:r w:rsidR="00ED49A4" w:rsidRPr="008A16EB">
        <w:rPr>
          <w:rFonts w:ascii="Arial" w:hAnsi="Arial" w:cs="Arial"/>
          <w:sz w:val="24"/>
          <w:szCs w:val="24"/>
          <w:lang w:val="en-GB"/>
        </w:rPr>
        <w:t xml:space="preserve"> in the transference test. No differences between groups were detected including animals that did not express PIT (F</w:t>
      </w:r>
      <w:r w:rsidR="00ED49A4" w:rsidRPr="008A16EB">
        <w:rPr>
          <w:rFonts w:ascii="Arial" w:eastAsia="Times New Roman" w:hAnsi="Arial" w:cs="Arial"/>
          <w:sz w:val="24"/>
          <w:szCs w:val="24"/>
          <w:vertAlign w:val="subscript"/>
          <w:lang w:val="en-GB" w:eastAsia="es-ES"/>
        </w:rPr>
        <w:t>3</w:t>
      </w:r>
      <w:r w:rsidR="00ED49A4" w:rsidRPr="008A16EB">
        <w:rPr>
          <w:rFonts w:ascii="Arial" w:hAnsi="Arial" w:cs="Arial"/>
          <w:sz w:val="24"/>
          <w:szCs w:val="24"/>
          <w:vertAlign w:val="subscript"/>
          <w:lang w:val="en-GB"/>
        </w:rPr>
        <w:t>,</w:t>
      </w:r>
      <w:r w:rsidR="00ED49A4" w:rsidRPr="008A16EB">
        <w:rPr>
          <w:rFonts w:ascii="Arial" w:eastAsia="Times New Roman" w:hAnsi="Arial" w:cs="Arial"/>
          <w:sz w:val="24"/>
          <w:szCs w:val="24"/>
          <w:vertAlign w:val="subscript"/>
          <w:lang w:val="en-GB" w:eastAsia="es-ES"/>
        </w:rPr>
        <w:t>43</w:t>
      </w:r>
      <w:r w:rsidR="00ED49A4" w:rsidRPr="008A16EB">
        <w:rPr>
          <w:rFonts w:ascii="Arial" w:hAnsi="Arial" w:cs="Arial"/>
          <w:sz w:val="24"/>
          <w:szCs w:val="24"/>
          <w:lang w:val="en-GB"/>
        </w:rPr>
        <w:t>=</w:t>
      </w:r>
      <w:r w:rsidR="00ED49A4" w:rsidRPr="008A16EB">
        <w:rPr>
          <w:rFonts w:ascii="Arial" w:eastAsia="Times New Roman" w:hAnsi="Arial" w:cs="Arial"/>
          <w:sz w:val="24"/>
          <w:szCs w:val="24"/>
          <w:lang w:val="en-GB" w:eastAsia="es-ES"/>
        </w:rPr>
        <w:t>1.031</w:t>
      </w:r>
      <w:r w:rsidR="00ED49A4" w:rsidRPr="008A16EB">
        <w:rPr>
          <w:rFonts w:ascii="Arial" w:hAnsi="Arial" w:cs="Arial"/>
          <w:sz w:val="24"/>
          <w:szCs w:val="24"/>
          <w:lang w:val="en-GB"/>
        </w:rPr>
        <w:t>; p=</w:t>
      </w:r>
      <w:r w:rsidR="00ED49A4" w:rsidRPr="008A16EB">
        <w:rPr>
          <w:rFonts w:ascii="Arial" w:eastAsia="Times New Roman" w:hAnsi="Arial" w:cs="Arial"/>
          <w:sz w:val="24"/>
          <w:szCs w:val="24"/>
          <w:lang w:val="en-GB" w:eastAsia="es-ES"/>
        </w:rPr>
        <w:t xml:space="preserve">0.389; </w:t>
      </w:r>
      <w:r w:rsidR="00ED49A4" w:rsidRPr="008A16EB">
        <w:rPr>
          <w:rFonts w:ascii="Arial" w:eastAsia="Times New Roman" w:hAnsi="Arial" w:cs="Arial"/>
          <w:sz w:val="24"/>
          <w:szCs w:val="24"/>
          <w:lang w:val="en-GB" w:eastAsia="es-ES"/>
        </w:rPr>
        <w:lastRenderedPageBreak/>
        <w:t>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=0.07).</w:t>
      </w:r>
      <w:r w:rsidR="00ED49A4" w:rsidRPr="008A16EB">
        <w:rPr>
          <w:rFonts w:ascii="Arial" w:hAnsi="Arial" w:cs="Arial"/>
          <w:sz w:val="24"/>
          <w:szCs w:val="24"/>
          <w:lang w:val="en-GB"/>
        </w:rPr>
        <w:t xml:space="preserve"> </w:t>
      </w:r>
      <w:r w:rsidR="00BD03B5">
        <w:rPr>
          <w:rFonts w:ascii="Arial" w:hAnsi="Arial" w:cs="Arial"/>
          <w:b/>
          <w:bCs/>
          <w:sz w:val="24"/>
          <w:szCs w:val="24"/>
          <w:lang w:val="en-GB"/>
        </w:rPr>
        <w:t>D</w:t>
      </w:r>
      <w:r w:rsidR="00ED49A4" w:rsidRPr="008A16EB">
        <w:rPr>
          <w:rFonts w:ascii="Arial" w:hAnsi="Arial" w:cs="Arial"/>
          <w:b/>
          <w:bCs/>
          <w:sz w:val="24"/>
          <w:szCs w:val="24"/>
          <w:lang w:val="en-GB"/>
        </w:rPr>
        <w:t>)</w:t>
      </w:r>
      <w:r w:rsidR="00ED49A4" w:rsidRPr="008A16EB">
        <w:rPr>
          <w:rFonts w:ascii="Arial" w:hAnsi="Arial" w:cs="Arial"/>
          <w:sz w:val="24"/>
          <w:szCs w:val="24"/>
          <w:lang w:val="en-GB"/>
        </w:rPr>
        <w:t xml:space="preserve"> Total Lever Presses during the CS</w:t>
      </w:r>
      <w:r w:rsidR="00ED49A4" w:rsidRPr="00EB7896">
        <w:rPr>
          <w:rFonts w:ascii="Arial" w:hAnsi="Arial" w:cs="Arial"/>
          <w:sz w:val="24"/>
          <w:szCs w:val="24"/>
          <w:vertAlign w:val="superscript"/>
          <w:lang w:val="en-GB"/>
        </w:rPr>
        <w:t>+</w:t>
      </w:r>
      <w:r w:rsidR="00ED49A4" w:rsidRPr="008A16EB">
        <w:rPr>
          <w:rFonts w:ascii="Arial" w:hAnsi="Arial" w:cs="Arial"/>
          <w:sz w:val="24"/>
          <w:szCs w:val="24"/>
          <w:lang w:val="en-GB"/>
        </w:rPr>
        <w:t xml:space="preserve"> in the transference test. No differences between groups were detected (F</w:t>
      </w:r>
      <w:r w:rsidR="00ED49A4" w:rsidRPr="008A16EB">
        <w:rPr>
          <w:rFonts w:ascii="Arial" w:eastAsia="Times New Roman" w:hAnsi="Arial" w:cs="Arial"/>
          <w:sz w:val="24"/>
          <w:szCs w:val="24"/>
          <w:vertAlign w:val="subscript"/>
          <w:lang w:val="en-GB" w:eastAsia="es-ES"/>
        </w:rPr>
        <w:t>3,42</w:t>
      </w:r>
      <w:r w:rsidR="00ED49A4" w:rsidRPr="008A16EB">
        <w:rPr>
          <w:rFonts w:ascii="Arial" w:hAnsi="Arial" w:cs="Arial"/>
          <w:sz w:val="24"/>
          <w:szCs w:val="24"/>
          <w:lang w:val="en-GB"/>
        </w:rPr>
        <w:t>=</w:t>
      </w:r>
      <w:r w:rsidR="00ED49A4" w:rsidRPr="008A16EB">
        <w:rPr>
          <w:rFonts w:ascii="Arial" w:eastAsia="Times New Roman" w:hAnsi="Arial" w:cs="Arial"/>
          <w:sz w:val="24"/>
          <w:szCs w:val="24"/>
          <w:lang w:val="en-GB" w:eastAsia="es-ES"/>
        </w:rPr>
        <w:t>0.385</w:t>
      </w:r>
      <w:r w:rsidR="00ED49A4" w:rsidRPr="008A16EB">
        <w:rPr>
          <w:rFonts w:ascii="Arial" w:hAnsi="Arial" w:cs="Arial"/>
          <w:sz w:val="24"/>
          <w:szCs w:val="24"/>
          <w:lang w:val="en-GB"/>
        </w:rPr>
        <w:t>; p=</w:t>
      </w:r>
      <w:r w:rsidR="00ED49A4" w:rsidRPr="008A16EB">
        <w:rPr>
          <w:rFonts w:ascii="Arial" w:eastAsia="Times New Roman" w:hAnsi="Arial" w:cs="Arial"/>
          <w:sz w:val="24"/>
          <w:szCs w:val="24"/>
          <w:lang w:val="en-GB" w:eastAsia="es-ES"/>
        </w:rPr>
        <w:t>0.764;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 xml:space="preserve">=0.02). </w:t>
      </w:r>
      <w:r w:rsidR="00BD03B5">
        <w:rPr>
          <w:rFonts w:ascii="Arial" w:hAnsi="Arial" w:cs="Arial"/>
          <w:b/>
          <w:bCs/>
          <w:sz w:val="24"/>
          <w:szCs w:val="24"/>
          <w:lang w:val="en-GB"/>
        </w:rPr>
        <w:t>E</w:t>
      </w:r>
      <w:r w:rsidR="00ED49A4" w:rsidRPr="008A16EB">
        <w:rPr>
          <w:rFonts w:ascii="Arial" w:hAnsi="Arial" w:cs="Arial"/>
          <w:b/>
          <w:bCs/>
          <w:sz w:val="24"/>
          <w:szCs w:val="24"/>
          <w:lang w:val="en-GB"/>
        </w:rPr>
        <w:t>)</w:t>
      </w:r>
      <w:r w:rsidR="00ED49A4" w:rsidRPr="008A16EB">
        <w:rPr>
          <w:rFonts w:ascii="Arial" w:hAnsi="Arial" w:cs="Arial"/>
          <w:sz w:val="24"/>
          <w:szCs w:val="24"/>
          <w:lang w:val="en-GB"/>
        </w:rPr>
        <w:t xml:space="preserve"> Total Lever Presses during the CS</w:t>
      </w:r>
      <w:r w:rsidR="00ED49A4" w:rsidRPr="00EB7896">
        <w:rPr>
          <w:rFonts w:ascii="Arial" w:hAnsi="Arial" w:cs="Arial"/>
          <w:sz w:val="24"/>
          <w:szCs w:val="24"/>
          <w:vertAlign w:val="superscript"/>
          <w:lang w:val="en-GB"/>
        </w:rPr>
        <w:t>-</w:t>
      </w:r>
      <w:r w:rsidR="00ED49A4" w:rsidRPr="008A16EB">
        <w:rPr>
          <w:rFonts w:ascii="Arial" w:hAnsi="Arial" w:cs="Arial"/>
          <w:sz w:val="24"/>
          <w:szCs w:val="24"/>
          <w:lang w:val="en-GB"/>
        </w:rPr>
        <w:t xml:space="preserve"> in the transference test. </w:t>
      </w:r>
      <w:r w:rsidR="00BD03B5">
        <w:rPr>
          <w:rFonts w:ascii="Arial" w:hAnsi="Arial" w:cs="Arial"/>
          <w:b/>
          <w:bCs/>
          <w:sz w:val="24"/>
          <w:szCs w:val="24"/>
          <w:lang w:val="en-GB"/>
        </w:rPr>
        <w:t>F</w:t>
      </w:r>
      <w:r w:rsidR="00ED49A4" w:rsidRPr="008A16EB">
        <w:rPr>
          <w:rFonts w:ascii="Arial" w:hAnsi="Arial" w:cs="Arial"/>
          <w:b/>
          <w:bCs/>
          <w:sz w:val="24"/>
          <w:szCs w:val="24"/>
          <w:lang w:val="en-GB"/>
        </w:rPr>
        <w:t>)</w:t>
      </w:r>
      <w:r w:rsidR="00ED49A4" w:rsidRPr="008A16EB">
        <w:rPr>
          <w:rFonts w:ascii="Arial" w:hAnsi="Arial" w:cs="Arial"/>
          <w:sz w:val="24"/>
          <w:szCs w:val="24"/>
          <w:lang w:val="en-GB"/>
        </w:rPr>
        <w:t xml:space="preserve"> Percentage of HEs during the CS</w:t>
      </w:r>
      <w:r w:rsidR="00ED49A4" w:rsidRPr="00EB7896">
        <w:rPr>
          <w:rFonts w:ascii="Arial" w:hAnsi="Arial" w:cs="Arial"/>
          <w:sz w:val="24"/>
          <w:szCs w:val="24"/>
          <w:vertAlign w:val="superscript"/>
          <w:lang w:val="en-GB"/>
        </w:rPr>
        <w:t>+</w:t>
      </w:r>
      <w:r w:rsidR="00ED49A4" w:rsidRPr="008A16EB">
        <w:rPr>
          <w:rFonts w:ascii="Arial" w:hAnsi="Arial" w:cs="Arial"/>
          <w:sz w:val="24"/>
          <w:szCs w:val="24"/>
          <w:lang w:val="en-GB"/>
        </w:rPr>
        <w:t xml:space="preserve"> in the transference test. Females made relatively fewer HEs during the CS</w:t>
      </w:r>
      <w:r w:rsidR="00ED49A4" w:rsidRPr="00EB7896">
        <w:rPr>
          <w:rFonts w:ascii="Arial" w:hAnsi="Arial" w:cs="Arial"/>
          <w:sz w:val="24"/>
          <w:szCs w:val="24"/>
          <w:vertAlign w:val="superscript"/>
          <w:lang w:val="en-GB"/>
        </w:rPr>
        <w:t>+</w:t>
      </w:r>
      <w:r w:rsidR="00ED49A4" w:rsidRPr="008A16EB">
        <w:rPr>
          <w:rFonts w:ascii="Arial" w:hAnsi="Arial" w:cs="Arial"/>
          <w:sz w:val="24"/>
          <w:szCs w:val="24"/>
          <w:lang w:val="en-GB"/>
        </w:rPr>
        <w:t xml:space="preserve"> as compared to the CS</w:t>
      </w:r>
      <w:r w:rsidR="00ED49A4" w:rsidRPr="00EB7896">
        <w:rPr>
          <w:rFonts w:ascii="Arial" w:hAnsi="Arial" w:cs="Arial"/>
          <w:sz w:val="24"/>
          <w:szCs w:val="24"/>
          <w:vertAlign w:val="superscript"/>
          <w:lang w:val="en-GB"/>
        </w:rPr>
        <w:t>-</w:t>
      </w:r>
      <w:r w:rsidR="00ED49A4" w:rsidRPr="008A16EB">
        <w:rPr>
          <w:rFonts w:ascii="Arial" w:hAnsi="Arial" w:cs="Arial"/>
          <w:sz w:val="24"/>
          <w:szCs w:val="24"/>
          <w:lang w:val="en-GB"/>
        </w:rPr>
        <w:t xml:space="preserve"> than males (F</w:t>
      </w:r>
      <w:r w:rsidR="00ED49A4" w:rsidRPr="008A16EB">
        <w:rPr>
          <w:rFonts w:ascii="Arial" w:eastAsia="Times New Roman" w:hAnsi="Arial" w:cs="Arial"/>
          <w:sz w:val="24"/>
          <w:szCs w:val="24"/>
          <w:vertAlign w:val="subscript"/>
          <w:lang w:val="en-GB" w:eastAsia="es-ES"/>
        </w:rPr>
        <w:t>1</w:t>
      </w:r>
      <w:r w:rsidR="00ED49A4" w:rsidRPr="008A16EB">
        <w:rPr>
          <w:rFonts w:ascii="Arial" w:hAnsi="Arial" w:cs="Arial"/>
          <w:sz w:val="24"/>
          <w:szCs w:val="24"/>
          <w:vertAlign w:val="subscript"/>
          <w:lang w:val="en-GB"/>
        </w:rPr>
        <w:t>,45</w:t>
      </w:r>
      <w:r w:rsidR="00ED49A4" w:rsidRPr="008A16EB">
        <w:rPr>
          <w:rFonts w:ascii="Arial" w:hAnsi="Arial" w:cs="Arial"/>
          <w:sz w:val="24"/>
          <w:szCs w:val="24"/>
          <w:lang w:val="en-GB"/>
        </w:rPr>
        <w:t>=</w:t>
      </w:r>
      <w:r w:rsidR="00ED49A4" w:rsidRPr="008A16EB">
        <w:rPr>
          <w:rFonts w:ascii="Arial" w:eastAsia="Times New Roman" w:hAnsi="Arial" w:cs="Arial"/>
          <w:sz w:val="24"/>
          <w:szCs w:val="24"/>
          <w:lang w:val="en-GB" w:eastAsia="es-ES"/>
        </w:rPr>
        <w:t>18.095</w:t>
      </w:r>
      <w:r w:rsidR="00ED49A4" w:rsidRPr="008A16EB">
        <w:rPr>
          <w:rFonts w:ascii="Arial" w:hAnsi="Arial" w:cs="Arial"/>
          <w:sz w:val="24"/>
          <w:szCs w:val="24"/>
          <w:lang w:val="en-GB"/>
        </w:rPr>
        <w:t>; p=</w:t>
      </w:r>
      <w:r w:rsidR="00ED49A4" w:rsidRPr="008A16EB">
        <w:rPr>
          <w:rFonts w:ascii="Arial" w:eastAsia="Times New Roman" w:hAnsi="Arial" w:cs="Arial"/>
          <w:sz w:val="24"/>
          <w:szCs w:val="24"/>
          <w:lang w:val="en-GB" w:eastAsia="es-ES"/>
        </w:rPr>
        <w:t>0.000;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 xml:space="preserve">=0.301). The mean </w:t>
      </w:r>
      <w:r w:rsidR="00ED49A4" w:rsidRPr="008A16EB">
        <w:rPr>
          <w:rFonts w:ascii="Arial" w:hAnsi="Arial" w:cs="Arial"/>
          <w:sz w:val="24"/>
          <w:szCs w:val="24"/>
          <w:lang w:val="en-GB"/>
        </w:rPr>
        <w:t xml:space="preserve">percentage </w:t>
      </w:r>
      <w:r w:rsidR="00ED49A4" w:rsidRPr="008A16EB">
        <w:rPr>
          <w:rFonts w:ascii="Arial" w:eastAsia="Times New Roman" w:hAnsi="Arial" w:cs="Arial"/>
          <w:sz w:val="24"/>
          <w:szCs w:val="24"/>
          <w:lang w:val="en-GB" w:eastAsia="es-ES"/>
        </w:rPr>
        <w:t xml:space="preserve">of </w:t>
      </w:r>
      <w:r w:rsidR="00ED49A4" w:rsidRPr="008A16EB">
        <w:rPr>
          <w:rFonts w:ascii="Arial" w:hAnsi="Arial" w:cs="Arial"/>
          <w:sz w:val="24"/>
          <w:szCs w:val="24"/>
          <w:lang w:val="en-GB"/>
        </w:rPr>
        <w:t xml:space="preserve">HEs during the </w:t>
      </w:r>
      <w:r w:rsidR="00ED49A4" w:rsidRPr="008A16EB">
        <w:rPr>
          <w:rFonts w:ascii="Arial" w:eastAsia="Times New Roman" w:hAnsi="Arial" w:cs="Arial"/>
          <w:sz w:val="24"/>
          <w:szCs w:val="24"/>
          <w:lang w:val="en-GB" w:eastAsia="es-ES"/>
        </w:rPr>
        <w:t>CS+</w:t>
      </w:r>
      <w:r w:rsidR="00ED49A4" w:rsidRPr="008A16EB">
        <w:rPr>
          <w:rFonts w:ascii="Arial" w:hAnsi="Arial" w:cs="Arial"/>
          <w:sz w:val="24"/>
          <w:szCs w:val="24"/>
          <w:lang w:val="en-GB"/>
        </w:rPr>
        <w:t xml:space="preserve"> was clearly above 50% in the males, thus indicating clear conditioning of the CS+ while in the females, this value was below 50%. </w:t>
      </w:r>
      <w:r w:rsidR="00BD03B5">
        <w:rPr>
          <w:rFonts w:ascii="Arial" w:hAnsi="Arial" w:cs="Arial"/>
          <w:b/>
          <w:bCs/>
          <w:sz w:val="24"/>
          <w:szCs w:val="24"/>
          <w:lang w:val="en-GB"/>
        </w:rPr>
        <w:t>G</w:t>
      </w:r>
      <w:r w:rsidR="00ED49A4" w:rsidRPr="008A16EB">
        <w:rPr>
          <w:rFonts w:ascii="Arial" w:hAnsi="Arial" w:cs="Arial"/>
          <w:b/>
          <w:bCs/>
          <w:sz w:val="24"/>
          <w:szCs w:val="24"/>
          <w:lang w:val="en-GB"/>
        </w:rPr>
        <w:t>)</w:t>
      </w:r>
      <w:r w:rsidR="00ED49A4" w:rsidRPr="008A16EB">
        <w:rPr>
          <w:rFonts w:ascii="Arial" w:hAnsi="Arial" w:cs="Arial"/>
          <w:sz w:val="24"/>
          <w:szCs w:val="24"/>
          <w:lang w:val="en-GB"/>
        </w:rPr>
        <w:t xml:space="preserve"> Total HEs during the CS+ in the transference test. No differences between groups were detected (F</w:t>
      </w:r>
      <w:r w:rsidR="00ED49A4" w:rsidRPr="008A16EB">
        <w:rPr>
          <w:rFonts w:ascii="Arial" w:eastAsia="Times New Roman" w:hAnsi="Arial" w:cs="Arial"/>
          <w:sz w:val="24"/>
          <w:szCs w:val="24"/>
          <w:vertAlign w:val="subscript"/>
          <w:lang w:val="en-GB" w:eastAsia="es-ES"/>
        </w:rPr>
        <w:t>3</w:t>
      </w:r>
      <w:r w:rsidR="00ED49A4" w:rsidRPr="008A16EB">
        <w:rPr>
          <w:rFonts w:ascii="Arial" w:hAnsi="Arial" w:cs="Arial"/>
          <w:sz w:val="24"/>
          <w:szCs w:val="24"/>
          <w:vertAlign w:val="subscript"/>
          <w:lang w:val="en-GB"/>
        </w:rPr>
        <w:t>,42</w:t>
      </w:r>
      <w:r w:rsidR="00ED49A4" w:rsidRPr="008A16EB">
        <w:rPr>
          <w:rFonts w:ascii="Arial" w:eastAsia="Times New Roman" w:hAnsi="Arial" w:cs="Arial"/>
          <w:sz w:val="24"/>
          <w:szCs w:val="24"/>
          <w:vertAlign w:val="subscript"/>
          <w:lang w:val="en-GB" w:eastAsia="es-ES"/>
        </w:rPr>
        <w:t xml:space="preserve"> </w:t>
      </w:r>
      <w:r w:rsidR="00ED49A4" w:rsidRPr="008A16EB">
        <w:rPr>
          <w:rFonts w:ascii="Arial" w:hAnsi="Arial" w:cs="Arial"/>
          <w:sz w:val="24"/>
          <w:szCs w:val="24"/>
          <w:lang w:val="en-GB"/>
        </w:rPr>
        <w:t>=</w:t>
      </w:r>
      <w:r w:rsidR="00ED49A4" w:rsidRPr="008A16EB">
        <w:rPr>
          <w:rFonts w:ascii="Arial" w:eastAsia="Times New Roman" w:hAnsi="Arial" w:cs="Arial"/>
          <w:sz w:val="24"/>
          <w:szCs w:val="24"/>
          <w:lang w:val="en-GB" w:eastAsia="es-ES"/>
        </w:rPr>
        <w:t>1.085</w:t>
      </w:r>
      <w:r w:rsidR="00ED49A4" w:rsidRPr="008A16EB">
        <w:rPr>
          <w:rFonts w:ascii="Arial" w:hAnsi="Arial" w:cs="Arial"/>
          <w:sz w:val="24"/>
          <w:szCs w:val="24"/>
          <w:lang w:val="en-GB"/>
        </w:rPr>
        <w:t>; p=</w:t>
      </w:r>
      <w:r w:rsidR="00ED49A4" w:rsidRPr="008A16EB">
        <w:rPr>
          <w:rFonts w:ascii="Arial" w:eastAsia="Times New Roman" w:hAnsi="Arial" w:cs="Arial"/>
          <w:sz w:val="24"/>
          <w:szCs w:val="24"/>
          <w:lang w:val="en-GB" w:eastAsia="es-ES"/>
        </w:rPr>
        <w:t>0.366;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=0.07).</w:t>
      </w:r>
      <w:r w:rsidR="00ED49A4" w:rsidRPr="008A16EB">
        <w:rPr>
          <w:rFonts w:ascii="Arial" w:hAnsi="Arial" w:cs="Arial"/>
          <w:sz w:val="24"/>
          <w:szCs w:val="24"/>
          <w:lang w:val="en-GB"/>
        </w:rPr>
        <w:t xml:space="preserve"> </w:t>
      </w:r>
      <w:r w:rsidR="00BD03B5">
        <w:rPr>
          <w:rFonts w:ascii="Arial" w:hAnsi="Arial" w:cs="Arial"/>
          <w:b/>
          <w:bCs/>
          <w:sz w:val="24"/>
          <w:szCs w:val="24"/>
          <w:lang w:val="en-GB"/>
        </w:rPr>
        <w:t>H</w:t>
      </w:r>
      <w:r w:rsidR="00ED49A4" w:rsidRPr="008A16EB">
        <w:rPr>
          <w:rFonts w:ascii="Arial" w:hAnsi="Arial" w:cs="Arial"/>
          <w:b/>
          <w:bCs/>
          <w:sz w:val="24"/>
          <w:szCs w:val="24"/>
          <w:lang w:val="en-GB"/>
        </w:rPr>
        <w:t xml:space="preserve">) </w:t>
      </w:r>
      <w:r w:rsidR="00ED49A4" w:rsidRPr="008A16EB">
        <w:rPr>
          <w:rFonts w:ascii="Arial" w:hAnsi="Arial" w:cs="Arial"/>
          <w:sz w:val="24"/>
          <w:szCs w:val="24"/>
          <w:lang w:val="en-GB"/>
        </w:rPr>
        <w:t>Total head entries during the CS- in the transference test. Females made more HEs during the CS- presentations than the males (F</w:t>
      </w:r>
      <w:r w:rsidR="00ED49A4" w:rsidRPr="008A16EB">
        <w:rPr>
          <w:rFonts w:ascii="Arial" w:eastAsia="Times New Roman" w:hAnsi="Arial" w:cs="Arial"/>
          <w:sz w:val="24"/>
          <w:szCs w:val="24"/>
          <w:vertAlign w:val="subscript"/>
          <w:lang w:val="en-GB" w:eastAsia="es-ES"/>
        </w:rPr>
        <w:t>1</w:t>
      </w:r>
      <w:r w:rsidR="00ED49A4" w:rsidRPr="008A16EB">
        <w:rPr>
          <w:rFonts w:ascii="Arial" w:hAnsi="Arial" w:cs="Arial"/>
          <w:sz w:val="24"/>
          <w:szCs w:val="24"/>
          <w:vertAlign w:val="subscript"/>
          <w:lang w:val="en-GB"/>
        </w:rPr>
        <w:t>,42</w:t>
      </w:r>
      <w:r w:rsidR="00ED49A4" w:rsidRPr="008A16EB">
        <w:rPr>
          <w:rFonts w:ascii="Arial" w:hAnsi="Arial" w:cs="Arial"/>
          <w:sz w:val="24"/>
          <w:szCs w:val="24"/>
          <w:lang w:val="en-GB"/>
        </w:rPr>
        <w:t>=</w:t>
      </w:r>
      <w:r w:rsidR="00ED49A4" w:rsidRPr="008A16EB">
        <w:rPr>
          <w:rFonts w:ascii="Arial" w:eastAsia="Times New Roman" w:hAnsi="Arial" w:cs="Arial"/>
          <w:sz w:val="24"/>
          <w:szCs w:val="24"/>
          <w:lang w:val="en-GB" w:eastAsia="es-ES"/>
        </w:rPr>
        <w:t>12.460</w:t>
      </w:r>
      <w:r w:rsidR="00ED49A4" w:rsidRPr="008A16EB">
        <w:rPr>
          <w:rFonts w:ascii="Arial" w:hAnsi="Arial" w:cs="Arial"/>
          <w:sz w:val="24"/>
          <w:szCs w:val="24"/>
          <w:lang w:val="en-GB"/>
        </w:rPr>
        <w:t>; p=</w:t>
      </w:r>
      <w:r w:rsidR="00ED49A4" w:rsidRPr="008A16EB">
        <w:rPr>
          <w:rFonts w:ascii="Arial" w:eastAsia="Times New Roman" w:hAnsi="Arial" w:cs="Arial"/>
          <w:sz w:val="24"/>
          <w:szCs w:val="24"/>
          <w:lang w:val="en-GB" w:eastAsia="es-ES"/>
        </w:rPr>
        <w:t>0.001; η</w:t>
      </w:r>
      <w:r w:rsidR="00ED49A4" w:rsidRPr="008A16EB">
        <w:rPr>
          <w:rFonts w:ascii="Arial" w:eastAsia="Times New Roman" w:hAnsi="Arial" w:cs="Arial"/>
          <w:sz w:val="24"/>
          <w:szCs w:val="24"/>
          <w:vertAlign w:val="subscript"/>
          <w:lang w:val="en-GB" w:eastAsia="es-ES"/>
        </w:rPr>
        <w:t>p</w:t>
      </w:r>
      <w:r w:rsidR="00ED49A4" w:rsidRPr="008A16EB">
        <w:rPr>
          <w:rFonts w:ascii="Arial" w:eastAsia="Times New Roman" w:hAnsi="Arial" w:cs="Arial"/>
          <w:sz w:val="24"/>
          <w:szCs w:val="24"/>
          <w:vertAlign w:val="superscript"/>
          <w:lang w:val="en-GB" w:eastAsia="es-ES"/>
        </w:rPr>
        <w:t>2</w:t>
      </w:r>
      <w:r w:rsidR="00ED49A4" w:rsidRPr="008A16EB">
        <w:rPr>
          <w:rFonts w:ascii="Arial" w:eastAsia="Times New Roman" w:hAnsi="Arial" w:cs="Arial"/>
          <w:sz w:val="24"/>
          <w:szCs w:val="24"/>
          <w:lang w:val="en-GB" w:eastAsia="es-ES"/>
        </w:rPr>
        <w:t>=0.22).</w:t>
      </w:r>
      <w:r w:rsidR="00BD03B5" w:rsidRPr="00BD03B5">
        <w:rPr>
          <w:rFonts w:ascii="Arial" w:hAnsi="Arial" w:cs="Arial"/>
          <w:lang w:val="en-US"/>
        </w:rPr>
        <w:t xml:space="preserve"> </w:t>
      </w:r>
      <w:r w:rsidR="00BD03B5" w:rsidRPr="009A2393">
        <w:rPr>
          <w:rFonts w:ascii="Arial" w:hAnsi="Arial" w:cs="Arial"/>
          <w:sz w:val="24"/>
          <w:szCs w:val="24"/>
          <w:lang w:val="en-US"/>
        </w:rPr>
        <w:t xml:space="preserve">The data are expressed as the </w:t>
      </w:r>
      <w:proofErr w:type="spellStart"/>
      <w:r w:rsidR="00BD03B5" w:rsidRPr="009A2393">
        <w:rPr>
          <w:rFonts w:ascii="Arial" w:hAnsi="Arial" w:cs="Arial"/>
          <w:sz w:val="24"/>
          <w:szCs w:val="24"/>
          <w:lang w:val="en-US"/>
        </w:rPr>
        <w:t>mean±SEM</w:t>
      </w:r>
      <w:proofErr w:type="spellEnd"/>
      <w:r w:rsidR="00BD03B5" w:rsidRPr="009A2393">
        <w:rPr>
          <w:rFonts w:ascii="Arial" w:hAnsi="Arial" w:cs="Arial"/>
          <w:sz w:val="24"/>
          <w:szCs w:val="24"/>
          <w:lang w:val="en-US"/>
        </w:rPr>
        <w:t xml:space="preserve"> values in addition to individual values in grouped data.</w:t>
      </w:r>
      <w:r w:rsidR="006E0C73" w:rsidRPr="009A2393">
        <w:rPr>
          <w:rFonts w:ascii="Arial" w:hAnsi="Arial" w:cs="Arial"/>
          <w:color w:val="000000" w:themeColor="text1"/>
          <w:sz w:val="24"/>
          <w:szCs w:val="24"/>
          <w:lang w:val="en-US"/>
        </w:rPr>
        <w:t xml:space="preserve"> Significant effects of factor Sex are represented by “sex”.</w:t>
      </w:r>
    </w:p>
    <w:p w14:paraId="0C0DEE4E" w14:textId="79A6F9CD" w:rsidR="00D650D7" w:rsidRPr="002909E4" w:rsidRDefault="00F671EB" w:rsidP="00BD03B5">
      <w:pPr>
        <w:spacing w:line="360" w:lineRule="auto"/>
        <w:jc w:val="both"/>
        <w:rPr>
          <w:rFonts w:ascii="Arial" w:hAnsi="Arial" w:cs="Arial"/>
          <w:b/>
          <w:bCs/>
          <w:sz w:val="24"/>
          <w:szCs w:val="24"/>
          <w:lang w:val="en-US"/>
        </w:rPr>
      </w:pPr>
      <w:r>
        <w:rPr>
          <w:rFonts w:ascii="Arial" w:hAnsi="Arial" w:cs="Arial"/>
          <w:b/>
          <w:bCs/>
          <w:noProof/>
          <w:sz w:val="24"/>
          <w:szCs w:val="24"/>
          <w:lang w:val="en-US"/>
        </w:rPr>
        <w:drawing>
          <wp:inline distT="0" distB="0" distL="0" distR="0" wp14:anchorId="15CA23DD" wp14:editId="6BF846A6">
            <wp:extent cx="5400040" cy="4111625"/>
            <wp:effectExtent l="0" t="0" r="0" b="3175"/>
            <wp:docPr id="4" name="Imagen 4" descr="Interfaz de usuario gráfica, 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Diagrama&#10;&#10;Descripción generada automáticamente con confianza media"/>
                    <pic:cNvPicPr/>
                  </pic:nvPicPr>
                  <pic:blipFill rotWithShape="1">
                    <a:blip r:embed="rId14" cstate="print">
                      <a:extLst>
                        <a:ext uri="{28A0092B-C50C-407E-A947-70E740481C1C}">
                          <a14:useLocalDpi xmlns:a14="http://schemas.microsoft.com/office/drawing/2010/main" val="0"/>
                        </a:ext>
                      </a:extLst>
                    </a:blip>
                    <a:srcRect t="4003"/>
                    <a:stretch/>
                  </pic:blipFill>
                  <pic:spPr bwMode="auto">
                    <a:xfrm>
                      <a:off x="0" y="0"/>
                      <a:ext cx="5400040" cy="4111625"/>
                    </a:xfrm>
                    <a:prstGeom prst="rect">
                      <a:avLst/>
                    </a:prstGeom>
                    <a:ln>
                      <a:noFill/>
                    </a:ln>
                    <a:extLst>
                      <a:ext uri="{53640926-AAD7-44D8-BBD7-CCE9431645EC}">
                        <a14:shadowObscured xmlns:a14="http://schemas.microsoft.com/office/drawing/2010/main"/>
                      </a:ext>
                    </a:extLst>
                  </pic:spPr>
                </pic:pic>
              </a:graphicData>
            </a:graphic>
          </wp:inline>
        </w:drawing>
      </w:r>
    </w:p>
    <w:p w14:paraId="300F5011" w14:textId="50DEAAB1" w:rsidR="007E5C45" w:rsidRPr="00B156CB" w:rsidRDefault="00CD2AB6" w:rsidP="008A16EB">
      <w:pPr>
        <w:spacing w:line="360" w:lineRule="auto"/>
        <w:jc w:val="both"/>
        <w:rPr>
          <w:rFonts w:ascii="Arial" w:hAnsi="Arial" w:cs="Arial"/>
          <w:b/>
          <w:bCs/>
          <w:sz w:val="24"/>
          <w:szCs w:val="24"/>
          <w:lang w:val="en-US"/>
        </w:rPr>
      </w:pPr>
      <w:r w:rsidRPr="00016E4D">
        <w:rPr>
          <w:rFonts w:ascii="Arial" w:hAnsi="Arial" w:cs="Arial"/>
          <w:b/>
          <w:bCs/>
          <w:sz w:val="24"/>
          <w:szCs w:val="24"/>
          <w:lang w:val="en-GB"/>
        </w:rPr>
        <w:t>Figure S4: 2-Choice Serial Reaction Time Task</w:t>
      </w:r>
      <w:r w:rsidR="00ED49A4" w:rsidRPr="00016E4D">
        <w:rPr>
          <w:rFonts w:ascii="Arial" w:hAnsi="Arial" w:cs="Arial"/>
          <w:b/>
          <w:bCs/>
          <w:sz w:val="24"/>
          <w:szCs w:val="24"/>
          <w:lang w:val="en-GB"/>
        </w:rPr>
        <w:t xml:space="preserve"> supplementary figure. </w:t>
      </w:r>
      <w:r w:rsidR="00B156CB">
        <w:rPr>
          <w:rFonts w:ascii="Arial" w:hAnsi="Arial" w:cs="Arial"/>
          <w:b/>
          <w:bCs/>
          <w:sz w:val="24"/>
          <w:szCs w:val="24"/>
          <w:lang w:val="en-GB"/>
        </w:rPr>
        <w:t>A</w:t>
      </w:r>
      <w:r w:rsidR="00213ED1" w:rsidRPr="008A16EB">
        <w:rPr>
          <w:rFonts w:ascii="Arial" w:hAnsi="Arial" w:cs="Arial"/>
          <w:b/>
          <w:bCs/>
          <w:sz w:val="24"/>
          <w:szCs w:val="24"/>
          <w:lang w:val="en-US"/>
        </w:rPr>
        <w:t xml:space="preserve">) </w:t>
      </w:r>
      <w:r w:rsidR="00213ED1" w:rsidRPr="008A16EB">
        <w:rPr>
          <w:rFonts w:ascii="Arial" w:hAnsi="Arial" w:cs="Arial"/>
          <w:sz w:val="24"/>
          <w:szCs w:val="24"/>
          <w:lang w:val="en-US"/>
        </w:rPr>
        <w:t>Number of training days required to reach the baseline sessions. THC animals showed a trend (F</w:t>
      </w:r>
      <w:r w:rsidR="00213ED1" w:rsidRPr="008A16EB">
        <w:rPr>
          <w:rFonts w:ascii="Arial" w:hAnsi="Arial" w:cs="Arial"/>
          <w:sz w:val="24"/>
          <w:szCs w:val="24"/>
          <w:vertAlign w:val="subscript"/>
          <w:lang w:val="en-US"/>
        </w:rPr>
        <w:t>1,44</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3.888</w:t>
      </w:r>
      <w:r w:rsidR="00213ED1" w:rsidRPr="008A16EB">
        <w:rPr>
          <w:rFonts w:ascii="Arial" w:hAnsi="Arial" w:cs="Arial"/>
          <w:sz w:val="24"/>
          <w:szCs w:val="24"/>
          <w:lang w:val="en-US"/>
        </w:rPr>
        <w:t>; p=</w:t>
      </w:r>
      <w:r w:rsidR="00213ED1" w:rsidRPr="008A16EB">
        <w:rPr>
          <w:rFonts w:ascii="Arial" w:eastAsia="Times New Roman" w:hAnsi="Arial" w:cs="Arial"/>
          <w:sz w:val="24"/>
          <w:szCs w:val="24"/>
          <w:lang w:val="en-US" w:eastAsia="es-ES"/>
        </w:rPr>
        <w:t>0.055</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 xml:space="preserve"> </w:t>
      </w:r>
      <w:r w:rsidR="00213ED1" w:rsidRPr="008A16EB">
        <w:rPr>
          <w:rFonts w:ascii="Arial" w:eastAsia="Times New Roman" w:hAnsi="Arial" w:cs="Arial"/>
          <w:sz w:val="24"/>
          <w:szCs w:val="24"/>
          <w:lang w:eastAsia="es-ES"/>
        </w:rPr>
        <w:t>η</w:t>
      </w:r>
      <w:r w:rsidR="00213ED1" w:rsidRPr="008A16EB">
        <w:rPr>
          <w:rFonts w:ascii="Arial" w:eastAsia="Times New Roman" w:hAnsi="Arial" w:cs="Arial"/>
          <w:sz w:val="24"/>
          <w:szCs w:val="24"/>
          <w:vertAlign w:val="subscript"/>
          <w:lang w:val="en-US" w:eastAsia="es-ES"/>
        </w:rPr>
        <w:t>p</w:t>
      </w:r>
      <w:r w:rsidR="00213ED1" w:rsidRPr="008A16EB">
        <w:rPr>
          <w:rFonts w:ascii="Arial" w:eastAsia="Times New Roman" w:hAnsi="Arial" w:cs="Arial"/>
          <w:sz w:val="24"/>
          <w:szCs w:val="24"/>
          <w:vertAlign w:val="superscript"/>
          <w:lang w:val="en-US" w:eastAsia="es-ES"/>
        </w:rPr>
        <w:t>2</w:t>
      </w:r>
      <w:r w:rsidR="00213ED1" w:rsidRPr="008A16EB">
        <w:rPr>
          <w:rFonts w:ascii="Arial" w:eastAsia="Times New Roman" w:hAnsi="Arial" w:cs="Arial"/>
          <w:sz w:val="24"/>
          <w:szCs w:val="24"/>
          <w:lang w:val="en-US" w:eastAsia="es-ES"/>
        </w:rPr>
        <w:t>=0.08</w:t>
      </w:r>
      <w:r w:rsidR="00213ED1" w:rsidRPr="008A16EB">
        <w:rPr>
          <w:rFonts w:ascii="Arial" w:hAnsi="Arial" w:cs="Arial"/>
          <w:sz w:val="24"/>
          <w:szCs w:val="24"/>
          <w:lang w:val="en-US"/>
        </w:rPr>
        <w:t xml:space="preserve">) to require fewer days to reach </w:t>
      </w:r>
      <w:r w:rsidR="00213ED1" w:rsidRPr="008A16EB">
        <w:rPr>
          <w:rFonts w:ascii="Arial" w:hAnsi="Arial" w:cs="Arial"/>
          <w:sz w:val="24"/>
          <w:szCs w:val="24"/>
          <w:lang w:val="en-US"/>
        </w:rPr>
        <w:lastRenderedPageBreak/>
        <w:t>baseline sessions than VEH rats. No significant effect of Sex was detected (F</w:t>
      </w:r>
      <w:r w:rsidR="00213ED1" w:rsidRPr="008A16EB">
        <w:rPr>
          <w:rFonts w:ascii="Arial" w:hAnsi="Arial" w:cs="Arial"/>
          <w:sz w:val="24"/>
          <w:szCs w:val="24"/>
          <w:vertAlign w:val="subscript"/>
          <w:lang w:val="en-US"/>
        </w:rPr>
        <w:t>1,44</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2.949</w:t>
      </w:r>
      <w:r w:rsidR="00213ED1" w:rsidRPr="008A16EB">
        <w:rPr>
          <w:rFonts w:ascii="Arial" w:hAnsi="Arial" w:cs="Arial"/>
          <w:sz w:val="24"/>
          <w:szCs w:val="24"/>
          <w:lang w:val="en-US"/>
        </w:rPr>
        <w:t>; p=</w:t>
      </w:r>
      <w:r w:rsidR="00213ED1" w:rsidRPr="008A16EB">
        <w:rPr>
          <w:rFonts w:ascii="Arial" w:eastAsia="Times New Roman" w:hAnsi="Arial" w:cs="Arial"/>
          <w:sz w:val="24"/>
          <w:szCs w:val="24"/>
          <w:lang w:val="en-US" w:eastAsia="es-ES"/>
        </w:rPr>
        <w:t>0.093</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 xml:space="preserve"> </w:t>
      </w:r>
      <w:r w:rsidR="00213ED1" w:rsidRPr="008A16EB">
        <w:rPr>
          <w:rFonts w:ascii="Arial" w:eastAsia="Times New Roman" w:hAnsi="Arial" w:cs="Arial"/>
          <w:sz w:val="24"/>
          <w:szCs w:val="24"/>
          <w:lang w:eastAsia="es-ES"/>
        </w:rPr>
        <w:t>η</w:t>
      </w:r>
      <w:r w:rsidR="00213ED1" w:rsidRPr="008A16EB">
        <w:rPr>
          <w:rFonts w:ascii="Arial" w:eastAsia="Times New Roman" w:hAnsi="Arial" w:cs="Arial"/>
          <w:sz w:val="24"/>
          <w:szCs w:val="24"/>
          <w:vertAlign w:val="subscript"/>
          <w:lang w:val="en-US" w:eastAsia="es-ES"/>
        </w:rPr>
        <w:t>p</w:t>
      </w:r>
      <w:r w:rsidR="00213ED1" w:rsidRPr="008A16EB">
        <w:rPr>
          <w:rFonts w:ascii="Arial" w:eastAsia="Times New Roman" w:hAnsi="Arial" w:cs="Arial"/>
          <w:sz w:val="24"/>
          <w:szCs w:val="24"/>
          <w:vertAlign w:val="superscript"/>
          <w:lang w:val="en-US" w:eastAsia="es-ES"/>
        </w:rPr>
        <w:t>2</w:t>
      </w:r>
      <w:r w:rsidR="00213ED1" w:rsidRPr="008A16EB">
        <w:rPr>
          <w:rFonts w:ascii="Arial" w:eastAsia="Times New Roman" w:hAnsi="Arial" w:cs="Arial"/>
          <w:sz w:val="24"/>
          <w:szCs w:val="24"/>
          <w:lang w:val="en-US" w:eastAsia="es-ES"/>
        </w:rPr>
        <w:t>=0.06</w:t>
      </w:r>
      <w:r w:rsidR="00213ED1" w:rsidRPr="008A16EB">
        <w:rPr>
          <w:rFonts w:ascii="Arial" w:hAnsi="Arial" w:cs="Arial"/>
          <w:sz w:val="24"/>
          <w:szCs w:val="24"/>
          <w:lang w:val="en-US"/>
        </w:rPr>
        <w:t xml:space="preserve">). </w:t>
      </w:r>
      <w:r w:rsidR="00B156CB">
        <w:rPr>
          <w:rFonts w:ascii="Arial" w:hAnsi="Arial" w:cs="Arial"/>
          <w:b/>
          <w:bCs/>
          <w:sz w:val="24"/>
          <w:szCs w:val="24"/>
          <w:lang w:val="en-US"/>
        </w:rPr>
        <w:t>B</w:t>
      </w:r>
      <w:r w:rsidR="00213ED1" w:rsidRPr="008A16EB">
        <w:rPr>
          <w:rFonts w:ascii="Arial" w:hAnsi="Arial" w:cs="Arial"/>
          <w:b/>
          <w:bCs/>
          <w:sz w:val="24"/>
          <w:szCs w:val="24"/>
          <w:lang w:val="en-US"/>
        </w:rPr>
        <w:t>)</w:t>
      </w:r>
      <w:r w:rsidR="00213ED1" w:rsidRPr="008A16EB">
        <w:rPr>
          <w:rFonts w:ascii="Arial" w:hAnsi="Arial" w:cs="Arial"/>
          <w:sz w:val="24"/>
          <w:szCs w:val="24"/>
          <w:lang w:val="en-US"/>
        </w:rPr>
        <w:t xml:space="preserve"> Percentage of premature responses in the final experimental stages. This includes the six baseline sessions, the three long-ITI tests and the re-baseline sessions between them. In the first long-ITI test, a Sex x </w:t>
      </w:r>
      <w:r w:rsidR="00E16CCE">
        <w:rPr>
          <w:rFonts w:ascii="Arial" w:hAnsi="Arial" w:cs="Arial"/>
          <w:sz w:val="24"/>
          <w:szCs w:val="24"/>
          <w:lang w:val="en-US"/>
        </w:rPr>
        <w:t>ACE</w:t>
      </w:r>
      <w:r w:rsidR="00E16CCE" w:rsidRPr="008A16EB">
        <w:rPr>
          <w:rFonts w:ascii="Arial" w:hAnsi="Arial" w:cs="Arial"/>
          <w:sz w:val="24"/>
          <w:szCs w:val="24"/>
          <w:lang w:val="en-US"/>
        </w:rPr>
        <w:t xml:space="preserve"> </w:t>
      </w:r>
      <w:r w:rsidR="00213ED1" w:rsidRPr="008A16EB">
        <w:rPr>
          <w:rFonts w:ascii="Arial" w:hAnsi="Arial" w:cs="Arial"/>
          <w:sz w:val="24"/>
          <w:szCs w:val="24"/>
          <w:lang w:val="en-US"/>
        </w:rPr>
        <w:t>interaction (F</w:t>
      </w:r>
      <w:r w:rsidR="00213ED1" w:rsidRPr="008A16EB">
        <w:rPr>
          <w:rFonts w:ascii="Arial" w:hAnsi="Arial" w:cs="Arial"/>
          <w:sz w:val="24"/>
          <w:szCs w:val="24"/>
          <w:vertAlign w:val="subscript"/>
          <w:lang w:val="en-US"/>
        </w:rPr>
        <w:t>1,44</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7.483</w:t>
      </w:r>
      <w:r w:rsidR="00213ED1" w:rsidRPr="008A16EB">
        <w:rPr>
          <w:rFonts w:ascii="Arial" w:hAnsi="Arial" w:cs="Arial"/>
          <w:sz w:val="24"/>
          <w:szCs w:val="24"/>
          <w:lang w:val="en-US"/>
        </w:rPr>
        <w:t>; p=</w:t>
      </w:r>
      <w:r w:rsidR="00213ED1" w:rsidRPr="008A16EB">
        <w:rPr>
          <w:rFonts w:ascii="Arial" w:eastAsia="Times New Roman" w:hAnsi="Arial" w:cs="Arial"/>
          <w:sz w:val="24"/>
          <w:szCs w:val="24"/>
          <w:lang w:val="en-US" w:eastAsia="es-ES"/>
        </w:rPr>
        <w:t>0.009</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 xml:space="preserve"> </w:t>
      </w:r>
      <w:r w:rsidR="00213ED1" w:rsidRPr="008A16EB">
        <w:rPr>
          <w:rFonts w:ascii="Arial" w:eastAsia="Times New Roman" w:hAnsi="Arial" w:cs="Arial"/>
          <w:sz w:val="24"/>
          <w:szCs w:val="24"/>
          <w:lang w:eastAsia="es-ES"/>
        </w:rPr>
        <w:t>η</w:t>
      </w:r>
      <w:r w:rsidR="00213ED1" w:rsidRPr="008A16EB">
        <w:rPr>
          <w:rFonts w:ascii="Arial" w:eastAsia="Times New Roman" w:hAnsi="Arial" w:cs="Arial"/>
          <w:sz w:val="24"/>
          <w:szCs w:val="24"/>
          <w:vertAlign w:val="subscript"/>
          <w:lang w:val="en-US" w:eastAsia="es-ES"/>
        </w:rPr>
        <w:t>p</w:t>
      </w:r>
      <w:r w:rsidR="00213ED1" w:rsidRPr="008A16EB">
        <w:rPr>
          <w:rFonts w:ascii="Arial" w:eastAsia="Times New Roman" w:hAnsi="Arial" w:cs="Arial"/>
          <w:sz w:val="24"/>
          <w:szCs w:val="24"/>
          <w:vertAlign w:val="superscript"/>
          <w:lang w:val="en-US" w:eastAsia="es-ES"/>
        </w:rPr>
        <w:t>2</w:t>
      </w:r>
      <w:r w:rsidR="00213ED1" w:rsidRPr="008A16EB">
        <w:rPr>
          <w:rFonts w:ascii="Arial" w:eastAsia="Times New Roman" w:hAnsi="Arial" w:cs="Arial"/>
          <w:sz w:val="24"/>
          <w:szCs w:val="24"/>
          <w:lang w:val="en-US" w:eastAsia="es-ES"/>
        </w:rPr>
        <w:t>=0.14</w:t>
      </w:r>
      <w:r w:rsidR="00213ED1" w:rsidRPr="008A16EB">
        <w:rPr>
          <w:rFonts w:ascii="Arial" w:hAnsi="Arial" w:cs="Arial"/>
          <w:sz w:val="24"/>
          <w:szCs w:val="24"/>
          <w:lang w:val="en-US"/>
        </w:rPr>
        <w:t xml:space="preserve">) and further simple effects analysis showed an effect of </w:t>
      </w:r>
      <w:r w:rsidR="00E16CCE">
        <w:rPr>
          <w:rFonts w:ascii="Arial" w:hAnsi="Arial" w:cs="Arial"/>
          <w:sz w:val="24"/>
          <w:szCs w:val="24"/>
          <w:lang w:val="en-US"/>
        </w:rPr>
        <w:t>S</w:t>
      </w:r>
      <w:r w:rsidR="00213ED1" w:rsidRPr="008A16EB">
        <w:rPr>
          <w:rFonts w:ascii="Arial" w:hAnsi="Arial" w:cs="Arial"/>
          <w:sz w:val="24"/>
          <w:szCs w:val="24"/>
          <w:lang w:val="en-US"/>
        </w:rPr>
        <w:t>ex due to an increase in PreR in females VEH compared to males VEH (F</w:t>
      </w:r>
      <w:r w:rsidR="00213ED1" w:rsidRPr="008A16EB">
        <w:rPr>
          <w:rFonts w:ascii="Arial" w:hAnsi="Arial" w:cs="Arial"/>
          <w:sz w:val="24"/>
          <w:szCs w:val="24"/>
          <w:vertAlign w:val="subscript"/>
          <w:lang w:val="en-US"/>
        </w:rPr>
        <w:t>1,44</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7.630</w:t>
      </w:r>
      <w:r w:rsidR="00213ED1" w:rsidRPr="008A16EB">
        <w:rPr>
          <w:rFonts w:ascii="Arial" w:hAnsi="Arial" w:cs="Arial"/>
          <w:sz w:val="24"/>
          <w:szCs w:val="24"/>
          <w:lang w:val="en-US"/>
        </w:rPr>
        <w:t>; p=</w:t>
      </w:r>
      <w:r w:rsidR="00213ED1" w:rsidRPr="008A16EB">
        <w:rPr>
          <w:rFonts w:ascii="Arial" w:eastAsia="Times New Roman" w:hAnsi="Arial" w:cs="Arial"/>
          <w:sz w:val="24"/>
          <w:szCs w:val="24"/>
          <w:lang w:val="en-US" w:eastAsia="es-ES"/>
        </w:rPr>
        <w:t>0.008</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 xml:space="preserve"> </w:t>
      </w:r>
      <w:r w:rsidR="00213ED1" w:rsidRPr="008A16EB">
        <w:rPr>
          <w:rFonts w:ascii="Arial" w:eastAsia="Times New Roman" w:hAnsi="Arial" w:cs="Arial"/>
          <w:sz w:val="24"/>
          <w:szCs w:val="24"/>
          <w:lang w:eastAsia="es-ES"/>
        </w:rPr>
        <w:t>η</w:t>
      </w:r>
      <w:r w:rsidR="00213ED1" w:rsidRPr="008A16EB">
        <w:rPr>
          <w:rFonts w:ascii="Arial" w:eastAsia="Times New Roman" w:hAnsi="Arial" w:cs="Arial"/>
          <w:sz w:val="24"/>
          <w:szCs w:val="24"/>
          <w:vertAlign w:val="subscript"/>
          <w:lang w:val="en-US" w:eastAsia="es-ES"/>
        </w:rPr>
        <w:t>p</w:t>
      </w:r>
      <w:r w:rsidR="00213ED1" w:rsidRPr="008A16EB">
        <w:rPr>
          <w:rFonts w:ascii="Arial" w:eastAsia="Times New Roman" w:hAnsi="Arial" w:cs="Arial"/>
          <w:sz w:val="24"/>
          <w:szCs w:val="24"/>
          <w:vertAlign w:val="superscript"/>
          <w:lang w:val="en-US" w:eastAsia="es-ES"/>
        </w:rPr>
        <w:t>2</w:t>
      </w:r>
      <w:r w:rsidR="00213ED1" w:rsidRPr="008A16EB">
        <w:rPr>
          <w:rFonts w:ascii="Arial" w:eastAsia="Times New Roman" w:hAnsi="Arial" w:cs="Arial"/>
          <w:sz w:val="24"/>
          <w:szCs w:val="24"/>
          <w:lang w:val="en-US" w:eastAsia="es-ES"/>
        </w:rPr>
        <w:t>=0.14</w:t>
      </w:r>
      <w:r w:rsidR="00213ED1" w:rsidRPr="008A16EB">
        <w:rPr>
          <w:rFonts w:ascii="Arial" w:hAnsi="Arial" w:cs="Arial"/>
          <w:sz w:val="24"/>
          <w:szCs w:val="24"/>
          <w:lang w:val="en-US"/>
        </w:rPr>
        <w:t xml:space="preserve">) and a decrease in PreR in Male </w:t>
      </w:r>
      <w:r w:rsidR="003E5218">
        <w:rPr>
          <w:rFonts w:ascii="Arial" w:hAnsi="Arial" w:cs="Arial"/>
          <w:sz w:val="24"/>
          <w:szCs w:val="24"/>
          <w:lang w:val="en-US"/>
        </w:rPr>
        <w:t xml:space="preserve">rats exposed to </w:t>
      </w:r>
      <w:r w:rsidR="003E5218" w:rsidRPr="008A16EB">
        <w:rPr>
          <w:rFonts w:ascii="Arial" w:hAnsi="Arial" w:cs="Arial"/>
          <w:sz w:val="24"/>
          <w:szCs w:val="24"/>
          <w:lang w:val="en-US"/>
        </w:rPr>
        <w:t xml:space="preserve">THC </w:t>
      </w:r>
      <w:r w:rsidR="00213ED1" w:rsidRPr="008A16EB">
        <w:rPr>
          <w:rFonts w:ascii="Arial" w:hAnsi="Arial" w:cs="Arial"/>
          <w:sz w:val="24"/>
          <w:szCs w:val="24"/>
          <w:lang w:val="en-US"/>
        </w:rPr>
        <w:t xml:space="preserve">compared to males </w:t>
      </w:r>
      <w:r w:rsidR="003E5218">
        <w:rPr>
          <w:rFonts w:ascii="Arial" w:hAnsi="Arial" w:cs="Arial"/>
          <w:sz w:val="24"/>
          <w:szCs w:val="24"/>
          <w:lang w:val="en-US"/>
        </w:rPr>
        <w:t xml:space="preserve">exposed to </w:t>
      </w:r>
      <w:r w:rsidR="00213ED1" w:rsidRPr="008A16EB">
        <w:rPr>
          <w:rFonts w:ascii="Arial" w:hAnsi="Arial" w:cs="Arial"/>
          <w:sz w:val="24"/>
          <w:szCs w:val="24"/>
          <w:lang w:val="en-US"/>
        </w:rPr>
        <w:t>VEH (F</w:t>
      </w:r>
      <w:r w:rsidR="00213ED1" w:rsidRPr="008A16EB">
        <w:rPr>
          <w:rFonts w:ascii="Arial" w:hAnsi="Arial" w:cs="Arial"/>
          <w:sz w:val="24"/>
          <w:szCs w:val="24"/>
          <w:vertAlign w:val="subscript"/>
          <w:lang w:val="en-US"/>
        </w:rPr>
        <w:t>1,44</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5.740</w:t>
      </w:r>
      <w:r w:rsidR="00213ED1" w:rsidRPr="008A16EB">
        <w:rPr>
          <w:rFonts w:ascii="Arial" w:hAnsi="Arial" w:cs="Arial"/>
          <w:sz w:val="24"/>
          <w:szCs w:val="24"/>
          <w:lang w:val="en-US"/>
        </w:rPr>
        <w:t>; p=</w:t>
      </w:r>
      <w:r w:rsidR="00213ED1" w:rsidRPr="008A16EB">
        <w:rPr>
          <w:rFonts w:ascii="Arial" w:eastAsia="Times New Roman" w:hAnsi="Arial" w:cs="Arial"/>
          <w:sz w:val="24"/>
          <w:szCs w:val="24"/>
          <w:lang w:val="en-US" w:eastAsia="es-ES"/>
        </w:rPr>
        <w:t>0.021</w:t>
      </w:r>
      <w:r w:rsidR="00213ED1" w:rsidRPr="008A16EB">
        <w:rPr>
          <w:rFonts w:ascii="Arial" w:hAnsi="Arial" w:cs="Arial"/>
          <w:sz w:val="24"/>
          <w:szCs w:val="24"/>
          <w:lang w:val="en-US"/>
        </w:rPr>
        <w:t>;</w:t>
      </w:r>
      <w:r w:rsidR="00213ED1" w:rsidRPr="008A16EB">
        <w:rPr>
          <w:rFonts w:ascii="Arial" w:eastAsia="Times New Roman" w:hAnsi="Arial" w:cs="Arial"/>
          <w:sz w:val="24"/>
          <w:szCs w:val="24"/>
          <w:lang w:val="en-US" w:eastAsia="es-ES"/>
        </w:rPr>
        <w:t xml:space="preserve"> </w:t>
      </w:r>
      <w:r w:rsidR="00213ED1" w:rsidRPr="008A16EB">
        <w:rPr>
          <w:rFonts w:ascii="Arial" w:eastAsia="Times New Roman" w:hAnsi="Arial" w:cs="Arial"/>
          <w:sz w:val="24"/>
          <w:szCs w:val="24"/>
          <w:lang w:eastAsia="es-ES"/>
        </w:rPr>
        <w:t>η</w:t>
      </w:r>
      <w:r w:rsidR="00213ED1" w:rsidRPr="008A16EB">
        <w:rPr>
          <w:rFonts w:ascii="Arial" w:eastAsia="Times New Roman" w:hAnsi="Arial" w:cs="Arial"/>
          <w:sz w:val="24"/>
          <w:szCs w:val="24"/>
          <w:vertAlign w:val="subscript"/>
          <w:lang w:val="en-US" w:eastAsia="es-ES"/>
        </w:rPr>
        <w:t>p</w:t>
      </w:r>
      <w:r w:rsidR="00213ED1" w:rsidRPr="008A16EB">
        <w:rPr>
          <w:rFonts w:ascii="Arial" w:eastAsia="Times New Roman" w:hAnsi="Arial" w:cs="Arial"/>
          <w:sz w:val="24"/>
          <w:szCs w:val="24"/>
          <w:vertAlign w:val="superscript"/>
          <w:lang w:val="en-US" w:eastAsia="es-ES"/>
        </w:rPr>
        <w:t>2</w:t>
      </w:r>
      <w:r w:rsidR="00213ED1" w:rsidRPr="008A16EB">
        <w:rPr>
          <w:rFonts w:ascii="Arial" w:eastAsia="Times New Roman" w:hAnsi="Arial" w:cs="Arial"/>
          <w:sz w:val="24"/>
          <w:szCs w:val="24"/>
          <w:lang w:val="en-US" w:eastAsia="es-ES"/>
        </w:rPr>
        <w:t>=0.11</w:t>
      </w:r>
      <w:r w:rsidR="00213ED1" w:rsidRPr="008A16EB">
        <w:rPr>
          <w:rFonts w:ascii="Arial" w:hAnsi="Arial" w:cs="Arial"/>
          <w:sz w:val="24"/>
          <w:szCs w:val="24"/>
          <w:lang w:val="en-US"/>
        </w:rPr>
        <w:t>).</w:t>
      </w:r>
      <w:r w:rsidR="00594C05">
        <w:rPr>
          <w:rFonts w:ascii="Arial" w:hAnsi="Arial" w:cs="Arial"/>
          <w:sz w:val="24"/>
          <w:szCs w:val="24"/>
          <w:lang w:val="en-US"/>
        </w:rPr>
        <w:t xml:space="preserve"> </w:t>
      </w:r>
      <w:r w:rsidR="00D60084" w:rsidRPr="00B43430">
        <w:rPr>
          <w:rFonts w:ascii="Arial" w:hAnsi="Arial" w:cs="Arial"/>
          <w:sz w:val="24"/>
          <w:szCs w:val="24"/>
          <w:lang w:val="en-US"/>
        </w:rPr>
        <w:t xml:space="preserve">Significant effects of </w:t>
      </w:r>
      <w:r w:rsidR="003E5218" w:rsidRPr="00FA54E7">
        <w:rPr>
          <w:rFonts w:ascii="Arial" w:eastAsia="Arial Unicode MS" w:hAnsi="Arial" w:cs="Arial"/>
          <w:noProof/>
          <w:sz w:val="24"/>
          <w:szCs w:val="24"/>
          <w:lang w:val="en-GB"/>
        </w:rPr>
        <w:t>ACE</w:t>
      </w:r>
      <w:r w:rsidR="003E5218" w:rsidRPr="003E5218">
        <w:rPr>
          <w:rFonts w:ascii="Arial" w:hAnsi="Arial" w:cs="Arial"/>
          <w:sz w:val="24"/>
          <w:szCs w:val="24"/>
          <w:lang w:val="en-US"/>
        </w:rPr>
        <w:t xml:space="preserve"> </w:t>
      </w:r>
      <w:r w:rsidR="000227B6">
        <w:rPr>
          <w:rFonts w:ascii="Arial" w:hAnsi="Arial" w:cs="Arial"/>
          <w:sz w:val="24"/>
          <w:szCs w:val="24"/>
          <w:lang w:val="en-US"/>
        </w:rPr>
        <w:t>in the males (after a significant Sex x ACE interaction)</w:t>
      </w:r>
      <w:r w:rsidR="00135E03">
        <w:rPr>
          <w:rFonts w:ascii="Arial" w:hAnsi="Arial" w:cs="Arial"/>
          <w:sz w:val="24"/>
          <w:szCs w:val="24"/>
          <w:lang w:val="en-US"/>
        </w:rPr>
        <w:t xml:space="preserve"> </w:t>
      </w:r>
      <w:r w:rsidR="00D60084" w:rsidRPr="00B43430">
        <w:rPr>
          <w:rFonts w:ascii="Arial" w:hAnsi="Arial" w:cs="Arial"/>
          <w:sz w:val="24"/>
          <w:szCs w:val="24"/>
          <w:lang w:val="en-US"/>
        </w:rPr>
        <w:t>are represented by “</w:t>
      </w:r>
      <w:proofErr w:type="spellStart"/>
      <w:r w:rsidR="00D60084" w:rsidRPr="00B43430">
        <w:rPr>
          <w:rFonts w:ascii="Arial" w:hAnsi="Arial" w:cs="Arial"/>
          <w:sz w:val="24"/>
          <w:szCs w:val="24"/>
          <w:lang w:val="en-US"/>
        </w:rPr>
        <w:t>thc</w:t>
      </w:r>
      <w:proofErr w:type="spellEnd"/>
      <w:r w:rsidR="00135E03">
        <w:rPr>
          <w:rFonts w:ascii="Arial" w:hAnsi="Arial" w:cs="Arial"/>
          <w:sz w:val="24"/>
          <w:szCs w:val="24"/>
          <w:lang w:val="en-US"/>
        </w:rPr>
        <w:t xml:space="preserve"> m</w:t>
      </w:r>
      <w:r w:rsidR="00D60084" w:rsidRPr="00B43430">
        <w:rPr>
          <w:rFonts w:ascii="Arial" w:hAnsi="Arial" w:cs="Arial"/>
          <w:sz w:val="24"/>
          <w:szCs w:val="24"/>
          <w:lang w:val="en-US"/>
        </w:rPr>
        <w:t>”</w:t>
      </w:r>
      <w:r w:rsidR="00D60084">
        <w:rPr>
          <w:rFonts w:ascii="Arial" w:hAnsi="Arial" w:cs="Arial"/>
          <w:sz w:val="24"/>
          <w:szCs w:val="24"/>
          <w:lang w:val="en-US"/>
        </w:rPr>
        <w:t>.</w:t>
      </w:r>
    </w:p>
    <w:p w14:paraId="4D2F6960" w14:textId="2E58B54D" w:rsidR="006E4A6B" w:rsidRDefault="00626DD8" w:rsidP="001D3CC8">
      <w:pPr>
        <w:spacing w:line="360" w:lineRule="auto"/>
        <w:jc w:val="both"/>
        <w:rPr>
          <w:rFonts w:ascii="Arial" w:eastAsia="Arial Unicode MS" w:hAnsi="Arial" w:cs="Arial"/>
          <w:b/>
          <w:bCs/>
          <w:color w:val="FF0000"/>
          <w:sz w:val="24"/>
          <w:szCs w:val="24"/>
          <w:lang w:val="en-GB"/>
        </w:rPr>
      </w:pPr>
      <w:r w:rsidRPr="00FA54E7">
        <w:rPr>
          <w:rFonts w:ascii="Arial" w:eastAsia="Arial Unicode MS" w:hAnsi="Arial" w:cs="Arial"/>
          <w:noProof/>
          <w:sz w:val="24"/>
          <w:szCs w:val="24"/>
          <w:lang w:val="en-GB"/>
        </w:rPr>
        <w:drawing>
          <wp:anchor distT="0" distB="0" distL="114300" distR="114300" simplePos="0" relativeHeight="251661312" behindDoc="0" locked="0" layoutInCell="1" allowOverlap="1" wp14:anchorId="4C48B358" wp14:editId="6891D923">
            <wp:simplePos x="0" y="0"/>
            <wp:positionH relativeFrom="column">
              <wp:posOffset>-718185</wp:posOffset>
            </wp:positionH>
            <wp:positionV relativeFrom="paragraph">
              <wp:posOffset>436880</wp:posOffset>
            </wp:positionV>
            <wp:extent cx="6986270" cy="1695450"/>
            <wp:effectExtent l="0" t="0" r="508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9183"/>
                    <a:stretch/>
                  </pic:blipFill>
                  <pic:spPr bwMode="auto">
                    <a:xfrm>
                      <a:off x="0" y="0"/>
                      <a:ext cx="6986270" cy="1695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B5663C" w14:textId="5583895F" w:rsidR="005C1F05" w:rsidRPr="00B43430" w:rsidRDefault="00ED49A4" w:rsidP="008A16EB">
      <w:pPr>
        <w:spacing w:line="360" w:lineRule="auto"/>
        <w:jc w:val="both"/>
        <w:rPr>
          <w:rFonts w:ascii="Arial" w:hAnsi="Arial" w:cs="Arial"/>
          <w:sz w:val="24"/>
          <w:szCs w:val="24"/>
          <w:lang w:val="en-US"/>
        </w:rPr>
        <w:sectPr w:rsidR="005C1F05" w:rsidRPr="00B43430" w:rsidSect="00FC14E5">
          <w:footerReference w:type="default" r:id="rId16"/>
          <w:pgSz w:w="11906" w:h="16838"/>
          <w:pgMar w:top="1417" w:right="1701" w:bottom="1417" w:left="1701" w:header="708" w:footer="708" w:gutter="0"/>
          <w:cols w:space="708"/>
          <w:docGrid w:linePitch="360"/>
        </w:sectPr>
      </w:pPr>
      <w:r w:rsidRPr="00B43430">
        <w:rPr>
          <w:rFonts w:ascii="Arial" w:eastAsia="Arial Unicode MS" w:hAnsi="Arial" w:cs="Arial"/>
          <w:b/>
          <w:bCs/>
          <w:sz w:val="24"/>
          <w:szCs w:val="24"/>
          <w:lang w:val="en-GB"/>
        </w:rPr>
        <w:t xml:space="preserve">Figure S5: Cocaine self-administration supplementary </w:t>
      </w:r>
      <w:r w:rsidRPr="00B43430">
        <w:rPr>
          <w:rFonts w:ascii="Arial" w:hAnsi="Arial" w:cs="Arial"/>
          <w:b/>
          <w:bCs/>
          <w:sz w:val="24"/>
          <w:szCs w:val="24"/>
          <w:lang w:val="en-US"/>
        </w:rPr>
        <w:t>figure</w:t>
      </w:r>
      <w:r w:rsidR="001D3CC8" w:rsidRPr="00B43430">
        <w:rPr>
          <w:rFonts w:ascii="Arial" w:hAnsi="Arial" w:cs="Arial"/>
          <w:b/>
          <w:bCs/>
          <w:sz w:val="24"/>
          <w:szCs w:val="24"/>
          <w:lang w:val="en-US"/>
        </w:rPr>
        <w:t>. A)</w:t>
      </w:r>
      <w:r w:rsidR="006E4A6B" w:rsidRPr="00B43430">
        <w:rPr>
          <w:rFonts w:ascii="Arial" w:hAnsi="Arial" w:cs="Arial"/>
          <w:b/>
          <w:bCs/>
          <w:color w:val="FF0000"/>
          <w:sz w:val="24"/>
          <w:szCs w:val="24"/>
          <w:lang w:val="en-US"/>
        </w:rPr>
        <w:t xml:space="preserve"> </w:t>
      </w:r>
      <w:r w:rsidR="006E4A6B" w:rsidRPr="00B43430">
        <w:rPr>
          <w:rFonts w:ascii="Arial" w:hAnsi="Arial" w:cs="Arial"/>
          <w:sz w:val="24"/>
          <w:szCs w:val="24"/>
          <w:lang w:val="en-US"/>
        </w:rPr>
        <w:t>Cocaine infusions</w:t>
      </w:r>
      <w:r w:rsidR="00591831">
        <w:rPr>
          <w:rFonts w:ascii="Arial" w:hAnsi="Arial" w:cs="Arial"/>
          <w:sz w:val="24"/>
          <w:szCs w:val="24"/>
          <w:lang w:val="en-US"/>
        </w:rPr>
        <w:t xml:space="preserve"> depicted</w:t>
      </w:r>
      <w:r w:rsidR="006E4A6B" w:rsidRPr="00B43430">
        <w:rPr>
          <w:rFonts w:ascii="Arial" w:hAnsi="Arial" w:cs="Arial"/>
          <w:sz w:val="24"/>
          <w:szCs w:val="24"/>
          <w:lang w:val="en-US"/>
        </w:rPr>
        <w:t xml:space="preserve"> from the last three acquisition sessions to </w:t>
      </w:r>
      <w:r w:rsidR="00260C85">
        <w:rPr>
          <w:rFonts w:ascii="Arial" w:hAnsi="Arial" w:cs="Arial"/>
          <w:sz w:val="24"/>
          <w:szCs w:val="24"/>
          <w:lang w:val="en-US"/>
        </w:rPr>
        <w:t xml:space="preserve">the </w:t>
      </w:r>
      <w:r w:rsidR="006E4A6B" w:rsidRPr="00B43430">
        <w:rPr>
          <w:rFonts w:ascii="Arial" w:hAnsi="Arial" w:cs="Arial"/>
          <w:sz w:val="24"/>
          <w:szCs w:val="24"/>
          <w:lang w:val="en-US"/>
        </w:rPr>
        <w:t>re-baseline phase</w:t>
      </w:r>
      <w:r w:rsidR="00DA595C" w:rsidRPr="00B43430">
        <w:rPr>
          <w:rFonts w:ascii="Arial" w:hAnsi="Arial" w:cs="Arial"/>
          <w:sz w:val="24"/>
          <w:szCs w:val="24"/>
          <w:lang w:val="en-US"/>
        </w:rPr>
        <w:t xml:space="preserve">. After </w:t>
      </w:r>
      <w:proofErr w:type="spellStart"/>
      <w:r w:rsidR="00DA595C" w:rsidRPr="00B43430">
        <w:rPr>
          <w:rFonts w:ascii="Arial" w:hAnsi="Arial" w:cs="Arial"/>
          <w:sz w:val="24"/>
          <w:szCs w:val="24"/>
          <w:lang w:val="en-US"/>
        </w:rPr>
        <w:t>rebaseline</w:t>
      </w:r>
      <w:proofErr w:type="spellEnd"/>
      <w:r w:rsidR="00DA595C" w:rsidRPr="00B43430">
        <w:rPr>
          <w:rFonts w:ascii="Arial" w:hAnsi="Arial" w:cs="Arial"/>
          <w:sz w:val="24"/>
          <w:szCs w:val="24"/>
          <w:lang w:val="en-US"/>
        </w:rPr>
        <w:t xml:space="preserve"> sessions animals underwent </w:t>
      </w:r>
      <w:r w:rsidR="006E4A6B" w:rsidRPr="00B43430">
        <w:rPr>
          <w:rFonts w:ascii="Arial" w:hAnsi="Arial" w:cs="Arial"/>
          <w:sz w:val="24"/>
          <w:szCs w:val="24"/>
          <w:lang w:val="en-US"/>
        </w:rPr>
        <w:t xml:space="preserve">the punished </w:t>
      </w:r>
      <w:r w:rsidR="00DA595C" w:rsidRPr="00B43430">
        <w:rPr>
          <w:rFonts w:ascii="Arial" w:hAnsi="Arial" w:cs="Arial"/>
          <w:sz w:val="24"/>
          <w:szCs w:val="24"/>
          <w:lang w:val="en-US"/>
        </w:rPr>
        <w:t>seeking test.</w:t>
      </w:r>
      <w:r w:rsidR="00DA595C" w:rsidRPr="00B43430">
        <w:rPr>
          <w:rFonts w:ascii="Arial" w:hAnsi="Arial" w:cs="Arial"/>
          <w:b/>
          <w:bCs/>
          <w:color w:val="FF0000"/>
          <w:sz w:val="24"/>
          <w:szCs w:val="24"/>
          <w:lang w:val="en-US"/>
        </w:rPr>
        <w:t xml:space="preserve"> </w:t>
      </w:r>
      <w:r w:rsidR="001D3CC8" w:rsidRPr="00B43430">
        <w:rPr>
          <w:rFonts w:ascii="Arial" w:hAnsi="Arial" w:cs="Arial"/>
          <w:b/>
          <w:bCs/>
          <w:sz w:val="24"/>
          <w:szCs w:val="24"/>
          <w:lang w:val="en-US"/>
        </w:rPr>
        <w:t xml:space="preserve">B) </w:t>
      </w:r>
      <w:r w:rsidR="00AB6D4A">
        <w:rPr>
          <w:rStyle w:val="nfasis"/>
          <w:rFonts w:ascii="Arial" w:hAnsi="Arial" w:cs="Arial"/>
          <w:i w:val="0"/>
          <w:iCs w:val="0"/>
          <w:sz w:val="24"/>
          <w:szCs w:val="24"/>
          <w:shd w:val="clear" w:color="auto" w:fill="FFFFFF"/>
          <w:lang w:val="en-US"/>
        </w:rPr>
        <w:t>Cocaine infusions earned during the compulsivity test. No group differences emerged in this phase.</w:t>
      </w:r>
      <w:r w:rsidR="009213D9" w:rsidRPr="00B43430">
        <w:rPr>
          <w:rFonts w:ascii="Arial" w:eastAsia="Arial Unicode MS" w:hAnsi="Arial" w:cs="Arial"/>
          <w:color w:val="000000" w:themeColor="text1"/>
          <w:sz w:val="24"/>
          <w:szCs w:val="24"/>
          <w:lang w:val="en-US"/>
        </w:rPr>
        <w:t xml:space="preserve"> </w:t>
      </w:r>
      <w:r w:rsidR="001D3CC8" w:rsidRPr="00B43430">
        <w:rPr>
          <w:rFonts w:ascii="Arial" w:hAnsi="Arial" w:cs="Arial"/>
          <w:b/>
          <w:bCs/>
          <w:sz w:val="24"/>
          <w:szCs w:val="24"/>
          <w:lang w:val="en-US"/>
        </w:rPr>
        <w:t xml:space="preserve">C) </w:t>
      </w:r>
      <w:r w:rsidR="00B43430" w:rsidRPr="00B43430">
        <w:rPr>
          <w:rFonts w:ascii="Arial" w:hAnsi="Arial" w:cs="Arial"/>
          <w:sz w:val="24"/>
          <w:szCs w:val="24"/>
          <w:lang w:val="en-US"/>
        </w:rPr>
        <w:t xml:space="preserve">Compulsivity index. All groups </w:t>
      </w:r>
      <w:r w:rsidR="00B43430" w:rsidRPr="00B43430">
        <w:rPr>
          <w:rFonts w:ascii="Arial" w:eastAsia="Arial Unicode MS" w:hAnsi="Arial" w:cs="Arial"/>
          <w:color w:val="000000" w:themeColor="text1"/>
          <w:sz w:val="24"/>
          <w:szCs w:val="24"/>
          <w:lang w:val="en-US"/>
        </w:rPr>
        <w:t>reduced similarly their intake compared to the first hour of the previous re-baseline session (&gt;50%).</w:t>
      </w:r>
      <w:r w:rsidR="00B43430" w:rsidRPr="00B43430">
        <w:rPr>
          <w:rFonts w:ascii="Arial" w:hAnsi="Arial" w:cs="Arial"/>
          <w:sz w:val="24"/>
          <w:szCs w:val="24"/>
          <w:lang w:val="en-US"/>
        </w:rPr>
        <w:t xml:space="preserve"> </w:t>
      </w:r>
      <w:r w:rsidR="005C1F05" w:rsidRPr="00B43430">
        <w:rPr>
          <w:rFonts w:ascii="Arial" w:hAnsi="Arial" w:cs="Arial"/>
          <w:b/>
          <w:bCs/>
          <w:sz w:val="24"/>
          <w:szCs w:val="24"/>
          <w:lang w:val="en-US"/>
        </w:rPr>
        <w:t>D)</w:t>
      </w:r>
      <w:r w:rsidR="005C1F05" w:rsidRPr="00B43430">
        <w:rPr>
          <w:rFonts w:ascii="Arial" w:hAnsi="Arial" w:cs="Arial"/>
          <w:sz w:val="24"/>
          <w:szCs w:val="24"/>
          <w:lang w:val="en-US"/>
        </w:rPr>
        <w:t xml:space="preserve"> </w:t>
      </w:r>
      <w:r w:rsidR="00B43430" w:rsidRPr="00B43430">
        <w:rPr>
          <w:rFonts w:ascii="Arial" w:hAnsi="Arial" w:cs="Arial"/>
          <w:sz w:val="24"/>
          <w:szCs w:val="24"/>
          <w:lang w:val="en-US"/>
        </w:rPr>
        <w:t xml:space="preserve">Escalation of drug consumption. Cocaine infusions </w:t>
      </w:r>
      <w:r w:rsidR="00E12E4E">
        <w:rPr>
          <w:rFonts w:ascii="Arial" w:hAnsi="Arial" w:cs="Arial"/>
          <w:sz w:val="24"/>
          <w:szCs w:val="24"/>
          <w:lang w:val="en-US"/>
        </w:rPr>
        <w:t>earned</w:t>
      </w:r>
      <w:r w:rsidR="00B43430" w:rsidRPr="00B43430">
        <w:rPr>
          <w:rFonts w:ascii="Arial" w:hAnsi="Arial" w:cs="Arial"/>
          <w:sz w:val="24"/>
          <w:szCs w:val="24"/>
          <w:lang w:val="en-US"/>
        </w:rPr>
        <w:t xml:space="preserve"> during the first hour of the first and last extended access session</w:t>
      </w:r>
      <w:r w:rsidR="00E63C51" w:rsidRPr="00A35567">
        <w:rPr>
          <w:rFonts w:ascii="Arial" w:hAnsi="Arial" w:cs="Arial"/>
          <w:sz w:val="24"/>
          <w:szCs w:val="24"/>
          <w:lang w:val="en-US"/>
        </w:rPr>
        <w:t>s</w:t>
      </w:r>
      <w:r w:rsidR="00B43430" w:rsidRPr="00A35567">
        <w:rPr>
          <w:rFonts w:ascii="Arial" w:hAnsi="Arial" w:cs="Arial"/>
          <w:sz w:val="24"/>
          <w:szCs w:val="24"/>
          <w:lang w:val="en-US"/>
        </w:rPr>
        <w:t xml:space="preserve">. All groups increase escalate their intake similarly </w:t>
      </w:r>
      <w:r w:rsidR="005C1F05" w:rsidRPr="00A35567">
        <w:rPr>
          <w:rFonts w:ascii="Arial" w:hAnsi="Arial" w:cs="Arial"/>
          <w:sz w:val="24"/>
          <w:szCs w:val="24"/>
          <w:lang w:val="en-US"/>
        </w:rPr>
        <w:t>(F</w:t>
      </w:r>
      <w:r w:rsidR="005C1F05" w:rsidRPr="00A35567">
        <w:rPr>
          <w:rFonts w:ascii="Arial" w:hAnsi="Arial" w:cs="Arial"/>
          <w:sz w:val="24"/>
          <w:szCs w:val="24"/>
          <w:vertAlign w:val="subscript"/>
          <w:lang w:val="en-US"/>
        </w:rPr>
        <w:t>1,20</w:t>
      </w:r>
      <w:r w:rsidR="005C1F05" w:rsidRPr="00A35567">
        <w:rPr>
          <w:rFonts w:ascii="Arial" w:hAnsi="Arial" w:cs="Arial"/>
          <w:sz w:val="24"/>
          <w:szCs w:val="24"/>
          <w:lang w:val="en-US"/>
        </w:rPr>
        <w:t>=4.349; p=0.05; η</w:t>
      </w:r>
      <w:r w:rsidR="005C1F05" w:rsidRPr="00A35567">
        <w:rPr>
          <w:rFonts w:ascii="Arial" w:hAnsi="Arial" w:cs="Arial"/>
          <w:sz w:val="24"/>
          <w:szCs w:val="24"/>
          <w:vertAlign w:val="subscript"/>
          <w:lang w:val="en-US"/>
        </w:rPr>
        <w:t>p</w:t>
      </w:r>
      <w:r w:rsidR="005C1F05" w:rsidRPr="00A35567">
        <w:rPr>
          <w:rFonts w:ascii="Arial" w:hAnsi="Arial" w:cs="Arial"/>
          <w:sz w:val="24"/>
          <w:szCs w:val="24"/>
          <w:vertAlign w:val="superscript"/>
          <w:lang w:val="en-US"/>
        </w:rPr>
        <w:t>2</w:t>
      </w:r>
      <w:r w:rsidR="005C1F05" w:rsidRPr="00A35567">
        <w:rPr>
          <w:rFonts w:ascii="Arial" w:hAnsi="Arial" w:cs="Arial"/>
          <w:sz w:val="24"/>
          <w:szCs w:val="24"/>
          <w:lang w:val="en-US"/>
        </w:rPr>
        <w:t>=0.179)</w:t>
      </w:r>
      <w:r w:rsidR="00B43430" w:rsidRPr="00A35567">
        <w:rPr>
          <w:rFonts w:ascii="Arial" w:hAnsi="Arial" w:cs="Arial"/>
          <w:sz w:val="24"/>
          <w:szCs w:val="24"/>
          <w:lang w:val="en-US"/>
        </w:rPr>
        <w:t xml:space="preserve">. </w:t>
      </w:r>
      <w:r w:rsidR="006E0C73" w:rsidRPr="00A35567">
        <w:rPr>
          <w:rFonts w:ascii="Arial" w:hAnsi="Arial" w:cs="Arial"/>
          <w:sz w:val="24"/>
          <w:szCs w:val="24"/>
          <w:lang w:val="en-US"/>
        </w:rPr>
        <w:t xml:space="preserve">Graphs represent </w:t>
      </w:r>
      <w:proofErr w:type="spellStart"/>
      <w:r w:rsidR="006E0C73" w:rsidRPr="00A35567">
        <w:rPr>
          <w:rFonts w:ascii="Arial" w:hAnsi="Arial" w:cs="Arial"/>
          <w:sz w:val="24"/>
          <w:szCs w:val="24"/>
          <w:lang w:val="en-US"/>
        </w:rPr>
        <w:t>Mean±SEM</w:t>
      </w:r>
      <w:proofErr w:type="spellEnd"/>
      <w:r w:rsidR="006E0C73" w:rsidRPr="00A35567">
        <w:rPr>
          <w:rFonts w:ascii="Arial" w:hAnsi="Arial" w:cs="Arial"/>
          <w:sz w:val="24"/>
          <w:szCs w:val="24"/>
          <w:lang w:val="en-US"/>
        </w:rPr>
        <w:t xml:space="preserve"> </w:t>
      </w:r>
      <w:r w:rsidR="006E0C73" w:rsidRPr="00A35567">
        <w:rPr>
          <w:rFonts w:ascii="Arial" w:hAnsi="Arial" w:cs="Arial"/>
          <w:color w:val="000000" w:themeColor="text1"/>
          <w:sz w:val="24"/>
          <w:szCs w:val="24"/>
          <w:lang w:val="en-US"/>
        </w:rPr>
        <w:t>and indivi</w:t>
      </w:r>
      <w:r w:rsidR="00260C85">
        <w:rPr>
          <w:rFonts w:ascii="Arial" w:hAnsi="Arial" w:cs="Arial"/>
          <w:color w:val="000000" w:themeColor="text1"/>
          <w:sz w:val="24"/>
          <w:szCs w:val="24"/>
          <w:lang w:val="en-US"/>
        </w:rPr>
        <w:t>du</w:t>
      </w:r>
      <w:r w:rsidR="006E0C73" w:rsidRPr="00A35567">
        <w:rPr>
          <w:rFonts w:ascii="Arial" w:hAnsi="Arial" w:cs="Arial"/>
          <w:color w:val="000000" w:themeColor="text1"/>
          <w:sz w:val="24"/>
          <w:szCs w:val="24"/>
          <w:lang w:val="en-US"/>
        </w:rPr>
        <w:t xml:space="preserve">al values in discrete session graphs (B and C). </w:t>
      </w:r>
      <w:r w:rsidR="00B43430" w:rsidRPr="00A35567">
        <w:rPr>
          <w:rFonts w:ascii="Arial" w:hAnsi="Arial" w:cs="Arial"/>
          <w:sz w:val="24"/>
          <w:szCs w:val="24"/>
          <w:lang w:val="en-US"/>
        </w:rPr>
        <w:t xml:space="preserve">Significant effects of </w:t>
      </w:r>
      <w:r w:rsidR="003E5218">
        <w:rPr>
          <w:rFonts w:ascii="Arial" w:hAnsi="Arial" w:cs="Arial"/>
          <w:sz w:val="24"/>
          <w:szCs w:val="24"/>
          <w:lang w:val="en-US"/>
        </w:rPr>
        <w:t xml:space="preserve">ACE </w:t>
      </w:r>
      <w:r w:rsidR="00B43430" w:rsidRPr="00A35567">
        <w:rPr>
          <w:rFonts w:ascii="Arial" w:hAnsi="Arial" w:cs="Arial"/>
          <w:sz w:val="24"/>
          <w:szCs w:val="24"/>
          <w:lang w:val="en-US"/>
        </w:rPr>
        <w:t>are represented by “</w:t>
      </w:r>
      <w:proofErr w:type="spellStart"/>
      <w:r w:rsidR="00B43430" w:rsidRPr="00A35567">
        <w:rPr>
          <w:rFonts w:ascii="Arial" w:hAnsi="Arial" w:cs="Arial"/>
          <w:sz w:val="24"/>
          <w:szCs w:val="24"/>
          <w:lang w:val="en-US"/>
        </w:rPr>
        <w:t>thc</w:t>
      </w:r>
      <w:proofErr w:type="spellEnd"/>
      <w:r w:rsidR="00B43430" w:rsidRPr="00A35567">
        <w:rPr>
          <w:rFonts w:ascii="Arial" w:hAnsi="Arial" w:cs="Arial"/>
          <w:sz w:val="24"/>
          <w:szCs w:val="24"/>
          <w:lang w:val="en-US"/>
        </w:rPr>
        <w:t xml:space="preserve">”, Sex by “sex” and Sessions </w:t>
      </w:r>
      <w:r w:rsidR="00D60084" w:rsidRPr="00A35567">
        <w:rPr>
          <w:rFonts w:ascii="Arial" w:hAnsi="Arial" w:cs="Arial"/>
          <w:sz w:val="24"/>
          <w:szCs w:val="24"/>
          <w:lang w:val="en-US"/>
        </w:rPr>
        <w:t xml:space="preserve">by </w:t>
      </w:r>
      <w:r w:rsidR="00B43430" w:rsidRPr="00A35567">
        <w:rPr>
          <w:rFonts w:ascii="Arial" w:hAnsi="Arial" w:cs="Arial"/>
          <w:sz w:val="24"/>
          <w:szCs w:val="24"/>
          <w:lang w:val="en-US"/>
        </w:rPr>
        <w:t>“*”</w:t>
      </w:r>
      <w:r w:rsidR="00D60084" w:rsidRPr="00A35567">
        <w:rPr>
          <w:rFonts w:ascii="Arial" w:hAnsi="Arial" w:cs="Arial"/>
          <w:sz w:val="24"/>
          <w:szCs w:val="24"/>
          <w:lang w:val="en-US"/>
        </w:rPr>
        <w:t xml:space="preserve">. </w:t>
      </w:r>
    </w:p>
    <w:p w14:paraId="3AF5C1E3" w14:textId="7376194C" w:rsidR="00766D0F" w:rsidRPr="00EE42DD" w:rsidRDefault="00D56E31" w:rsidP="008A16EB">
      <w:pPr>
        <w:spacing w:line="360" w:lineRule="auto"/>
        <w:jc w:val="both"/>
        <w:rPr>
          <w:rFonts w:ascii="Arial" w:eastAsia="Arial Unicode MS" w:hAnsi="Arial" w:cs="Arial"/>
          <w:b/>
          <w:bCs/>
          <w:sz w:val="24"/>
          <w:szCs w:val="24"/>
          <w:lang w:val="en-US"/>
        </w:rPr>
      </w:pPr>
      <w:r w:rsidRPr="00EE42DD">
        <w:rPr>
          <w:rFonts w:ascii="Arial" w:eastAsia="Arial Unicode MS" w:hAnsi="Arial" w:cs="Arial"/>
          <w:b/>
          <w:bCs/>
          <w:sz w:val="24"/>
          <w:szCs w:val="24"/>
          <w:lang w:val="en-US"/>
        </w:rPr>
        <w:lastRenderedPageBreak/>
        <w:t>REFERENCES</w:t>
      </w:r>
    </w:p>
    <w:p w14:paraId="6432D588" w14:textId="64FE4759" w:rsidR="00EF3A3F" w:rsidRPr="00FA54E7" w:rsidRDefault="00D56E31" w:rsidP="00EF3A3F">
      <w:pPr>
        <w:widowControl w:val="0"/>
        <w:autoSpaceDE w:val="0"/>
        <w:autoSpaceDN w:val="0"/>
        <w:adjustRightInd w:val="0"/>
        <w:spacing w:line="360" w:lineRule="auto"/>
        <w:ind w:left="480" w:hanging="480"/>
        <w:rPr>
          <w:rFonts w:ascii="Arial" w:hAnsi="Arial" w:cs="Arial"/>
          <w:noProof/>
          <w:sz w:val="24"/>
          <w:szCs w:val="24"/>
          <w:lang w:val="en-US"/>
        </w:rPr>
      </w:pPr>
      <w:r w:rsidRPr="008A16EB">
        <w:rPr>
          <w:rFonts w:ascii="Arial" w:eastAsia="Arial Unicode MS" w:hAnsi="Arial" w:cs="Arial"/>
          <w:b/>
          <w:bCs/>
          <w:sz w:val="24"/>
          <w:szCs w:val="24"/>
          <w:lang w:val="en-GB"/>
        </w:rPr>
        <w:fldChar w:fldCharType="begin" w:fldLock="1"/>
      </w:r>
      <w:r w:rsidRPr="00EE42DD">
        <w:rPr>
          <w:rFonts w:ascii="Arial" w:eastAsia="Arial Unicode MS" w:hAnsi="Arial" w:cs="Arial"/>
          <w:b/>
          <w:bCs/>
          <w:sz w:val="24"/>
          <w:szCs w:val="24"/>
          <w:lang w:val="en-US"/>
        </w:rPr>
        <w:instrText xml:space="preserve">ADDIN Mendeley Bibliography CSL_BIBLIOGRAPHY </w:instrText>
      </w:r>
      <w:r w:rsidRPr="008A16EB">
        <w:rPr>
          <w:rFonts w:ascii="Arial" w:eastAsia="Arial Unicode MS" w:hAnsi="Arial" w:cs="Arial"/>
          <w:b/>
          <w:bCs/>
          <w:sz w:val="24"/>
          <w:szCs w:val="24"/>
          <w:lang w:val="en-GB"/>
        </w:rPr>
        <w:fldChar w:fldCharType="separate"/>
      </w:r>
      <w:r w:rsidR="00EF3A3F" w:rsidRPr="00FA54E7">
        <w:rPr>
          <w:rFonts w:ascii="Arial" w:hAnsi="Arial" w:cs="Arial"/>
          <w:noProof/>
          <w:sz w:val="24"/>
          <w:szCs w:val="24"/>
          <w:lang w:val="en-US"/>
        </w:rPr>
        <w:t>Bari A, Dalley JW, Robbins TW (2008) The application of the 5-choice serial reaction time task for the assessment of visual attentional processes and impulse control in rats. Nat Protoc 3:759–767 Available at: http://www.ncbi.nlm.nih.gov/pubmed/18451784 [Accessed March 20, 2014].</w:t>
      </w:r>
    </w:p>
    <w:p w14:paraId="0D36B38D"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Fitzpatrick CJ, Morrow JD (2016) Pavlovian Conditioned Approach Training in Rats. J Vis Exp 2016:e53580 Available at: http://www.ncbi.nlm.nih.gov/pubmed/26890678%5Cnhttp://www.pubmedcentral.nih.gov/articlerender.fcgi?artid=PMC4781726.</w:t>
      </w:r>
    </w:p>
    <w:p w14:paraId="0692E658"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Frye GD, Breese GR (1981) An evaluation of the locomotor stimulating action of ethanol in rats and mice. Psychopharmacology (Berl) 75:372–379 Available at: https://pubmed.ncbi.nlm.nih.gov/6803283/ [Accessed September 4, 2020].</w:t>
      </w:r>
    </w:p>
    <w:p w14:paraId="4C9B6156"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Grotehermen F (2003) Pharmacokinetics and pharmacodynamics of cannabinoids. Clin Pharmacokinet 42:327–360.</w:t>
      </w:r>
    </w:p>
    <w:p w14:paraId="7FF1EFE3"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Harte-Hargrove LC, Dow-Edwards DL (2012) Withdrawal from THC during adolescence: sex differences in locomotor activity and anxiety. Behav Brain Res 231:48–59 Available at: http://www.ncbi.nlm.nih.gov/pubmed/22421367 [Accessed August 15, 2014].</w:t>
      </w:r>
    </w:p>
    <w:p w14:paraId="7F8CDAE3"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Higuera-Matas A, Luisa Soto-Montenegro M, Del Olmo N, Miguéns M, Torres I, José Vaquero J, Sánchez J, García-Lecumberri C, Desco M, Ambrosio E (2008) Augmented acquisition of cocaine self-administration and altered brain glucose metabolism in adult female but not male rats exposed to a cannabinoid agonist during adolescence. Neuropsychopharmacology 33.</w:t>
      </w:r>
    </w:p>
    <w:p w14:paraId="59B62761"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Holmes NM, Marchand AR, Coutureau E (2010) Pavlovian to instrumental transfer: A neurobehavioural perspective. Neurosci Biobehav Rev 34:1277–1295 Available at: http://dx.doi.org/10.1016/j.neubiorev.2010.03.007.</w:t>
      </w:r>
    </w:p>
    <w:p w14:paraId="3C11AA40"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 xml:space="preserve">Huestis M, Henningfield J, Cone E (1992) Blood cannabinoids. I. Absorption of </w:t>
      </w:r>
      <w:r w:rsidRPr="00FA54E7">
        <w:rPr>
          <w:rFonts w:ascii="Arial" w:hAnsi="Arial" w:cs="Arial"/>
          <w:noProof/>
          <w:sz w:val="24"/>
          <w:szCs w:val="24"/>
          <w:lang w:val="en-US"/>
        </w:rPr>
        <w:lastRenderedPageBreak/>
        <w:t>THC and formation of 11-OH-THC and THCCOOH during and after smoking marijuana. J Anal Toxicol 16:276–282 Available at: https://pubmed.ncbi.nlm.nih.gov/1338215/ [Accessed August 9, 2021].</w:t>
      </w:r>
    </w:p>
    <w:p w14:paraId="0CBD3650"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Kallio MA, Tuimala JT, Hupponen T, Klemelä P, Gentile M, Scheinin I, Koski M, Käki J, Korpelainen EI (2011) Chipster: User-friendly analysis software for microarray and other high-throughput data. BMC Genomics 12.</w:t>
      </w:r>
    </w:p>
    <w:p w14:paraId="51D96577"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 xml:space="preserve">Mato S, Chevaleyre V, Robbe D, Pazos A, Castillo PE, Manzoni OJ (2004) A single in-vivo exposure to </w:t>
      </w:r>
      <w:r w:rsidRPr="00EF3A3F">
        <w:rPr>
          <w:rFonts w:ascii="Arial" w:hAnsi="Arial" w:cs="Arial"/>
          <w:noProof/>
          <w:sz w:val="24"/>
          <w:szCs w:val="24"/>
        </w:rPr>
        <w:t>Δ</w:t>
      </w:r>
      <w:r w:rsidRPr="00FA54E7">
        <w:rPr>
          <w:rFonts w:ascii="Arial" w:hAnsi="Arial" w:cs="Arial"/>
          <w:noProof/>
          <w:sz w:val="24"/>
          <w:szCs w:val="24"/>
          <w:lang w:val="en-US"/>
        </w:rPr>
        <w:t>9THC blocks endocannabinoid-mediated synaptic plasticity. Nat Neurosci 7:585–586.</w:t>
      </w:r>
    </w:p>
    <w:p w14:paraId="1C166E3C"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 xml:space="preserve">Mato S, Robbe D, Puente N, Grandes P, Manzoni OJ (2005) Presynaptic homeostatic plasticity rescues long-term depression after chronic </w:t>
      </w:r>
      <w:r w:rsidRPr="00EF3A3F">
        <w:rPr>
          <w:rFonts w:ascii="Arial" w:hAnsi="Arial" w:cs="Arial"/>
          <w:noProof/>
          <w:sz w:val="24"/>
          <w:szCs w:val="24"/>
        </w:rPr>
        <w:t>Δ</w:t>
      </w:r>
      <w:r w:rsidRPr="00FA54E7">
        <w:rPr>
          <w:rFonts w:ascii="Arial" w:hAnsi="Arial" w:cs="Arial"/>
          <w:noProof/>
          <w:sz w:val="24"/>
          <w:szCs w:val="24"/>
          <w:lang w:val="en-US"/>
        </w:rPr>
        <w:t>9-tetrahydrocannabinol exposure. J Neurosci 25:11619–11627.</w:t>
      </w:r>
    </w:p>
    <w:p w14:paraId="238FABC5"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Paxinos G, Watson C (2007) The Rat Brain in Stereotaxic Coordinates. 6th Edition.</w:t>
      </w:r>
    </w:p>
    <w:p w14:paraId="59BD7257"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Quinn HR, Matsumoto I, Callaghan PD, Long LE, Arnold JC, Gunasekaran N, Thompson MR, Dawson B, Mallet PE, Kashem MA, Matsuda-Matsumoto H, Iwazaki T, McGregor IS (2008) Adolescent rats find repeated Delta(9)-THC less aversive than adult rats but display greater residual cognitive deficits and changes in hippocampal protein expression following exposure. Neuropsychopharmacology 33:1113–1126 Available at: http://www.ncbi.nlm.nih.gov/entrez/query.fcgi?cmd=Retrieve&amp;db=PubMed&amp;dopt=Citation&amp;list_uids=17581536.</w:t>
      </w:r>
    </w:p>
    <w:p w14:paraId="53D86246"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Ranganathan M, D’Souza DC (2006) The acute effects of cannabinoids on memory in humans: a review. Psychopharmacology (Berl) 188:425–444 Available at: http://www.ncbi.nlm.nih.gov/pubmed/17019571 [Accessed July 25, 2013].</w:t>
      </w:r>
    </w:p>
    <w:p w14:paraId="2F3EFC22" w14:textId="77777777" w:rsidR="00EF3A3F" w:rsidRPr="00FA54E7" w:rsidRDefault="00EF3A3F" w:rsidP="00EF3A3F">
      <w:pPr>
        <w:widowControl w:val="0"/>
        <w:autoSpaceDE w:val="0"/>
        <w:autoSpaceDN w:val="0"/>
        <w:adjustRightInd w:val="0"/>
        <w:spacing w:line="360" w:lineRule="auto"/>
        <w:ind w:left="480" w:hanging="480"/>
        <w:rPr>
          <w:rFonts w:ascii="Arial" w:hAnsi="Arial" w:cs="Arial"/>
          <w:noProof/>
          <w:sz w:val="24"/>
          <w:szCs w:val="24"/>
          <w:lang w:val="en-US"/>
        </w:rPr>
      </w:pPr>
      <w:r w:rsidRPr="00FA54E7">
        <w:rPr>
          <w:rFonts w:ascii="Arial" w:hAnsi="Arial" w:cs="Arial"/>
          <w:noProof/>
          <w:sz w:val="24"/>
          <w:szCs w:val="24"/>
          <w:lang w:val="en-US"/>
        </w:rPr>
        <w:t xml:space="preserve">Sánchez-Cardoso P, Higuera-Matas A, Martín S, del Olmo N, Miguéns M, García-Lecumberri C, Ambrosio E (2007) Modulation of the endogenous opioid system after morphine self-administration and during its extinction: a study in Lewis and Fischer 344 rats. Neuropharmacology 52:931–948 Available at: http://www.ncbi.nlm.nih.gov/pubmed/17161852 [Accessed </w:t>
      </w:r>
      <w:r w:rsidRPr="00FA54E7">
        <w:rPr>
          <w:rFonts w:ascii="Arial" w:hAnsi="Arial" w:cs="Arial"/>
          <w:noProof/>
          <w:sz w:val="24"/>
          <w:szCs w:val="24"/>
          <w:lang w:val="en-US"/>
        </w:rPr>
        <w:lastRenderedPageBreak/>
        <w:t>July 25, 2013].</w:t>
      </w:r>
    </w:p>
    <w:p w14:paraId="1E5B82FD" w14:textId="77777777" w:rsidR="00EF3A3F" w:rsidRPr="00EF3A3F" w:rsidRDefault="00EF3A3F" w:rsidP="00EF3A3F">
      <w:pPr>
        <w:widowControl w:val="0"/>
        <w:autoSpaceDE w:val="0"/>
        <w:autoSpaceDN w:val="0"/>
        <w:adjustRightInd w:val="0"/>
        <w:spacing w:line="360" w:lineRule="auto"/>
        <w:ind w:left="480" w:hanging="480"/>
        <w:rPr>
          <w:rFonts w:ascii="Arial" w:hAnsi="Arial" w:cs="Arial"/>
          <w:noProof/>
          <w:sz w:val="24"/>
        </w:rPr>
      </w:pPr>
      <w:r w:rsidRPr="00FA54E7">
        <w:rPr>
          <w:rFonts w:ascii="Arial" w:hAnsi="Arial" w:cs="Arial"/>
          <w:noProof/>
          <w:sz w:val="24"/>
          <w:szCs w:val="24"/>
          <w:lang w:val="en-US"/>
        </w:rPr>
        <w:t xml:space="preserve">Silva L, Black R, Michaelides M, Hurd YL, Dow-Edwards D (2016) Sex and age specific effects of delta-9-tetrahydrocannabinol during the periadolescent period in the rat: The unique susceptibility of the prepubescent animal. </w:t>
      </w:r>
      <w:r w:rsidRPr="00EF3A3F">
        <w:rPr>
          <w:rFonts w:ascii="Arial" w:hAnsi="Arial" w:cs="Arial"/>
          <w:noProof/>
          <w:sz w:val="24"/>
          <w:szCs w:val="24"/>
        </w:rPr>
        <w:t>Neurotoxicol Teratol 58:88–100.</w:t>
      </w:r>
    </w:p>
    <w:p w14:paraId="75277E6D" w14:textId="644A762C" w:rsidR="00647B23" w:rsidRPr="008A16EB" w:rsidRDefault="00D56E31" w:rsidP="008A16EB">
      <w:pPr>
        <w:widowControl w:val="0"/>
        <w:autoSpaceDE w:val="0"/>
        <w:autoSpaceDN w:val="0"/>
        <w:adjustRightInd w:val="0"/>
        <w:spacing w:line="360" w:lineRule="auto"/>
        <w:jc w:val="both"/>
        <w:rPr>
          <w:rFonts w:ascii="Arial" w:eastAsia="Arial Unicode MS" w:hAnsi="Arial" w:cs="Arial"/>
          <w:sz w:val="24"/>
          <w:szCs w:val="24"/>
          <w:lang w:val="en-GB"/>
        </w:rPr>
      </w:pPr>
      <w:r w:rsidRPr="008A16EB">
        <w:rPr>
          <w:rFonts w:ascii="Arial" w:eastAsia="Arial Unicode MS" w:hAnsi="Arial" w:cs="Arial"/>
          <w:b/>
          <w:bCs/>
          <w:sz w:val="24"/>
          <w:szCs w:val="24"/>
          <w:lang w:val="en-GB"/>
        </w:rPr>
        <w:fldChar w:fldCharType="end"/>
      </w:r>
    </w:p>
    <w:sectPr w:rsidR="00647B23" w:rsidRPr="008A16EB" w:rsidSect="00FC14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979A3" w14:textId="77777777" w:rsidR="004C571E" w:rsidRDefault="004C571E" w:rsidP="0006679D">
      <w:pPr>
        <w:spacing w:after="0" w:line="240" w:lineRule="auto"/>
      </w:pPr>
      <w:r>
        <w:separator/>
      </w:r>
    </w:p>
  </w:endnote>
  <w:endnote w:type="continuationSeparator" w:id="0">
    <w:p w14:paraId="01B58A46" w14:textId="77777777" w:rsidR="004C571E" w:rsidRDefault="004C571E" w:rsidP="00066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dobe Kaiti Std R">
    <w:panose1 w:val="020204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4557522"/>
      <w:docPartObj>
        <w:docPartGallery w:val="Page Numbers (Bottom of Page)"/>
        <w:docPartUnique/>
      </w:docPartObj>
    </w:sdtPr>
    <w:sdtEndPr/>
    <w:sdtContent>
      <w:p w14:paraId="698E221E" w14:textId="3343F6CC" w:rsidR="00EF3A3F" w:rsidRDefault="00EF3A3F">
        <w:pPr>
          <w:pStyle w:val="Piedepgina"/>
          <w:jc w:val="center"/>
        </w:pPr>
        <w:r>
          <w:fldChar w:fldCharType="begin"/>
        </w:r>
        <w:r>
          <w:instrText>PAGE   \* MERGEFORMAT</w:instrText>
        </w:r>
        <w:r>
          <w:fldChar w:fldCharType="separate"/>
        </w:r>
        <w:r>
          <w:t>2</w:t>
        </w:r>
        <w:r>
          <w:fldChar w:fldCharType="end"/>
        </w:r>
      </w:p>
    </w:sdtContent>
  </w:sdt>
  <w:p w14:paraId="73D80628" w14:textId="77777777" w:rsidR="00EF3A3F" w:rsidRDefault="00EF3A3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F1552" w14:textId="77777777" w:rsidR="004C571E" w:rsidRDefault="004C571E" w:rsidP="0006679D">
      <w:pPr>
        <w:spacing w:after="0" w:line="240" w:lineRule="auto"/>
      </w:pPr>
      <w:r>
        <w:separator/>
      </w:r>
    </w:p>
  </w:footnote>
  <w:footnote w:type="continuationSeparator" w:id="0">
    <w:p w14:paraId="361269A3" w14:textId="77777777" w:rsidR="004C571E" w:rsidRDefault="004C571E" w:rsidP="000667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77B51"/>
    <w:multiLevelType w:val="hybridMultilevel"/>
    <w:tmpl w:val="55F886BE"/>
    <w:lvl w:ilvl="0" w:tplc="7292C5BC">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9DB26EF"/>
    <w:multiLevelType w:val="hybridMultilevel"/>
    <w:tmpl w:val="BED8FCBA"/>
    <w:lvl w:ilvl="0" w:tplc="56846F7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26A378F1"/>
    <w:multiLevelType w:val="hybridMultilevel"/>
    <w:tmpl w:val="00AC27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22F6A8F"/>
    <w:multiLevelType w:val="hybridMultilevel"/>
    <w:tmpl w:val="CC20842E"/>
    <w:lvl w:ilvl="0" w:tplc="0038C9E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3341ED7"/>
    <w:multiLevelType w:val="multilevel"/>
    <w:tmpl w:val="A0AC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240B19"/>
    <w:multiLevelType w:val="hybridMultilevel"/>
    <w:tmpl w:val="149ADA5E"/>
    <w:lvl w:ilvl="0" w:tplc="14404F8C">
      <w:start w:val="1"/>
      <w:numFmt w:val="lowerLetter"/>
      <w:lvlText w:val="%1."/>
      <w:lvlJc w:val="left"/>
      <w:pPr>
        <w:ind w:left="1068" w:hanging="360"/>
      </w:pPr>
      <w:rPr>
        <w:rFonts w:hint="default"/>
        <w:b/>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4F2761CA"/>
    <w:multiLevelType w:val="hybridMultilevel"/>
    <w:tmpl w:val="9CEEC5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65E1271"/>
    <w:multiLevelType w:val="hybridMultilevel"/>
    <w:tmpl w:val="C03C48F0"/>
    <w:lvl w:ilvl="0" w:tplc="B378A118">
      <w:start w:val="1"/>
      <w:numFmt w:val="lowerRoman"/>
      <w:lvlText w:val="%1)"/>
      <w:lvlJc w:val="left"/>
      <w:pPr>
        <w:ind w:left="1489" w:hanging="720"/>
      </w:pPr>
      <w:rPr>
        <w:rFonts w:hint="default"/>
      </w:rPr>
    </w:lvl>
    <w:lvl w:ilvl="1" w:tplc="0C0A0019" w:tentative="1">
      <w:start w:val="1"/>
      <w:numFmt w:val="lowerLetter"/>
      <w:lvlText w:val="%2."/>
      <w:lvlJc w:val="left"/>
      <w:pPr>
        <w:ind w:left="1849" w:hanging="360"/>
      </w:pPr>
    </w:lvl>
    <w:lvl w:ilvl="2" w:tplc="0C0A001B" w:tentative="1">
      <w:start w:val="1"/>
      <w:numFmt w:val="lowerRoman"/>
      <w:lvlText w:val="%3."/>
      <w:lvlJc w:val="right"/>
      <w:pPr>
        <w:ind w:left="2569" w:hanging="180"/>
      </w:pPr>
    </w:lvl>
    <w:lvl w:ilvl="3" w:tplc="0C0A000F" w:tentative="1">
      <w:start w:val="1"/>
      <w:numFmt w:val="decimal"/>
      <w:lvlText w:val="%4."/>
      <w:lvlJc w:val="left"/>
      <w:pPr>
        <w:ind w:left="3289" w:hanging="360"/>
      </w:pPr>
    </w:lvl>
    <w:lvl w:ilvl="4" w:tplc="0C0A0019" w:tentative="1">
      <w:start w:val="1"/>
      <w:numFmt w:val="lowerLetter"/>
      <w:lvlText w:val="%5."/>
      <w:lvlJc w:val="left"/>
      <w:pPr>
        <w:ind w:left="4009" w:hanging="360"/>
      </w:pPr>
    </w:lvl>
    <w:lvl w:ilvl="5" w:tplc="0C0A001B" w:tentative="1">
      <w:start w:val="1"/>
      <w:numFmt w:val="lowerRoman"/>
      <w:lvlText w:val="%6."/>
      <w:lvlJc w:val="right"/>
      <w:pPr>
        <w:ind w:left="4729" w:hanging="180"/>
      </w:pPr>
    </w:lvl>
    <w:lvl w:ilvl="6" w:tplc="0C0A000F" w:tentative="1">
      <w:start w:val="1"/>
      <w:numFmt w:val="decimal"/>
      <w:lvlText w:val="%7."/>
      <w:lvlJc w:val="left"/>
      <w:pPr>
        <w:ind w:left="5449" w:hanging="360"/>
      </w:pPr>
    </w:lvl>
    <w:lvl w:ilvl="7" w:tplc="0C0A0019" w:tentative="1">
      <w:start w:val="1"/>
      <w:numFmt w:val="lowerLetter"/>
      <w:lvlText w:val="%8."/>
      <w:lvlJc w:val="left"/>
      <w:pPr>
        <w:ind w:left="6169" w:hanging="360"/>
      </w:pPr>
    </w:lvl>
    <w:lvl w:ilvl="8" w:tplc="0C0A001B" w:tentative="1">
      <w:start w:val="1"/>
      <w:numFmt w:val="lowerRoman"/>
      <w:lvlText w:val="%9."/>
      <w:lvlJc w:val="right"/>
      <w:pPr>
        <w:ind w:left="6889" w:hanging="180"/>
      </w:pPr>
    </w:lvl>
  </w:abstractNum>
  <w:abstractNum w:abstractNumId="8" w15:restartNumberingAfterBreak="0">
    <w:nsid w:val="6A825D1B"/>
    <w:multiLevelType w:val="multilevel"/>
    <w:tmpl w:val="F5264108"/>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B4F7C16"/>
    <w:multiLevelType w:val="hybridMultilevel"/>
    <w:tmpl w:val="14460F1A"/>
    <w:lvl w:ilvl="0" w:tplc="E1143C6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0" w15:restartNumberingAfterBreak="0">
    <w:nsid w:val="6EA16272"/>
    <w:multiLevelType w:val="hybridMultilevel"/>
    <w:tmpl w:val="D44022A6"/>
    <w:lvl w:ilvl="0" w:tplc="0C0A000F">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80226AC"/>
    <w:multiLevelType w:val="hybridMultilevel"/>
    <w:tmpl w:val="90569AC2"/>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79201A7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9A16DB6"/>
    <w:multiLevelType w:val="hybridMultilevel"/>
    <w:tmpl w:val="544407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3"/>
  </w:num>
  <w:num w:numId="3">
    <w:abstractNumId w:val="2"/>
  </w:num>
  <w:num w:numId="4">
    <w:abstractNumId w:val="10"/>
  </w:num>
  <w:num w:numId="5">
    <w:abstractNumId w:val="6"/>
  </w:num>
  <w:num w:numId="6">
    <w:abstractNumId w:val="0"/>
  </w:num>
  <w:num w:numId="7">
    <w:abstractNumId w:val="9"/>
  </w:num>
  <w:num w:numId="8">
    <w:abstractNumId w:val="1"/>
  </w:num>
  <w:num w:numId="9">
    <w:abstractNumId w:val="8"/>
  </w:num>
  <w:num w:numId="10">
    <w:abstractNumId w:val="7"/>
  </w:num>
  <w:num w:numId="11">
    <w:abstractNumId w:val="5"/>
  </w:num>
  <w:num w:numId="12">
    <w:abstractNumId w:val="11"/>
  </w:num>
  <w:num w:numId="13">
    <w:abstractNumId w:val="1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zMzI2NjKwNDM2tTBX0lEKTi0uzszPAykwMqoFAJprUOotAAAA"/>
  </w:docVars>
  <w:rsids>
    <w:rsidRoot w:val="009D7044"/>
    <w:rsid w:val="00001F11"/>
    <w:rsid w:val="000034DF"/>
    <w:rsid w:val="00013B9F"/>
    <w:rsid w:val="00013D11"/>
    <w:rsid w:val="00014D6F"/>
    <w:rsid w:val="00016E4D"/>
    <w:rsid w:val="00017FA1"/>
    <w:rsid w:val="000207ED"/>
    <w:rsid w:val="000227B6"/>
    <w:rsid w:val="000256AF"/>
    <w:rsid w:val="00030A29"/>
    <w:rsid w:val="000338CE"/>
    <w:rsid w:val="000373B0"/>
    <w:rsid w:val="00037D67"/>
    <w:rsid w:val="00040B99"/>
    <w:rsid w:val="0004126D"/>
    <w:rsid w:val="00046810"/>
    <w:rsid w:val="00052188"/>
    <w:rsid w:val="000530A6"/>
    <w:rsid w:val="00055A99"/>
    <w:rsid w:val="000650EE"/>
    <w:rsid w:val="000652AF"/>
    <w:rsid w:val="00065A44"/>
    <w:rsid w:val="0006679D"/>
    <w:rsid w:val="00071007"/>
    <w:rsid w:val="00082257"/>
    <w:rsid w:val="00094C82"/>
    <w:rsid w:val="000964A5"/>
    <w:rsid w:val="000B0103"/>
    <w:rsid w:val="000B0BD2"/>
    <w:rsid w:val="000B358B"/>
    <w:rsid w:val="000B4087"/>
    <w:rsid w:val="000B5EFA"/>
    <w:rsid w:val="000B6074"/>
    <w:rsid w:val="000B72DF"/>
    <w:rsid w:val="000C06AF"/>
    <w:rsid w:val="000C6B40"/>
    <w:rsid w:val="000D1919"/>
    <w:rsid w:val="000D1A1D"/>
    <w:rsid w:val="000D38A9"/>
    <w:rsid w:val="000D3C06"/>
    <w:rsid w:val="000D5FF9"/>
    <w:rsid w:val="000D64DC"/>
    <w:rsid w:val="000D7261"/>
    <w:rsid w:val="000E17FA"/>
    <w:rsid w:val="000E397A"/>
    <w:rsid w:val="000E67C4"/>
    <w:rsid w:val="00101C8E"/>
    <w:rsid w:val="00104C45"/>
    <w:rsid w:val="00107F8A"/>
    <w:rsid w:val="00110FDC"/>
    <w:rsid w:val="001151FE"/>
    <w:rsid w:val="00116251"/>
    <w:rsid w:val="0012285B"/>
    <w:rsid w:val="00125232"/>
    <w:rsid w:val="001267F5"/>
    <w:rsid w:val="00130C03"/>
    <w:rsid w:val="00135E03"/>
    <w:rsid w:val="00137085"/>
    <w:rsid w:val="00137FB3"/>
    <w:rsid w:val="00141DCF"/>
    <w:rsid w:val="00141EA8"/>
    <w:rsid w:val="00151576"/>
    <w:rsid w:val="00151D05"/>
    <w:rsid w:val="00155ADB"/>
    <w:rsid w:val="001561F4"/>
    <w:rsid w:val="00157134"/>
    <w:rsid w:val="00160F96"/>
    <w:rsid w:val="0016313C"/>
    <w:rsid w:val="00167B6F"/>
    <w:rsid w:val="0017255F"/>
    <w:rsid w:val="00173960"/>
    <w:rsid w:val="00173CC6"/>
    <w:rsid w:val="00175441"/>
    <w:rsid w:val="001805A3"/>
    <w:rsid w:val="00185BB5"/>
    <w:rsid w:val="001872F5"/>
    <w:rsid w:val="0019262E"/>
    <w:rsid w:val="0019341E"/>
    <w:rsid w:val="00193755"/>
    <w:rsid w:val="00196448"/>
    <w:rsid w:val="001A6851"/>
    <w:rsid w:val="001B1BA2"/>
    <w:rsid w:val="001C006F"/>
    <w:rsid w:val="001C0970"/>
    <w:rsid w:val="001C3BB0"/>
    <w:rsid w:val="001C5977"/>
    <w:rsid w:val="001C5E50"/>
    <w:rsid w:val="001D03AF"/>
    <w:rsid w:val="001D3CC8"/>
    <w:rsid w:val="001E1274"/>
    <w:rsid w:val="001E16D5"/>
    <w:rsid w:val="001E21C0"/>
    <w:rsid w:val="001E6390"/>
    <w:rsid w:val="001E6DF7"/>
    <w:rsid w:val="001F06AB"/>
    <w:rsid w:val="00206297"/>
    <w:rsid w:val="0020762B"/>
    <w:rsid w:val="00207698"/>
    <w:rsid w:val="00207F28"/>
    <w:rsid w:val="002117BA"/>
    <w:rsid w:val="00211EA8"/>
    <w:rsid w:val="00213ED1"/>
    <w:rsid w:val="002151D4"/>
    <w:rsid w:val="002178F6"/>
    <w:rsid w:val="00220798"/>
    <w:rsid w:val="00221C64"/>
    <w:rsid w:val="00222842"/>
    <w:rsid w:val="0022599E"/>
    <w:rsid w:val="00225A36"/>
    <w:rsid w:val="00225F4F"/>
    <w:rsid w:val="0023195C"/>
    <w:rsid w:val="00232AF4"/>
    <w:rsid w:val="00240045"/>
    <w:rsid w:val="00243DE1"/>
    <w:rsid w:val="00245F32"/>
    <w:rsid w:val="00246231"/>
    <w:rsid w:val="00246BD5"/>
    <w:rsid w:val="00247983"/>
    <w:rsid w:val="0025112E"/>
    <w:rsid w:val="002524EB"/>
    <w:rsid w:val="002555F9"/>
    <w:rsid w:val="002559F9"/>
    <w:rsid w:val="00255F08"/>
    <w:rsid w:val="00260C85"/>
    <w:rsid w:val="002616D7"/>
    <w:rsid w:val="00262613"/>
    <w:rsid w:val="00270853"/>
    <w:rsid w:val="00270D00"/>
    <w:rsid w:val="00272D72"/>
    <w:rsid w:val="00274752"/>
    <w:rsid w:val="00276C7B"/>
    <w:rsid w:val="00282B41"/>
    <w:rsid w:val="00283FD6"/>
    <w:rsid w:val="002901DD"/>
    <w:rsid w:val="002909E4"/>
    <w:rsid w:val="00290B86"/>
    <w:rsid w:val="00293D98"/>
    <w:rsid w:val="00294EED"/>
    <w:rsid w:val="00296516"/>
    <w:rsid w:val="002970B5"/>
    <w:rsid w:val="002A067C"/>
    <w:rsid w:val="002A19F5"/>
    <w:rsid w:val="002A2986"/>
    <w:rsid w:val="002A3329"/>
    <w:rsid w:val="002A4406"/>
    <w:rsid w:val="002A79B4"/>
    <w:rsid w:val="002B30E8"/>
    <w:rsid w:val="002B3662"/>
    <w:rsid w:val="002B3C7E"/>
    <w:rsid w:val="002B4B44"/>
    <w:rsid w:val="002B4EB1"/>
    <w:rsid w:val="002C37D4"/>
    <w:rsid w:val="002C3A53"/>
    <w:rsid w:val="002C7A0B"/>
    <w:rsid w:val="002D1528"/>
    <w:rsid w:val="002D622A"/>
    <w:rsid w:val="002E6307"/>
    <w:rsid w:val="002F0FAE"/>
    <w:rsid w:val="002F5C9C"/>
    <w:rsid w:val="00312C2B"/>
    <w:rsid w:val="00312EAB"/>
    <w:rsid w:val="00313AC2"/>
    <w:rsid w:val="003151F8"/>
    <w:rsid w:val="0031542A"/>
    <w:rsid w:val="0031659D"/>
    <w:rsid w:val="0031672A"/>
    <w:rsid w:val="00322344"/>
    <w:rsid w:val="00322373"/>
    <w:rsid w:val="00333B41"/>
    <w:rsid w:val="003427E4"/>
    <w:rsid w:val="003450CE"/>
    <w:rsid w:val="003479E0"/>
    <w:rsid w:val="00361ADD"/>
    <w:rsid w:val="00367E36"/>
    <w:rsid w:val="0037235F"/>
    <w:rsid w:val="00372E76"/>
    <w:rsid w:val="00374832"/>
    <w:rsid w:val="0037798D"/>
    <w:rsid w:val="00381373"/>
    <w:rsid w:val="003821E5"/>
    <w:rsid w:val="00384389"/>
    <w:rsid w:val="00393875"/>
    <w:rsid w:val="003A34FF"/>
    <w:rsid w:val="003A353F"/>
    <w:rsid w:val="003A5756"/>
    <w:rsid w:val="003A7626"/>
    <w:rsid w:val="003A78BC"/>
    <w:rsid w:val="003B13AD"/>
    <w:rsid w:val="003B2D56"/>
    <w:rsid w:val="003C3666"/>
    <w:rsid w:val="003C4622"/>
    <w:rsid w:val="003D2C6F"/>
    <w:rsid w:val="003D424C"/>
    <w:rsid w:val="003D52B4"/>
    <w:rsid w:val="003D59C9"/>
    <w:rsid w:val="003E14F4"/>
    <w:rsid w:val="003E2720"/>
    <w:rsid w:val="003E3103"/>
    <w:rsid w:val="003E3701"/>
    <w:rsid w:val="003E4569"/>
    <w:rsid w:val="003E5218"/>
    <w:rsid w:val="003F19DC"/>
    <w:rsid w:val="003F1AA8"/>
    <w:rsid w:val="00400C5E"/>
    <w:rsid w:val="004039A4"/>
    <w:rsid w:val="00410D25"/>
    <w:rsid w:val="00412B25"/>
    <w:rsid w:val="0041440E"/>
    <w:rsid w:val="00414D8A"/>
    <w:rsid w:val="00414F07"/>
    <w:rsid w:val="00415133"/>
    <w:rsid w:val="004163AE"/>
    <w:rsid w:val="0042336D"/>
    <w:rsid w:val="00431B13"/>
    <w:rsid w:val="00437638"/>
    <w:rsid w:val="004408C9"/>
    <w:rsid w:val="00443137"/>
    <w:rsid w:val="00450C9F"/>
    <w:rsid w:val="00451907"/>
    <w:rsid w:val="0045222F"/>
    <w:rsid w:val="00457531"/>
    <w:rsid w:val="0046004B"/>
    <w:rsid w:val="004613C3"/>
    <w:rsid w:val="0046547E"/>
    <w:rsid w:val="004663DA"/>
    <w:rsid w:val="00467927"/>
    <w:rsid w:val="00467F37"/>
    <w:rsid w:val="00471FCD"/>
    <w:rsid w:val="00477B7A"/>
    <w:rsid w:val="0048283C"/>
    <w:rsid w:val="00483093"/>
    <w:rsid w:val="004834CC"/>
    <w:rsid w:val="00484A4A"/>
    <w:rsid w:val="00484C05"/>
    <w:rsid w:val="004903A3"/>
    <w:rsid w:val="00490752"/>
    <w:rsid w:val="00492261"/>
    <w:rsid w:val="004937F9"/>
    <w:rsid w:val="00495708"/>
    <w:rsid w:val="004A5269"/>
    <w:rsid w:val="004B3D4B"/>
    <w:rsid w:val="004B42A7"/>
    <w:rsid w:val="004B5705"/>
    <w:rsid w:val="004C00F3"/>
    <w:rsid w:val="004C0D2C"/>
    <w:rsid w:val="004C1A9E"/>
    <w:rsid w:val="004C215C"/>
    <w:rsid w:val="004C571E"/>
    <w:rsid w:val="004C5EE3"/>
    <w:rsid w:val="004C6D93"/>
    <w:rsid w:val="004D15F6"/>
    <w:rsid w:val="004D2AB2"/>
    <w:rsid w:val="004E0C97"/>
    <w:rsid w:val="004E0D4A"/>
    <w:rsid w:val="004E2092"/>
    <w:rsid w:val="004E4F1F"/>
    <w:rsid w:val="004E538A"/>
    <w:rsid w:val="004E577B"/>
    <w:rsid w:val="004E6C71"/>
    <w:rsid w:val="004F5121"/>
    <w:rsid w:val="004F5A80"/>
    <w:rsid w:val="00510884"/>
    <w:rsid w:val="00513808"/>
    <w:rsid w:val="005179F3"/>
    <w:rsid w:val="00521C96"/>
    <w:rsid w:val="00525CFE"/>
    <w:rsid w:val="005277CF"/>
    <w:rsid w:val="00533D63"/>
    <w:rsid w:val="0053543D"/>
    <w:rsid w:val="005359F8"/>
    <w:rsid w:val="0053754A"/>
    <w:rsid w:val="00546297"/>
    <w:rsid w:val="00550B8E"/>
    <w:rsid w:val="00562823"/>
    <w:rsid w:val="005633B6"/>
    <w:rsid w:val="00563E18"/>
    <w:rsid w:val="005702ED"/>
    <w:rsid w:val="00570E29"/>
    <w:rsid w:val="00572A62"/>
    <w:rsid w:val="005758E0"/>
    <w:rsid w:val="00580391"/>
    <w:rsid w:val="005834F5"/>
    <w:rsid w:val="00585DB2"/>
    <w:rsid w:val="00585E29"/>
    <w:rsid w:val="00586A5C"/>
    <w:rsid w:val="005871E4"/>
    <w:rsid w:val="0059018C"/>
    <w:rsid w:val="00591831"/>
    <w:rsid w:val="00594098"/>
    <w:rsid w:val="00594580"/>
    <w:rsid w:val="00594C05"/>
    <w:rsid w:val="00596421"/>
    <w:rsid w:val="00597C59"/>
    <w:rsid w:val="005A2CCB"/>
    <w:rsid w:val="005A3405"/>
    <w:rsid w:val="005A6EBA"/>
    <w:rsid w:val="005A76BD"/>
    <w:rsid w:val="005B0FD2"/>
    <w:rsid w:val="005B59D3"/>
    <w:rsid w:val="005B61DF"/>
    <w:rsid w:val="005C15FC"/>
    <w:rsid w:val="005C1F05"/>
    <w:rsid w:val="005C4E19"/>
    <w:rsid w:val="005D146E"/>
    <w:rsid w:val="005D1704"/>
    <w:rsid w:val="005D2444"/>
    <w:rsid w:val="005D3AA8"/>
    <w:rsid w:val="005D69E3"/>
    <w:rsid w:val="005E30DF"/>
    <w:rsid w:val="005F0831"/>
    <w:rsid w:val="005F0D15"/>
    <w:rsid w:val="005F2F78"/>
    <w:rsid w:val="005F4414"/>
    <w:rsid w:val="005F7984"/>
    <w:rsid w:val="00606FD3"/>
    <w:rsid w:val="00611436"/>
    <w:rsid w:val="00612005"/>
    <w:rsid w:val="00621605"/>
    <w:rsid w:val="00623090"/>
    <w:rsid w:val="0062387E"/>
    <w:rsid w:val="00625BF3"/>
    <w:rsid w:val="00626DD8"/>
    <w:rsid w:val="00634899"/>
    <w:rsid w:val="00642162"/>
    <w:rsid w:val="00643EB6"/>
    <w:rsid w:val="00647B23"/>
    <w:rsid w:val="00647ED5"/>
    <w:rsid w:val="006512C8"/>
    <w:rsid w:val="00651904"/>
    <w:rsid w:val="00655AED"/>
    <w:rsid w:val="00660F7F"/>
    <w:rsid w:val="00663A6C"/>
    <w:rsid w:val="00666146"/>
    <w:rsid w:val="00666C58"/>
    <w:rsid w:val="00667571"/>
    <w:rsid w:val="00671E15"/>
    <w:rsid w:val="00673252"/>
    <w:rsid w:val="00676FA1"/>
    <w:rsid w:val="00677566"/>
    <w:rsid w:val="0068396D"/>
    <w:rsid w:val="006851E0"/>
    <w:rsid w:val="0068552C"/>
    <w:rsid w:val="006867AA"/>
    <w:rsid w:val="00686A58"/>
    <w:rsid w:val="00693D2E"/>
    <w:rsid w:val="00693F7C"/>
    <w:rsid w:val="006A4E87"/>
    <w:rsid w:val="006A5635"/>
    <w:rsid w:val="006A6992"/>
    <w:rsid w:val="006B021A"/>
    <w:rsid w:val="006B544A"/>
    <w:rsid w:val="006B6841"/>
    <w:rsid w:val="006B6E54"/>
    <w:rsid w:val="006B7875"/>
    <w:rsid w:val="006C1148"/>
    <w:rsid w:val="006D23D4"/>
    <w:rsid w:val="006D3934"/>
    <w:rsid w:val="006E0C73"/>
    <w:rsid w:val="006E4A6B"/>
    <w:rsid w:val="006E54C5"/>
    <w:rsid w:val="006F125F"/>
    <w:rsid w:val="006F1E71"/>
    <w:rsid w:val="006F2E9E"/>
    <w:rsid w:val="006F3D16"/>
    <w:rsid w:val="00700357"/>
    <w:rsid w:val="00707280"/>
    <w:rsid w:val="007103D9"/>
    <w:rsid w:val="00712787"/>
    <w:rsid w:val="007135DD"/>
    <w:rsid w:val="0071659F"/>
    <w:rsid w:val="00723859"/>
    <w:rsid w:val="007266DA"/>
    <w:rsid w:val="00727737"/>
    <w:rsid w:val="00733483"/>
    <w:rsid w:val="0074352B"/>
    <w:rsid w:val="00743568"/>
    <w:rsid w:val="007441AE"/>
    <w:rsid w:val="00744AA3"/>
    <w:rsid w:val="007521BB"/>
    <w:rsid w:val="0075472A"/>
    <w:rsid w:val="00755C9F"/>
    <w:rsid w:val="007573F2"/>
    <w:rsid w:val="00764192"/>
    <w:rsid w:val="007648A5"/>
    <w:rsid w:val="00766D0F"/>
    <w:rsid w:val="00770242"/>
    <w:rsid w:val="00770550"/>
    <w:rsid w:val="007718C2"/>
    <w:rsid w:val="00772C48"/>
    <w:rsid w:val="007866E7"/>
    <w:rsid w:val="0079060D"/>
    <w:rsid w:val="007933D8"/>
    <w:rsid w:val="00794054"/>
    <w:rsid w:val="0079621F"/>
    <w:rsid w:val="007A332B"/>
    <w:rsid w:val="007B1235"/>
    <w:rsid w:val="007B447C"/>
    <w:rsid w:val="007B6DFF"/>
    <w:rsid w:val="007B7947"/>
    <w:rsid w:val="007C52C1"/>
    <w:rsid w:val="007C5CCD"/>
    <w:rsid w:val="007D1C4D"/>
    <w:rsid w:val="007D4CF0"/>
    <w:rsid w:val="007D754F"/>
    <w:rsid w:val="007E1EFE"/>
    <w:rsid w:val="007E2E62"/>
    <w:rsid w:val="007E3F5D"/>
    <w:rsid w:val="007E5C45"/>
    <w:rsid w:val="007E7F77"/>
    <w:rsid w:val="007F038D"/>
    <w:rsid w:val="007F1E16"/>
    <w:rsid w:val="007F5695"/>
    <w:rsid w:val="007F787D"/>
    <w:rsid w:val="00801952"/>
    <w:rsid w:val="00803E53"/>
    <w:rsid w:val="00807731"/>
    <w:rsid w:val="008140CD"/>
    <w:rsid w:val="00814FA3"/>
    <w:rsid w:val="00816ABA"/>
    <w:rsid w:val="008170EB"/>
    <w:rsid w:val="008225F4"/>
    <w:rsid w:val="00822B5C"/>
    <w:rsid w:val="008266BC"/>
    <w:rsid w:val="00826D6F"/>
    <w:rsid w:val="0083088B"/>
    <w:rsid w:val="0083404C"/>
    <w:rsid w:val="00834BC0"/>
    <w:rsid w:val="00843908"/>
    <w:rsid w:val="00850070"/>
    <w:rsid w:val="0085372C"/>
    <w:rsid w:val="008565B0"/>
    <w:rsid w:val="00866747"/>
    <w:rsid w:val="00870E66"/>
    <w:rsid w:val="00870EAE"/>
    <w:rsid w:val="00875242"/>
    <w:rsid w:val="00883DBC"/>
    <w:rsid w:val="00884977"/>
    <w:rsid w:val="00885048"/>
    <w:rsid w:val="008862D2"/>
    <w:rsid w:val="00893E35"/>
    <w:rsid w:val="0089747A"/>
    <w:rsid w:val="008976EB"/>
    <w:rsid w:val="00897928"/>
    <w:rsid w:val="00897AE9"/>
    <w:rsid w:val="008A16EB"/>
    <w:rsid w:val="008A5A23"/>
    <w:rsid w:val="008A6A59"/>
    <w:rsid w:val="008B5879"/>
    <w:rsid w:val="008B6381"/>
    <w:rsid w:val="008C0F40"/>
    <w:rsid w:val="008C2C31"/>
    <w:rsid w:val="008C3C28"/>
    <w:rsid w:val="008C406E"/>
    <w:rsid w:val="008D46EA"/>
    <w:rsid w:val="008D6A77"/>
    <w:rsid w:val="008D6D6E"/>
    <w:rsid w:val="008D6FD2"/>
    <w:rsid w:val="008E3E89"/>
    <w:rsid w:val="008E63F4"/>
    <w:rsid w:val="008E7672"/>
    <w:rsid w:val="008E7EA8"/>
    <w:rsid w:val="008F2BC3"/>
    <w:rsid w:val="008F596D"/>
    <w:rsid w:val="008F6AF8"/>
    <w:rsid w:val="008F7E89"/>
    <w:rsid w:val="009052DB"/>
    <w:rsid w:val="00906F2A"/>
    <w:rsid w:val="009076A7"/>
    <w:rsid w:val="00910136"/>
    <w:rsid w:val="009124E8"/>
    <w:rsid w:val="0091449E"/>
    <w:rsid w:val="009167C5"/>
    <w:rsid w:val="00920110"/>
    <w:rsid w:val="00920497"/>
    <w:rsid w:val="0092133E"/>
    <w:rsid w:val="009213D9"/>
    <w:rsid w:val="0092395C"/>
    <w:rsid w:val="00923DF1"/>
    <w:rsid w:val="009247F6"/>
    <w:rsid w:val="00932F2A"/>
    <w:rsid w:val="00951A9F"/>
    <w:rsid w:val="009606D5"/>
    <w:rsid w:val="0096320D"/>
    <w:rsid w:val="00963CE8"/>
    <w:rsid w:val="00965102"/>
    <w:rsid w:val="009665B8"/>
    <w:rsid w:val="00973880"/>
    <w:rsid w:val="00975B92"/>
    <w:rsid w:val="0098160C"/>
    <w:rsid w:val="0098236B"/>
    <w:rsid w:val="0098460B"/>
    <w:rsid w:val="00995D1F"/>
    <w:rsid w:val="009A2393"/>
    <w:rsid w:val="009A363B"/>
    <w:rsid w:val="009A4076"/>
    <w:rsid w:val="009A63F3"/>
    <w:rsid w:val="009A698A"/>
    <w:rsid w:val="009B50AB"/>
    <w:rsid w:val="009B70EF"/>
    <w:rsid w:val="009C09F9"/>
    <w:rsid w:val="009C1244"/>
    <w:rsid w:val="009C1836"/>
    <w:rsid w:val="009D224F"/>
    <w:rsid w:val="009D7044"/>
    <w:rsid w:val="009D76A2"/>
    <w:rsid w:val="009E13EC"/>
    <w:rsid w:val="009E32C8"/>
    <w:rsid w:val="009E367B"/>
    <w:rsid w:val="009E4085"/>
    <w:rsid w:val="009E5ABC"/>
    <w:rsid w:val="009E6987"/>
    <w:rsid w:val="009E7640"/>
    <w:rsid w:val="009F0B16"/>
    <w:rsid w:val="009F113D"/>
    <w:rsid w:val="009F11F0"/>
    <w:rsid w:val="009F2DAB"/>
    <w:rsid w:val="00A003D2"/>
    <w:rsid w:val="00A01760"/>
    <w:rsid w:val="00A02B64"/>
    <w:rsid w:val="00A037A0"/>
    <w:rsid w:val="00A03908"/>
    <w:rsid w:val="00A1101E"/>
    <w:rsid w:val="00A12788"/>
    <w:rsid w:val="00A12D66"/>
    <w:rsid w:val="00A135E4"/>
    <w:rsid w:val="00A13DFF"/>
    <w:rsid w:val="00A17FB8"/>
    <w:rsid w:val="00A22F6B"/>
    <w:rsid w:val="00A231A3"/>
    <w:rsid w:val="00A31919"/>
    <w:rsid w:val="00A34857"/>
    <w:rsid w:val="00A35567"/>
    <w:rsid w:val="00A35D7E"/>
    <w:rsid w:val="00A413DB"/>
    <w:rsid w:val="00A43639"/>
    <w:rsid w:val="00A45E0B"/>
    <w:rsid w:val="00A467CE"/>
    <w:rsid w:val="00A53518"/>
    <w:rsid w:val="00A53D2F"/>
    <w:rsid w:val="00A57731"/>
    <w:rsid w:val="00A66161"/>
    <w:rsid w:val="00A669D9"/>
    <w:rsid w:val="00A70FC8"/>
    <w:rsid w:val="00A71A67"/>
    <w:rsid w:val="00A81DFE"/>
    <w:rsid w:val="00A83185"/>
    <w:rsid w:val="00A85161"/>
    <w:rsid w:val="00A90BC7"/>
    <w:rsid w:val="00A91707"/>
    <w:rsid w:val="00A94FE8"/>
    <w:rsid w:val="00AB6D4A"/>
    <w:rsid w:val="00AC61DC"/>
    <w:rsid w:val="00AD2612"/>
    <w:rsid w:val="00AD5894"/>
    <w:rsid w:val="00AD5FE6"/>
    <w:rsid w:val="00AE0E28"/>
    <w:rsid w:val="00AE0EA8"/>
    <w:rsid w:val="00AE72DE"/>
    <w:rsid w:val="00AF05F4"/>
    <w:rsid w:val="00AF2F18"/>
    <w:rsid w:val="00AF6C74"/>
    <w:rsid w:val="00B00AC9"/>
    <w:rsid w:val="00B03D63"/>
    <w:rsid w:val="00B04F93"/>
    <w:rsid w:val="00B1133D"/>
    <w:rsid w:val="00B1217F"/>
    <w:rsid w:val="00B13F59"/>
    <w:rsid w:val="00B156CB"/>
    <w:rsid w:val="00B175CA"/>
    <w:rsid w:val="00B21124"/>
    <w:rsid w:val="00B21921"/>
    <w:rsid w:val="00B22FC7"/>
    <w:rsid w:val="00B27475"/>
    <w:rsid w:val="00B3611B"/>
    <w:rsid w:val="00B418D8"/>
    <w:rsid w:val="00B423AD"/>
    <w:rsid w:val="00B43430"/>
    <w:rsid w:val="00B46CD9"/>
    <w:rsid w:val="00B51F28"/>
    <w:rsid w:val="00B615AB"/>
    <w:rsid w:val="00B67914"/>
    <w:rsid w:val="00B7040B"/>
    <w:rsid w:val="00B75010"/>
    <w:rsid w:val="00B762D0"/>
    <w:rsid w:val="00B77A46"/>
    <w:rsid w:val="00B80930"/>
    <w:rsid w:val="00B853B2"/>
    <w:rsid w:val="00B92513"/>
    <w:rsid w:val="00B95751"/>
    <w:rsid w:val="00BA019D"/>
    <w:rsid w:val="00BA4EDF"/>
    <w:rsid w:val="00BB0143"/>
    <w:rsid w:val="00BB7BDF"/>
    <w:rsid w:val="00BC1FA9"/>
    <w:rsid w:val="00BC323D"/>
    <w:rsid w:val="00BD03B5"/>
    <w:rsid w:val="00BD125B"/>
    <w:rsid w:val="00BD2567"/>
    <w:rsid w:val="00BD3E40"/>
    <w:rsid w:val="00BD549F"/>
    <w:rsid w:val="00BE015F"/>
    <w:rsid w:val="00BE0A12"/>
    <w:rsid w:val="00BF38C8"/>
    <w:rsid w:val="00BF3BCC"/>
    <w:rsid w:val="00BF4AAE"/>
    <w:rsid w:val="00C003FB"/>
    <w:rsid w:val="00C023D4"/>
    <w:rsid w:val="00C041A0"/>
    <w:rsid w:val="00C042AE"/>
    <w:rsid w:val="00C05960"/>
    <w:rsid w:val="00C1128F"/>
    <w:rsid w:val="00C11B1C"/>
    <w:rsid w:val="00C21EA8"/>
    <w:rsid w:val="00C26422"/>
    <w:rsid w:val="00C310C1"/>
    <w:rsid w:val="00C311D1"/>
    <w:rsid w:val="00C31DE4"/>
    <w:rsid w:val="00C465B6"/>
    <w:rsid w:val="00C507EE"/>
    <w:rsid w:val="00C51370"/>
    <w:rsid w:val="00C565E2"/>
    <w:rsid w:val="00C56FD5"/>
    <w:rsid w:val="00C614F1"/>
    <w:rsid w:val="00C61C79"/>
    <w:rsid w:val="00C62336"/>
    <w:rsid w:val="00C6334F"/>
    <w:rsid w:val="00C65819"/>
    <w:rsid w:val="00C670CA"/>
    <w:rsid w:val="00C715D5"/>
    <w:rsid w:val="00C74566"/>
    <w:rsid w:val="00C82FEE"/>
    <w:rsid w:val="00C85CFC"/>
    <w:rsid w:val="00C87A06"/>
    <w:rsid w:val="00C93D53"/>
    <w:rsid w:val="00C9670B"/>
    <w:rsid w:val="00CA0A3F"/>
    <w:rsid w:val="00CA1CB4"/>
    <w:rsid w:val="00CA2954"/>
    <w:rsid w:val="00CA35CC"/>
    <w:rsid w:val="00CB0BDD"/>
    <w:rsid w:val="00CB6A4D"/>
    <w:rsid w:val="00CC187F"/>
    <w:rsid w:val="00CC251F"/>
    <w:rsid w:val="00CC2AC1"/>
    <w:rsid w:val="00CC3347"/>
    <w:rsid w:val="00CC4D18"/>
    <w:rsid w:val="00CC6B4B"/>
    <w:rsid w:val="00CD0249"/>
    <w:rsid w:val="00CD27FB"/>
    <w:rsid w:val="00CD2AB6"/>
    <w:rsid w:val="00CD48E7"/>
    <w:rsid w:val="00CE003E"/>
    <w:rsid w:val="00CE0CBD"/>
    <w:rsid w:val="00CE3BE1"/>
    <w:rsid w:val="00CE7C3B"/>
    <w:rsid w:val="00CF0642"/>
    <w:rsid w:val="00CF0EB9"/>
    <w:rsid w:val="00CF5EF7"/>
    <w:rsid w:val="00D00922"/>
    <w:rsid w:val="00D011DE"/>
    <w:rsid w:val="00D044AE"/>
    <w:rsid w:val="00D04844"/>
    <w:rsid w:val="00D1618A"/>
    <w:rsid w:val="00D20270"/>
    <w:rsid w:val="00D22C69"/>
    <w:rsid w:val="00D30243"/>
    <w:rsid w:val="00D31101"/>
    <w:rsid w:val="00D332D9"/>
    <w:rsid w:val="00D350D5"/>
    <w:rsid w:val="00D37143"/>
    <w:rsid w:val="00D37355"/>
    <w:rsid w:val="00D42FFA"/>
    <w:rsid w:val="00D44583"/>
    <w:rsid w:val="00D45D12"/>
    <w:rsid w:val="00D45E45"/>
    <w:rsid w:val="00D46392"/>
    <w:rsid w:val="00D539C1"/>
    <w:rsid w:val="00D56E31"/>
    <w:rsid w:val="00D60084"/>
    <w:rsid w:val="00D61BD4"/>
    <w:rsid w:val="00D649E7"/>
    <w:rsid w:val="00D650D7"/>
    <w:rsid w:val="00D65A9C"/>
    <w:rsid w:val="00D7226B"/>
    <w:rsid w:val="00D75D72"/>
    <w:rsid w:val="00D7633D"/>
    <w:rsid w:val="00D81CE7"/>
    <w:rsid w:val="00D837A1"/>
    <w:rsid w:val="00D9315E"/>
    <w:rsid w:val="00D95E0F"/>
    <w:rsid w:val="00DA4841"/>
    <w:rsid w:val="00DA595C"/>
    <w:rsid w:val="00DB1BC0"/>
    <w:rsid w:val="00DC3EF4"/>
    <w:rsid w:val="00DC531D"/>
    <w:rsid w:val="00DC649E"/>
    <w:rsid w:val="00DD408C"/>
    <w:rsid w:val="00DD5F53"/>
    <w:rsid w:val="00DE07CC"/>
    <w:rsid w:val="00DE3033"/>
    <w:rsid w:val="00DE42E9"/>
    <w:rsid w:val="00DE7010"/>
    <w:rsid w:val="00DE72FA"/>
    <w:rsid w:val="00DE7AEA"/>
    <w:rsid w:val="00DF5067"/>
    <w:rsid w:val="00DF7BAC"/>
    <w:rsid w:val="00E00255"/>
    <w:rsid w:val="00E01DEF"/>
    <w:rsid w:val="00E0596D"/>
    <w:rsid w:val="00E10008"/>
    <w:rsid w:val="00E12E4E"/>
    <w:rsid w:val="00E12E93"/>
    <w:rsid w:val="00E16620"/>
    <w:rsid w:val="00E16CCE"/>
    <w:rsid w:val="00E21FC2"/>
    <w:rsid w:val="00E22801"/>
    <w:rsid w:val="00E24A95"/>
    <w:rsid w:val="00E24F10"/>
    <w:rsid w:val="00E262AD"/>
    <w:rsid w:val="00E463C7"/>
    <w:rsid w:val="00E46DDF"/>
    <w:rsid w:val="00E502EF"/>
    <w:rsid w:val="00E50741"/>
    <w:rsid w:val="00E508D9"/>
    <w:rsid w:val="00E514A0"/>
    <w:rsid w:val="00E56134"/>
    <w:rsid w:val="00E60939"/>
    <w:rsid w:val="00E609ED"/>
    <w:rsid w:val="00E61B03"/>
    <w:rsid w:val="00E63C51"/>
    <w:rsid w:val="00E723F4"/>
    <w:rsid w:val="00E73D5F"/>
    <w:rsid w:val="00E7412C"/>
    <w:rsid w:val="00E7456A"/>
    <w:rsid w:val="00E75F66"/>
    <w:rsid w:val="00E81BF7"/>
    <w:rsid w:val="00E83212"/>
    <w:rsid w:val="00E850A1"/>
    <w:rsid w:val="00E86A0E"/>
    <w:rsid w:val="00E86CBB"/>
    <w:rsid w:val="00E86DCF"/>
    <w:rsid w:val="00E92003"/>
    <w:rsid w:val="00E940B4"/>
    <w:rsid w:val="00E94156"/>
    <w:rsid w:val="00EA01D5"/>
    <w:rsid w:val="00EB0BBF"/>
    <w:rsid w:val="00EB7896"/>
    <w:rsid w:val="00EC26C3"/>
    <w:rsid w:val="00EC2ECC"/>
    <w:rsid w:val="00ED306D"/>
    <w:rsid w:val="00ED419D"/>
    <w:rsid w:val="00ED49A4"/>
    <w:rsid w:val="00EE321A"/>
    <w:rsid w:val="00EE42DD"/>
    <w:rsid w:val="00EE482F"/>
    <w:rsid w:val="00EF16CE"/>
    <w:rsid w:val="00EF16E4"/>
    <w:rsid w:val="00EF2AA4"/>
    <w:rsid w:val="00EF3A3F"/>
    <w:rsid w:val="00EF4D48"/>
    <w:rsid w:val="00EF4F41"/>
    <w:rsid w:val="00EF61FD"/>
    <w:rsid w:val="00EF7698"/>
    <w:rsid w:val="00F01263"/>
    <w:rsid w:val="00F14F23"/>
    <w:rsid w:val="00F17E2A"/>
    <w:rsid w:val="00F22196"/>
    <w:rsid w:val="00F24CAD"/>
    <w:rsid w:val="00F34306"/>
    <w:rsid w:val="00F34983"/>
    <w:rsid w:val="00F35355"/>
    <w:rsid w:val="00F379FF"/>
    <w:rsid w:val="00F37AA8"/>
    <w:rsid w:val="00F448FC"/>
    <w:rsid w:val="00F451C3"/>
    <w:rsid w:val="00F5367D"/>
    <w:rsid w:val="00F53B4A"/>
    <w:rsid w:val="00F54989"/>
    <w:rsid w:val="00F576D1"/>
    <w:rsid w:val="00F63723"/>
    <w:rsid w:val="00F671EB"/>
    <w:rsid w:val="00F756E8"/>
    <w:rsid w:val="00F76652"/>
    <w:rsid w:val="00F80189"/>
    <w:rsid w:val="00F80974"/>
    <w:rsid w:val="00F80A6D"/>
    <w:rsid w:val="00F917DB"/>
    <w:rsid w:val="00F92DAC"/>
    <w:rsid w:val="00F93491"/>
    <w:rsid w:val="00F94853"/>
    <w:rsid w:val="00F961E3"/>
    <w:rsid w:val="00F96E17"/>
    <w:rsid w:val="00FA028A"/>
    <w:rsid w:val="00FA1629"/>
    <w:rsid w:val="00FA1B68"/>
    <w:rsid w:val="00FA54E7"/>
    <w:rsid w:val="00FC14E5"/>
    <w:rsid w:val="00FC401D"/>
    <w:rsid w:val="00FC7817"/>
    <w:rsid w:val="00FD2ED5"/>
    <w:rsid w:val="00FD35E7"/>
    <w:rsid w:val="00FD5C8F"/>
    <w:rsid w:val="00FE67C3"/>
    <w:rsid w:val="00FE74B9"/>
    <w:rsid w:val="00FF1564"/>
    <w:rsid w:val="00FF29D3"/>
    <w:rsid w:val="00FF44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4AB9CB"/>
  <w15:chartTrackingRefBased/>
  <w15:docId w15:val="{7E5E4742-301E-42BE-9AA4-0E1C9697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044"/>
  </w:style>
  <w:style w:type="paragraph" w:styleId="Ttulo1">
    <w:name w:val="heading 1"/>
    <w:basedOn w:val="Normal"/>
    <w:next w:val="Normal"/>
    <w:link w:val="Ttulo1Car"/>
    <w:uiPriority w:val="9"/>
    <w:qFormat/>
    <w:rsid w:val="001C00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1C006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semiHidden/>
    <w:unhideWhenUsed/>
    <w:qFormat/>
    <w:rsid w:val="001C006F"/>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723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723F4"/>
    <w:rPr>
      <w:rFonts w:ascii="Segoe UI" w:hAnsi="Segoe UI" w:cs="Segoe UI"/>
      <w:sz w:val="18"/>
      <w:szCs w:val="18"/>
    </w:rPr>
  </w:style>
  <w:style w:type="character" w:customStyle="1" w:styleId="Ttulo1Car">
    <w:name w:val="Título 1 Car"/>
    <w:basedOn w:val="Fuentedeprrafopredeter"/>
    <w:link w:val="Ttulo1"/>
    <w:uiPriority w:val="9"/>
    <w:rsid w:val="001C006F"/>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1C006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semiHidden/>
    <w:rsid w:val="001C006F"/>
    <w:rPr>
      <w:rFonts w:asciiTheme="majorHAnsi" w:eastAsiaTheme="majorEastAsia" w:hAnsiTheme="majorHAnsi" w:cstheme="majorBidi"/>
      <w:color w:val="1F3763" w:themeColor="accent1" w:themeShade="7F"/>
      <w:sz w:val="24"/>
      <w:szCs w:val="24"/>
      <w:lang w:eastAsia="es-ES"/>
    </w:rPr>
  </w:style>
  <w:style w:type="paragraph" w:styleId="Prrafodelista">
    <w:name w:val="List Paragraph"/>
    <w:basedOn w:val="Normal"/>
    <w:uiPriority w:val="34"/>
    <w:qFormat/>
    <w:rsid w:val="001C006F"/>
    <w:pPr>
      <w:ind w:left="720"/>
      <w:contextualSpacing/>
    </w:pPr>
  </w:style>
  <w:style w:type="character" w:styleId="Refdecomentario">
    <w:name w:val="annotation reference"/>
    <w:basedOn w:val="Fuentedeprrafopredeter"/>
    <w:uiPriority w:val="99"/>
    <w:semiHidden/>
    <w:unhideWhenUsed/>
    <w:rsid w:val="001C006F"/>
    <w:rPr>
      <w:sz w:val="16"/>
      <w:szCs w:val="16"/>
    </w:rPr>
  </w:style>
  <w:style w:type="paragraph" w:styleId="Textocomentario">
    <w:name w:val="annotation text"/>
    <w:basedOn w:val="Normal"/>
    <w:link w:val="TextocomentarioCar"/>
    <w:uiPriority w:val="99"/>
    <w:unhideWhenUsed/>
    <w:rsid w:val="001C006F"/>
    <w:pPr>
      <w:spacing w:line="240" w:lineRule="auto"/>
    </w:pPr>
    <w:rPr>
      <w:sz w:val="20"/>
      <w:szCs w:val="20"/>
    </w:rPr>
  </w:style>
  <w:style w:type="character" w:customStyle="1" w:styleId="TextocomentarioCar">
    <w:name w:val="Texto comentario Car"/>
    <w:basedOn w:val="Fuentedeprrafopredeter"/>
    <w:link w:val="Textocomentario"/>
    <w:uiPriority w:val="99"/>
    <w:rsid w:val="001C006F"/>
    <w:rPr>
      <w:sz w:val="20"/>
      <w:szCs w:val="20"/>
    </w:rPr>
  </w:style>
  <w:style w:type="character" w:styleId="Hipervnculo">
    <w:name w:val="Hyperlink"/>
    <w:basedOn w:val="Fuentedeprrafopredeter"/>
    <w:uiPriority w:val="99"/>
    <w:unhideWhenUsed/>
    <w:rsid w:val="001C006F"/>
    <w:rPr>
      <w:color w:val="0563C1" w:themeColor="hyperlink"/>
      <w:u w:val="single"/>
    </w:rPr>
  </w:style>
  <w:style w:type="paragraph" w:styleId="HTMLconformatoprevio">
    <w:name w:val="HTML Preformatted"/>
    <w:basedOn w:val="Normal"/>
    <w:link w:val="HTMLconformatoprevioCar"/>
    <w:uiPriority w:val="99"/>
    <w:semiHidden/>
    <w:unhideWhenUsed/>
    <w:rsid w:val="001C0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1C006F"/>
    <w:rPr>
      <w:rFonts w:ascii="Courier New" w:eastAsia="Times New Roman" w:hAnsi="Courier New" w:cs="Courier New"/>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006F"/>
    <w:rPr>
      <w:b/>
      <w:bCs/>
    </w:rPr>
  </w:style>
  <w:style w:type="character" w:customStyle="1" w:styleId="AsuntodelcomentarioCar">
    <w:name w:val="Asunto del comentario Car"/>
    <w:basedOn w:val="TextocomentarioCar"/>
    <w:link w:val="Asuntodelcomentario"/>
    <w:uiPriority w:val="99"/>
    <w:semiHidden/>
    <w:rsid w:val="001C006F"/>
    <w:rPr>
      <w:b/>
      <w:bCs/>
      <w:sz w:val="20"/>
      <w:szCs w:val="20"/>
    </w:rPr>
  </w:style>
  <w:style w:type="character" w:styleId="nfasis">
    <w:name w:val="Emphasis"/>
    <w:basedOn w:val="Fuentedeprrafopredeter"/>
    <w:uiPriority w:val="20"/>
    <w:qFormat/>
    <w:rsid w:val="001C006F"/>
    <w:rPr>
      <w:i/>
      <w:iCs/>
    </w:rPr>
  </w:style>
  <w:style w:type="character" w:styleId="Textoennegrita">
    <w:name w:val="Strong"/>
    <w:basedOn w:val="Fuentedeprrafopredeter"/>
    <w:uiPriority w:val="22"/>
    <w:qFormat/>
    <w:rsid w:val="001C006F"/>
    <w:rPr>
      <w:b/>
      <w:bCs/>
    </w:rPr>
  </w:style>
  <w:style w:type="paragraph" w:styleId="NormalWeb">
    <w:name w:val="Normal (Web)"/>
    <w:basedOn w:val="Normal"/>
    <w:uiPriority w:val="99"/>
    <w:semiHidden/>
    <w:unhideWhenUsed/>
    <w:rsid w:val="001C006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t">
    <w:name w:val="st"/>
    <w:basedOn w:val="Fuentedeprrafopredeter"/>
    <w:rsid w:val="001C006F"/>
  </w:style>
  <w:style w:type="character" w:customStyle="1" w:styleId="title-text">
    <w:name w:val="title-text"/>
    <w:basedOn w:val="Fuentedeprrafopredeter"/>
    <w:rsid w:val="001C006F"/>
  </w:style>
  <w:style w:type="character" w:styleId="Hipervnculovisitado">
    <w:name w:val="FollowedHyperlink"/>
    <w:basedOn w:val="Fuentedeprrafopredeter"/>
    <w:uiPriority w:val="99"/>
    <w:semiHidden/>
    <w:unhideWhenUsed/>
    <w:rsid w:val="001C006F"/>
    <w:rPr>
      <w:color w:val="954F72" w:themeColor="followedHyperlink"/>
      <w:u w:val="single"/>
    </w:rPr>
  </w:style>
  <w:style w:type="paragraph" w:styleId="Encabezado">
    <w:name w:val="header"/>
    <w:basedOn w:val="Normal"/>
    <w:link w:val="EncabezadoCar"/>
    <w:uiPriority w:val="99"/>
    <w:unhideWhenUsed/>
    <w:rsid w:val="001C006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C006F"/>
  </w:style>
  <w:style w:type="paragraph" w:styleId="Piedepgina">
    <w:name w:val="footer"/>
    <w:basedOn w:val="Normal"/>
    <w:link w:val="PiedepginaCar"/>
    <w:uiPriority w:val="99"/>
    <w:unhideWhenUsed/>
    <w:rsid w:val="001C006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C006F"/>
  </w:style>
  <w:style w:type="character" w:styleId="CitaHTML">
    <w:name w:val="HTML Cite"/>
    <w:basedOn w:val="Fuentedeprrafopredeter"/>
    <w:uiPriority w:val="99"/>
    <w:semiHidden/>
    <w:unhideWhenUsed/>
    <w:rsid w:val="001C006F"/>
    <w:rPr>
      <w:i/>
      <w:iCs/>
    </w:rPr>
  </w:style>
  <w:style w:type="character" w:customStyle="1" w:styleId="pubmed-auth-date">
    <w:name w:val="pubmed-auth-date"/>
    <w:basedOn w:val="Fuentedeprrafopredeter"/>
    <w:rsid w:val="001C006F"/>
  </w:style>
  <w:style w:type="paragraph" w:customStyle="1" w:styleId="Default">
    <w:name w:val="Default"/>
    <w:rsid w:val="001C006F"/>
    <w:pPr>
      <w:autoSpaceDE w:val="0"/>
      <w:autoSpaceDN w:val="0"/>
      <w:adjustRightInd w:val="0"/>
      <w:spacing w:after="0" w:line="240" w:lineRule="auto"/>
    </w:pPr>
    <w:rPr>
      <w:rFonts w:ascii="Minion Pro" w:hAnsi="Minion Pro" w:cs="Minion Pro"/>
      <w:color w:val="000000"/>
      <w:sz w:val="24"/>
      <w:szCs w:val="24"/>
    </w:rPr>
  </w:style>
  <w:style w:type="character" w:customStyle="1" w:styleId="A2">
    <w:name w:val="A2"/>
    <w:uiPriority w:val="99"/>
    <w:rsid w:val="001C006F"/>
    <w:rPr>
      <w:rFonts w:cs="Minion Pro"/>
      <w:color w:val="000000"/>
      <w:sz w:val="10"/>
      <w:szCs w:val="10"/>
    </w:rPr>
  </w:style>
  <w:style w:type="character" w:customStyle="1" w:styleId="Mencinsinresolver1">
    <w:name w:val="Mención sin resolver1"/>
    <w:basedOn w:val="Fuentedeprrafopredeter"/>
    <w:uiPriority w:val="99"/>
    <w:semiHidden/>
    <w:unhideWhenUsed/>
    <w:rsid w:val="001C006F"/>
    <w:rPr>
      <w:color w:val="605E5C"/>
      <w:shd w:val="clear" w:color="auto" w:fill="E1DFDD"/>
    </w:rPr>
  </w:style>
  <w:style w:type="character" w:customStyle="1" w:styleId="UnresolvedMention1">
    <w:name w:val="Unresolved Mention1"/>
    <w:basedOn w:val="Fuentedeprrafopredeter"/>
    <w:uiPriority w:val="99"/>
    <w:semiHidden/>
    <w:unhideWhenUsed/>
    <w:rsid w:val="001C006F"/>
    <w:rPr>
      <w:color w:val="605E5C"/>
      <w:shd w:val="clear" w:color="auto" w:fill="E1DFDD"/>
    </w:rPr>
  </w:style>
  <w:style w:type="character" w:styleId="Textodelmarcadordeposicin">
    <w:name w:val="Placeholder Text"/>
    <w:basedOn w:val="Fuentedeprrafopredeter"/>
    <w:uiPriority w:val="99"/>
    <w:semiHidden/>
    <w:rsid w:val="001C006F"/>
    <w:rPr>
      <w:color w:val="808080"/>
    </w:rPr>
  </w:style>
  <w:style w:type="paragraph" w:styleId="Revisin">
    <w:name w:val="Revision"/>
    <w:hidden/>
    <w:uiPriority w:val="99"/>
    <w:semiHidden/>
    <w:rsid w:val="001C006F"/>
    <w:pPr>
      <w:spacing w:after="0" w:line="240" w:lineRule="auto"/>
    </w:pPr>
  </w:style>
  <w:style w:type="paragraph" w:customStyle="1" w:styleId="p">
    <w:name w:val="p"/>
    <w:basedOn w:val="Normal"/>
    <w:rsid w:val="001C006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id-label">
    <w:name w:val="id-label"/>
    <w:basedOn w:val="Fuentedeprrafopredeter"/>
    <w:rsid w:val="001C006F"/>
  </w:style>
  <w:style w:type="character" w:customStyle="1" w:styleId="text">
    <w:name w:val="text"/>
    <w:basedOn w:val="Fuentedeprrafopredeter"/>
    <w:rsid w:val="001C006F"/>
  </w:style>
  <w:style w:type="character" w:styleId="Mencinsinresolver">
    <w:name w:val="Unresolved Mention"/>
    <w:basedOn w:val="Fuentedeprrafopredeter"/>
    <w:uiPriority w:val="99"/>
    <w:semiHidden/>
    <w:unhideWhenUsed/>
    <w:rsid w:val="001C006F"/>
    <w:rPr>
      <w:color w:val="605E5C"/>
      <w:shd w:val="clear" w:color="auto" w:fill="E1DFDD"/>
    </w:rPr>
  </w:style>
  <w:style w:type="table" w:styleId="Tablaconcuadrcula">
    <w:name w:val="Table Grid"/>
    <w:basedOn w:val="Tablanormal"/>
    <w:uiPriority w:val="39"/>
    <w:rsid w:val="006C1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681813">
      <w:bodyDiv w:val="1"/>
      <w:marLeft w:val="0"/>
      <w:marRight w:val="0"/>
      <w:marTop w:val="0"/>
      <w:marBottom w:val="0"/>
      <w:divBdr>
        <w:top w:val="none" w:sz="0" w:space="0" w:color="auto"/>
        <w:left w:val="none" w:sz="0" w:space="0" w:color="auto"/>
        <w:bottom w:val="none" w:sz="0" w:space="0" w:color="auto"/>
        <w:right w:val="none" w:sz="0" w:space="0" w:color="auto"/>
      </w:divBdr>
    </w:div>
    <w:div w:id="312371307">
      <w:bodyDiv w:val="1"/>
      <w:marLeft w:val="0"/>
      <w:marRight w:val="0"/>
      <w:marTop w:val="0"/>
      <w:marBottom w:val="0"/>
      <w:divBdr>
        <w:top w:val="none" w:sz="0" w:space="0" w:color="auto"/>
        <w:left w:val="none" w:sz="0" w:space="0" w:color="auto"/>
        <w:bottom w:val="none" w:sz="0" w:space="0" w:color="auto"/>
        <w:right w:val="none" w:sz="0" w:space="0" w:color="auto"/>
      </w:divBdr>
    </w:div>
    <w:div w:id="485630670">
      <w:bodyDiv w:val="1"/>
      <w:marLeft w:val="0"/>
      <w:marRight w:val="0"/>
      <w:marTop w:val="0"/>
      <w:marBottom w:val="0"/>
      <w:divBdr>
        <w:top w:val="none" w:sz="0" w:space="0" w:color="auto"/>
        <w:left w:val="none" w:sz="0" w:space="0" w:color="auto"/>
        <w:bottom w:val="none" w:sz="0" w:space="0" w:color="auto"/>
        <w:right w:val="none" w:sz="0" w:space="0" w:color="auto"/>
      </w:divBdr>
    </w:div>
    <w:div w:id="526456338">
      <w:bodyDiv w:val="1"/>
      <w:marLeft w:val="0"/>
      <w:marRight w:val="0"/>
      <w:marTop w:val="0"/>
      <w:marBottom w:val="0"/>
      <w:divBdr>
        <w:top w:val="none" w:sz="0" w:space="0" w:color="auto"/>
        <w:left w:val="none" w:sz="0" w:space="0" w:color="auto"/>
        <w:bottom w:val="none" w:sz="0" w:space="0" w:color="auto"/>
        <w:right w:val="none" w:sz="0" w:space="0" w:color="auto"/>
      </w:divBdr>
    </w:div>
    <w:div w:id="633292146">
      <w:bodyDiv w:val="1"/>
      <w:marLeft w:val="0"/>
      <w:marRight w:val="0"/>
      <w:marTop w:val="0"/>
      <w:marBottom w:val="0"/>
      <w:divBdr>
        <w:top w:val="none" w:sz="0" w:space="0" w:color="auto"/>
        <w:left w:val="none" w:sz="0" w:space="0" w:color="auto"/>
        <w:bottom w:val="none" w:sz="0" w:space="0" w:color="auto"/>
        <w:right w:val="none" w:sz="0" w:space="0" w:color="auto"/>
      </w:divBdr>
    </w:div>
    <w:div w:id="676663376">
      <w:bodyDiv w:val="1"/>
      <w:marLeft w:val="0"/>
      <w:marRight w:val="0"/>
      <w:marTop w:val="0"/>
      <w:marBottom w:val="0"/>
      <w:divBdr>
        <w:top w:val="none" w:sz="0" w:space="0" w:color="auto"/>
        <w:left w:val="none" w:sz="0" w:space="0" w:color="auto"/>
        <w:bottom w:val="none" w:sz="0" w:space="0" w:color="auto"/>
        <w:right w:val="none" w:sz="0" w:space="0" w:color="auto"/>
      </w:divBdr>
    </w:div>
    <w:div w:id="717976163">
      <w:bodyDiv w:val="1"/>
      <w:marLeft w:val="0"/>
      <w:marRight w:val="0"/>
      <w:marTop w:val="0"/>
      <w:marBottom w:val="0"/>
      <w:divBdr>
        <w:top w:val="none" w:sz="0" w:space="0" w:color="auto"/>
        <w:left w:val="none" w:sz="0" w:space="0" w:color="auto"/>
        <w:bottom w:val="none" w:sz="0" w:space="0" w:color="auto"/>
        <w:right w:val="none" w:sz="0" w:space="0" w:color="auto"/>
      </w:divBdr>
    </w:div>
    <w:div w:id="808590897">
      <w:bodyDiv w:val="1"/>
      <w:marLeft w:val="0"/>
      <w:marRight w:val="0"/>
      <w:marTop w:val="0"/>
      <w:marBottom w:val="0"/>
      <w:divBdr>
        <w:top w:val="none" w:sz="0" w:space="0" w:color="auto"/>
        <w:left w:val="none" w:sz="0" w:space="0" w:color="auto"/>
        <w:bottom w:val="none" w:sz="0" w:space="0" w:color="auto"/>
        <w:right w:val="none" w:sz="0" w:space="0" w:color="auto"/>
      </w:divBdr>
    </w:div>
    <w:div w:id="1031033371">
      <w:bodyDiv w:val="1"/>
      <w:marLeft w:val="0"/>
      <w:marRight w:val="0"/>
      <w:marTop w:val="0"/>
      <w:marBottom w:val="0"/>
      <w:divBdr>
        <w:top w:val="none" w:sz="0" w:space="0" w:color="auto"/>
        <w:left w:val="none" w:sz="0" w:space="0" w:color="auto"/>
        <w:bottom w:val="none" w:sz="0" w:space="0" w:color="auto"/>
        <w:right w:val="none" w:sz="0" w:space="0" w:color="auto"/>
      </w:divBdr>
    </w:div>
    <w:div w:id="1317148136">
      <w:bodyDiv w:val="1"/>
      <w:marLeft w:val="0"/>
      <w:marRight w:val="0"/>
      <w:marTop w:val="0"/>
      <w:marBottom w:val="0"/>
      <w:divBdr>
        <w:top w:val="none" w:sz="0" w:space="0" w:color="auto"/>
        <w:left w:val="none" w:sz="0" w:space="0" w:color="auto"/>
        <w:bottom w:val="none" w:sz="0" w:space="0" w:color="auto"/>
        <w:right w:val="none" w:sz="0" w:space="0" w:color="auto"/>
      </w:divBdr>
    </w:div>
    <w:div w:id="1406957797">
      <w:bodyDiv w:val="1"/>
      <w:marLeft w:val="0"/>
      <w:marRight w:val="0"/>
      <w:marTop w:val="0"/>
      <w:marBottom w:val="0"/>
      <w:divBdr>
        <w:top w:val="none" w:sz="0" w:space="0" w:color="auto"/>
        <w:left w:val="none" w:sz="0" w:space="0" w:color="auto"/>
        <w:bottom w:val="none" w:sz="0" w:space="0" w:color="auto"/>
        <w:right w:val="none" w:sz="0" w:space="0" w:color="auto"/>
      </w:divBdr>
    </w:div>
    <w:div w:id="1851485920">
      <w:bodyDiv w:val="1"/>
      <w:marLeft w:val="0"/>
      <w:marRight w:val="0"/>
      <w:marTop w:val="0"/>
      <w:marBottom w:val="0"/>
      <w:divBdr>
        <w:top w:val="none" w:sz="0" w:space="0" w:color="auto"/>
        <w:left w:val="none" w:sz="0" w:space="0" w:color="auto"/>
        <w:bottom w:val="none" w:sz="0" w:space="0" w:color="auto"/>
        <w:right w:val="none" w:sz="0" w:space="0" w:color="auto"/>
      </w:divBdr>
    </w:div>
    <w:div w:id="1880313176">
      <w:bodyDiv w:val="1"/>
      <w:marLeft w:val="0"/>
      <w:marRight w:val="0"/>
      <w:marTop w:val="0"/>
      <w:marBottom w:val="0"/>
      <w:divBdr>
        <w:top w:val="none" w:sz="0" w:space="0" w:color="auto"/>
        <w:left w:val="none" w:sz="0" w:space="0" w:color="auto"/>
        <w:bottom w:val="none" w:sz="0" w:space="0" w:color="auto"/>
        <w:right w:val="none" w:sz="0" w:space="0" w:color="auto"/>
      </w:divBdr>
    </w:div>
    <w:div w:id="210765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bookType xmlns="7eb48a7e-96f3-4ce3-b2a3-0a32a47daa65" xsi:nil="true"/>
    <CultureName xmlns="7eb48a7e-96f3-4ce3-b2a3-0a32a47daa65" xsi:nil="true"/>
    <Owner xmlns="7eb48a7e-96f3-4ce3-b2a3-0a32a47daa65">
      <UserInfo>
        <DisplayName/>
        <AccountId xsi:nil="true"/>
        <AccountType/>
      </UserInfo>
    </Owner>
    <Students xmlns="7eb48a7e-96f3-4ce3-b2a3-0a32a47daa65">
      <UserInfo>
        <DisplayName/>
        <AccountId xsi:nil="true"/>
        <AccountType/>
      </UserInfo>
    </Students>
    <Student_Groups xmlns="7eb48a7e-96f3-4ce3-b2a3-0a32a47daa65">
      <UserInfo>
        <DisplayName/>
        <AccountId xsi:nil="true"/>
        <AccountType/>
      </UserInfo>
    </Student_Groups>
    <AppVersion xmlns="7eb48a7e-96f3-4ce3-b2a3-0a32a47daa65" xsi:nil="true"/>
    <Invited_Teachers xmlns="7eb48a7e-96f3-4ce3-b2a3-0a32a47daa65" xsi:nil="true"/>
    <DefaultSectionNames xmlns="7eb48a7e-96f3-4ce3-b2a3-0a32a47daa65" xsi:nil="true"/>
    <Self_Registration_Enabled xmlns="7eb48a7e-96f3-4ce3-b2a3-0a32a47daa65" xsi:nil="true"/>
    <Has_Teacher_Only_SectionGroup xmlns="7eb48a7e-96f3-4ce3-b2a3-0a32a47daa65" xsi:nil="true"/>
    <FolderType xmlns="7eb48a7e-96f3-4ce3-b2a3-0a32a47daa65" xsi:nil="true"/>
    <Invited_Students xmlns="7eb48a7e-96f3-4ce3-b2a3-0a32a47daa65" xsi:nil="true"/>
    <Teachers xmlns="7eb48a7e-96f3-4ce3-b2a3-0a32a47daa65">
      <UserInfo>
        <DisplayName/>
        <AccountId xsi:nil="true"/>
        <AccountType/>
      </UserInfo>
    </Teachers>
    <Is_Collaboration_Space_Locked xmlns="7eb48a7e-96f3-4ce3-b2a3-0a32a47daa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4AF22BD936B50418E350C99B505B8C5" ma:contentTypeVersion="26" ma:contentTypeDescription="Crear nuevo documento." ma:contentTypeScope="" ma:versionID="a88f276d42d908e828a0c40e108e2964">
  <xsd:schema xmlns:xsd="http://www.w3.org/2001/XMLSchema" xmlns:xs="http://www.w3.org/2001/XMLSchema" xmlns:p="http://schemas.microsoft.com/office/2006/metadata/properties" xmlns:ns3="7eb48a7e-96f3-4ce3-b2a3-0a32a47daa65" xmlns:ns4="46ad10f8-e3e6-4ba7-a042-e082025404f2" targetNamespace="http://schemas.microsoft.com/office/2006/metadata/properties" ma:root="true" ma:fieldsID="5b5873a1cd377dcb97dfdfb2ed34842a" ns3:_="" ns4:_="">
    <xsd:import namespace="7eb48a7e-96f3-4ce3-b2a3-0a32a47daa65"/>
    <xsd:import namespace="46ad10f8-e3e6-4ba7-a042-e082025404f2"/>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48a7e-96f3-4ce3-b2a3-0a32a47daa6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 Registration 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Is_Collaboration_Space_Locked" ma:index="21"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DateTaken" ma:index="3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d10f8-e3e6-4ba7-a042-e082025404f2" elementFormDefault="qualified">
    <xsd:import namespace="http://schemas.microsoft.com/office/2006/documentManagement/types"/>
    <xsd:import namespace="http://schemas.microsoft.com/office/infopath/2007/PartnerControls"/>
    <xsd:element name="SharedWithUsers" ma:index="22"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talles de uso compartido" ma:description="" ma:internalName="SharedWithDetails" ma:readOnly="true">
      <xsd:simpleType>
        <xsd:restriction base="dms:Note">
          <xsd:maxLength value="255"/>
        </xsd:restriction>
      </xsd:simpleType>
    </xsd:element>
    <xsd:element name="SharingHintHash" ma:index="24" nillable="true" ma:displayName="Hash de la sugerencia para compartir"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6FC433-BF94-4500-A513-E2DA13CA1C3C}">
  <ds:schemaRefs>
    <ds:schemaRef ds:uri="http://schemas.microsoft.com/office/2006/metadata/properties"/>
    <ds:schemaRef ds:uri="http://schemas.microsoft.com/office/infopath/2007/PartnerControls"/>
    <ds:schemaRef ds:uri="7eb48a7e-96f3-4ce3-b2a3-0a32a47daa65"/>
  </ds:schemaRefs>
</ds:datastoreItem>
</file>

<file path=customXml/itemProps2.xml><?xml version="1.0" encoding="utf-8"?>
<ds:datastoreItem xmlns:ds="http://schemas.openxmlformats.org/officeDocument/2006/customXml" ds:itemID="{717361C9-684D-4670-8AC0-FA7F2CBA0DA0}">
  <ds:schemaRefs>
    <ds:schemaRef ds:uri="http://schemas.microsoft.com/sharepoint/v3/contenttype/forms"/>
  </ds:schemaRefs>
</ds:datastoreItem>
</file>

<file path=customXml/itemProps3.xml><?xml version="1.0" encoding="utf-8"?>
<ds:datastoreItem xmlns:ds="http://schemas.openxmlformats.org/officeDocument/2006/customXml" ds:itemID="{DB208D15-1593-4907-8EC4-D0E6E8ED4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48a7e-96f3-4ce3-b2a3-0a32a47daa65"/>
    <ds:schemaRef ds:uri="46ad10f8-e3e6-4ba7-a042-e08202540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FDC21C-C2CD-4FAF-90BE-4CCB37ADB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6747</TotalTime>
  <Pages>23</Pages>
  <Words>27196</Words>
  <Characters>149580</Characters>
  <Application>Microsoft Office Word</Application>
  <DocSecurity>0</DocSecurity>
  <Lines>1246</Lines>
  <Paragraphs>352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Higuera Matas</dc:creator>
  <cp:keywords/>
  <dc:description/>
  <cp:lastModifiedBy>ALEJANDRO</cp:lastModifiedBy>
  <cp:revision>157</cp:revision>
  <dcterms:created xsi:type="dcterms:W3CDTF">2020-09-24T12:46:00Z</dcterms:created>
  <dcterms:modified xsi:type="dcterms:W3CDTF">2021-09-15T08:28:00Z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0x01010004AF22BD936B50418E350C99B505B8C5</vt:lpwstr>
  </property>
  <property fmtid="{D5CDD505-2E9C-101B-9397-08002B2CF9AE}" pid="3" name="Mendeley Recent Style Id 0_1">
    <vt:lpwstr>http://www.zotero.org/styles/american-sociological-association</vt:lpwstr>
  </property>
  <property fmtid="{D5CDD505-2E9C-101B-9397-08002B2CF9AE}" pid="4" name="Mendeley Recent Style Name 0_1">
    <vt:lpwstr>American Sociological Association</vt:lpwstr>
  </property>
  <property fmtid="{D5CDD505-2E9C-101B-9397-08002B2CF9AE}" pid="5" name="Mendeley Recent Style Id 1_1">
    <vt:lpwstr>http://www.zotero.org/styles/biological-psychiatry</vt:lpwstr>
  </property>
  <property fmtid="{D5CDD505-2E9C-101B-9397-08002B2CF9AE}" pid="6" name="Mendeley Recent Style Name 1_1">
    <vt:lpwstr>Biological Psychiatry</vt:lpwstr>
  </property>
  <property fmtid="{D5CDD505-2E9C-101B-9397-08002B2CF9AE}" pid="7" name="Mendeley Recent Style Id 2_1">
    <vt:lpwstr>http://www.zotero.org/styles/brain-research</vt:lpwstr>
  </property>
  <property fmtid="{D5CDD505-2E9C-101B-9397-08002B2CF9AE}" pid="8" name="Mendeley Recent Style Name 2_1">
    <vt:lpwstr>Brain Research</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http://www.zotero.org/styles/nature-communications</vt:lpwstr>
  </property>
  <property fmtid="{D5CDD505-2E9C-101B-9397-08002B2CF9AE}" pid="14" name="Mendeley Recent Style Name 5_1">
    <vt:lpwstr>Nature Communications</vt:lpwstr>
  </property>
  <property fmtid="{D5CDD505-2E9C-101B-9397-08002B2CF9AE}" pid="15" name="Mendeley Recent Style Id 6_1">
    <vt:lpwstr>http://www.zotero.org/styles/pharmacology-biochemistry-and-behavior</vt:lpwstr>
  </property>
  <property fmtid="{D5CDD505-2E9C-101B-9397-08002B2CF9AE}" pid="16" name="Mendeley Recent Style Name 6_1">
    <vt:lpwstr>Pharmacology, Biochemistry and Behavior</vt:lpwstr>
  </property>
  <property fmtid="{D5CDD505-2E9C-101B-9397-08002B2CF9AE}" pid="17" name="Mendeley Recent Style Id 7_1">
    <vt:lpwstr>http://www.zotero.org/styles/psychopharmacology</vt:lpwstr>
  </property>
  <property fmtid="{D5CDD505-2E9C-101B-9397-08002B2CF9AE}" pid="18" name="Mendeley Recent Style Name 7_1">
    <vt:lpwstr>Psychopharmacology</vt:lpwstr>
  </property>
  <property fmtid="{D5CDD505-2E9C-101B-9397-08002B2CF9AE}" pid="19" name="Mendeley Recent Style Id 8_1">
    <vt:lpwstr>http://www.zotero.org/styles/the-journal-of-neuroscience</vt:lpwstr>
  </property>
  <property fmtid="{D5CDD505-2E9C-101B-9397-08002B2CF9AE}" pid="20" name="Mendeley Recent Style Name 8_1">
    <vt:lpwstr>The Journal of Neuroscience</vt:lpwstr>
  </property>
  <property fmtid="{D5CDD505-2E9C-101B-9397-08002B2CF9AE}" pid="21" name="Mendeley Recent Style Id 9_1">
    <vt:lpwstr>http://www.zotero.org/styles/translational-psychiatry</vt:lpwstr>
  </property>
  <property fmtid="{D5CDD505-2E9C-101B-9397-08002B2CF9AE}" pid="22" name="Mendeley Recent Style Name 9_1">
    <vt:lpwstr>Translational Psychiatry</vt:lpwstr>
  </property>
  <property fmtid="{D5CDD505-2E9C-101B-9397-08002B2CF9AE}" pid="23" name="Mendeley Document_1">
    <vt:lpwstr>True</vt:lpwstr>
  </property>
  <property fmtid="{D5CDD505-2E9C-101B-9397-08002B2CF9AE}" pid="24" name="Mendeley Unique User Id_1">
    <vt:lpwstr>9da5c041-f388-3ab8-9d3d-52670b7fc2e0</vt:lpwstr>
  </property>
  <property fmtid="{D5CDD505-2E9C-101B-9397-08002B2CF9AE}" pid="25" name="Mendeley Citation Style_1">
    <vt:lpwstr>http://www.zotero.org/styles/the-journal-of-neuroscience</vt:lpwstr>
  </property>
</Properties>
</file>