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Supplementary Figures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1.</w:t>
      </w:r>
      <w:r w:rsidDel="00000000" w:rsidR="00000000" w:rsidRPr="00000000">
        <w:rPr>
          <w:rtl w:val="0"/>
        </w:rPr>
        <w:t xml:space="preserve"> Histograms with density overlays for cost phenotypes (blue = inpatient costs, orange = prescription costs, purple = inpatient + outpatient costs, green = primary care costs) of the following cohorts: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- Australian Genetics of Depression Study (AGDS)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3657600" cy="2613352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133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 - Australian Genetics of Bipolar Disorder (GBP)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3657600" cy="2613352"/>
            <wp:effectExtent b="0" l="0" r="0" t="0"/>
            <wp:docPr id="1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133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 - Copenhagen Hospital Biobank (CHB)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3657600" cy="2613352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133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 - Estonian Biobank (EstBB)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3657600" cy="2613352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133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- Generation Scotland (GS)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3657600" cy="2613352"/>
            <wp:effectExtent b="0" l="0" r="0" t="0"/>
            <wp:docPr id="1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133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 - Genomics England (GE)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3775894" cy="2671900"/>
            <wp:effectExtent b="0" l="0" r="0" t="0"/>
            <wp:docPr id="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5894" cy="267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 - Genes and Health (G&amp;H)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3713888" cy="262993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3888" cy="2629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 - Mass General Brigham Biobank (MGBB)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/>
        <w:drawing>
          <wp:inline distB="114300" distT="114300" distL="114300" distR="114300">
            <wp:extent cx="3657600" cy="2928341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283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- Qatar Genome Project (QGP)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/>
        <w:drawing>
          <wp:inline distB="114300" distT="114300" distL="114300" distR="114300">
            <wp:extent cx="3657600" cy="2613352"/>
            <wp:effectExtent b="0" l="0" r="0" t="0"/>
            <wp:docPr id="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133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2.</w:t>
      </w:r>
      <w:r w:rsidDel="00000000" w:rsidR="00000000" w:rsidRPr="00000000">
        <w:rPr>
          <w:rtl w:val="0"/>
        </w:rPr>
        <w:t xml:space="preserve"> Miami plot for inpatient + outpatient costs and primary care costs.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6120000" cy="38481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84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.0005454545455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.0005454545455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Supplementary Figure 3. </w:t>
      </w:r>
      <w:r w:rsidDel="00000000" w:rsidR="00000000" w:rsidRPr="00000000">
        <w:rPr>
          <w:rtl w:val="0"/>
        </w:rPr>
        <w:t xml:space="preserve">Upset plot showing overlap of conditionally independent loci across different cost phenotypes.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6120000" cy="4076700"/>
            <wp:effectExtent b="0" l="0" r="0" t="0"/>
            <wp:docPr id="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3" Type="http://schemas.openxmlformats.org/officeDocument/2006/relationships/image" Target="media/image8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1.png"/><Relationship Id="rId14" Type="http://schemas.openxmlformats.org/officeDocument/2006/relationships/image" Target="media/image9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0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