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DB906" w14:textId="1BAE6DC3" w:rsidR="00A43A13" w:rsidRPr="00A43A13" w:rsidRDefault="00A43A13" w:rsidP="008D78AE">
      <w:pPr>
        <w:rPr>
          <w:rFonts w:ascii="Times New Roman" w:hAnsi="Times New Roman" w:cs="Times New Roman"/>
          <w:lang w:val="en-US"/>
        </w:rPr>
      </w:pPr>
      <w:r w:rsidRPr="00A43A13">
        <w:rPr>
          <w:rFonts w:ascii="Times New Roman" w:hAnsi="Times New Roman" w:cs="Times New Roman"/>
          <w:b/>
          <w:bCs/>
          <w:lang w:val="en-US"/>
        </w:rPr>
        <w:t xml:space="preserve">Editor disclaimer: </w:t>
      </w:r>
      <w:r w:rsidRPr="00A43A13">
        <w:rPr>
          <w:rFonts w:ascii="Times New Roman" w:hAnsi="Times New Roman" w:cs="Times New Roman"/>
        </w:rPr>
        <w:t xml:space="preserve">This translation in </w:t>
      </w:r>
      <w:r w:rsidRPr="00A43A13">
        <w:rPr>
          <w:rFonts w:ascii="Times New Roman" w:hAnsi="Times New Roman" w:cs="Times New Roman"/>
        </w:rPr>
        <w:t>German</w:t>
      </w:r>
      <w:r w:rsidRPr="00A43A13">
        <w:rPr>
          <w:rFonts w:ascii="Times New Roman" w:hAnsi="Times New Roman" w:cs="Times New Roman"/>
        </w:rPr>
        <w:t xml:space="preserve"> was submitted by the authors and we reproduce it as supplied. It has not been peer reviewed. </w:t>
      </w:r>
      <w:r w:rsidRPr="00A43A13">
        <w:rPr>
          <w:rFonts w:ascii="Times New Roman" w:hAnsi="Times New Roman" w:cs="Times New Roman"/>
          <w:lang w:val="en-US"/>
        </w:rPr>
        <w:t>Our editorial processes have only been applied to the original abstract in English, which should serve as reference for this manuscript</w:t>
      </w:r>
      <w:r w:rsidRPr="00A43A13">
        <w:rPr>
          <w:rFonts w:ascii="Times New Roman" w:hAnsi="Times New Roman" w:cs="Times New Roman"/>
          <w:lang w:val="en-US"/>
        </w:rPr>
        <w:t>.</w:t>
      </w:r>
    </w:p>
    <w:p w14:paraId="3A1E32F3" w14:textId="082923CF" w:rsidR="008D78AE" w:rsidRPr="00E10DE8" w:rsidRDefault="008D78AE" w:rsidP="008D78AE">
      <w:pPr>
        <w:rPr>
          <w:rFonts w:ascii="Times New Roman" w:hAnsi="Times New Roman" w:cs="Times New Roman"/>
          <w:b/>
          <w:bCs/>
        </w:rPr>
      </w:pPr>
      <w:r w:rsidRPr="00E10DE8">
        <w:rPr>
          <w:rFonts w:ascii="Times New Roman" w:hAnsi="Times New Roman" w:cs="Times New Roman"/>
          <w:b/>
          <w:bCs/>
        </w:rPr>
        <w:t>Zusammenfassung</w:t>
      </w:r>
    </w:p>
    <w:p w14:paraId="339565E0" w14:textId="2B726706" w:rsidR="008D78AE" w:rsidRPr="008D562C" w:rsidRDefault="008D78AE" w:rsidP="008D78AE">
      <w:pPr>
        <w:rPr>
          <w:rFonts w:ascii="Times New Roman" w:hAnsi="Times New Roman" w:cs="Times New Roman"/>
        </w:rPr>
      </w:pPr>
      <w:r w:rsidRPr="008D562C">
        <w:rPr>
          <w:rFonts w:ascii="Times New Roman" w:hAnsi="Times New Roman" w:cs="Times New Roman"/>
          <w:b/>
          <w:bCs/>
        </w:rPr>
        <w:t>Hintergrund:</w:t>
      </w:r>
      <w:r w:rsidRPr="008D562C">
        <w:rPr>
          <w:rFonts w:ascii="Times New Roman" w:hAnsi="Times New Roman" w:cs="Times New Roman"/>
        </w:rPr>
        <w:t xml:space="preserve"> Deutschland </w:t>
      </w:r>
      <w:r w:rsidR="002806C9">
        <w:rPr>
          <w:rFonts w:ascii="Times New Roman" w:hAnsi="Times New Roman" w:cs="Times New Roman"/>
        </w:rPr>
        <w:t>hat i</w:t>
      </w:r>
      <w:r w:rsidR="002806C9" w:rsidRPr="008D562C">
        <w:rPr>
          <w:rFonts w:ascii="Times New Roman" w:hAnsi="Times New Roman" w:cs="Times New Roman"/>
        </w:rPr>
        <w:t xml:space="preserve">m April 2024 </w:t>
      </w:r>
      <w:r w:rsidRPr="008D562C">
        <w:rPr>
          <w:rFonts w:ascii="Times New Roman" w:hAnsi="Times New Roman" w:cs="Times New Roman"/>
        </w:rPr>
        <w:t xml:space="preserve">den Besitz und Anbau von Cannabis für Erwachsene </w:t>
      </w:r>
      <w:r w:rsidR="002806C9" w:rsidRPr="008D562C">
        <w:rPr>
          <w:rFonts w:ascii="Times New Roman" w:hAnsi="Times New Roman" w:cs="Times New Roman"/>
        </w:rPr>
        <w:t xml:space="preserve">legalisiert </w:t>
      </w:r>
      <w:r w:rsidRPr="008D562C">
        <w:rPr>
          <w:rFonts w:ascii="Times New Roman" w:hAnsi="Times New Roman" w:cs="Times New Roman"/>
        </w:rPr>
        <w:t xml:space="preserve">und </w:t>
      </w:r>
      <w:r w:rsidR="002806C9">
        <w:rPr>
          <w:rFonts w:ascii="Times New Roman" w:hAnsi="Times New Roman" w:cs="Times New Roman"/>
        </w:rPr>
        <w:t xml:space="preserve">im August 2024 neue </w:t>
      </w:r>
      <w:r w:rsidRPr="008D562C">
        <w:rPr>
          <w:rFonts w:ascii="Times New Roman" w:hAnsi="Times New Roman" w:cs="Times New Roman"/>
        </w:rPr>
        <w:t>gesetzliche THC-Grenzwerte für den Straßenverkehr fest</w:t>
      </w:r>
      <w:r w:rsidR="002806C9">
        <w:rPr>
          <w:rFonts w:ascii="Times New Roman" w:hAnsi="Times New Roman" w:cs="Times New Roman"/>
        </w:rPr>
        <w:t>gelegt</w:t>
      </w:r>
      <w:r w:rsidRPr="008D562C">
        <w:rPr>
          <w:rFonts w:ascii="Times New Roman" w:hAnsi="Times New Roman" w:cs="Times New Roman"/>
        </w:rPr>
        <w:t>. Diese Studie untersucht die kurzfristigen Auswirkungen auf (1) den Cannabiskonsum und (2) das Fahren unter Cannabiseinfluss (</w:t>
      </w:r>
      <w:r w:rsidRPr="008D562C">
        <w:rPr>
          <w:rFonts w:ascii="Times New Roman" w:hAnsi="Times New Roman" w:cs="Times New Roman"/>
          <w:i/>
          <w:iCs/>
        </w:rPr>
        <w:t>driving under the influence of cannabis</w:t>
      </w:r>
      <w:r w:rsidRPr="008D562C">
        <w:rPr>
          <w:rFonts w:ascii="Times New Roman" w:hAnsi="Times New Roman" w:cs="Times New Roman"/>
        </w:rPr>
        <w:t>, DUIC) sowie (3) den Anteil an DUIC-Fahrten, bei denen zusätzlich Alkohol oder andere Drogen konsumiert wurden (DUIC(+)).</w:t>
      </w:r>
    </w:p>
    <w:p w14:paraId="057214CD" w14:textId="6090685B" w:rsidR="008D78AE" w:rsidRPr="008D562C" w:rsidRDefault="008D78AE" w:rsidP="008D78AE">
      <w:pPr>
        <w:rPr>
          <w:rFonts w:ascii="Times New Roman" w:hAnsi="Times New Roman" w:cs="Times New Roman"/>
        </w:rPr>
      </w:pPr>
      <w:r w:rsidRPr="008D562C">
        <w:rPr>
          <w:rFonts w:ascii="Times New Roman" w:hAnsi="Times New Roman" w:cs="Times New Roman"/>
          <w:b/>
          <w:bCs/>
        </w:rPr>
        <w:t>Methoden:</w:t>
      </w:r>
      <w:r w:rsidRPr="008D562C">
        <w:rPr>
          <w:rFonts w:ascii="Times New Roman" w:hAnsi="Times New Roman" w:cs="Times New Roman"/>
        </w:rPr>
        <w:t xml:space="preserve"> Es wurden wiederholt-querschnittliche Befragungen in Deutschland und Österreich (Kontrollgruppe) vor (t₀: Nov.–Dez. 2023) und nach der Legalisierung (t₁: Nov. 2024–Jan. 2025) durchgeführt. Mittels </w:t>
      </w:r>
      <w:r w:rsidRPr="008D562C">
        <w:rPr>
          <w:rFonts w:ascii="Times New Roman" w:hAnsi="Times New Roman" w:cs="Times New Roman"/>
          <w:i/>
          <w:iCs/>
        </w:rPr>
        <w:t>Difference-in-Differences</w:t>
      </w:r>
      <w:r w:rsidRPr="008D562C">
        <w:rPr>
          <w:rFonts w:ascii="Times New Roman" w:hAnsi="Times New Roman" w:cs="Times New Roman"/>
        </w:rPr>
        <w:t>-Ansatz (DiD) wurde geprüft, ob sich die 12-Monats-Prävalenz 1) des Cannabiskonsums unter Erwachsenen im Alter von 18 bis 64 Jahren (Deutschland: n</w:t>
      </w:r>
      <w:r w:rsidRPr="00E10DE8">
        <w:rPr>
          <w:rFonts w:ascii="Times New Roman" w:hAnsi="Times New Roman" w:cs="Times New Roman"/>
          <w:vertAlign w:val="subscript"/>
        </w:rPr>
        <w:t>t₀</w:t>
      </w:r>
      <w:r w:rsidRPr="008D562C">
        <w:rPr>
          <w:rFonts w:ascii="Times New Roman" w:hAnsi="Times New Roman" w:cs="Times New Roman"/>
        </w:rPr>
        <w:t>=6.670, n</w:t>
      </w:r>
      <w:r w:rsidRPr="00E10DE8">
        <w:rPr>
          <w:rFonts w:ascii="Times New Roman" w:hAnsi="Times New Roman" w:cs="Times New Roman"/>
          <w:vertAlign w:val="subscript"/>
        </w:rPr>
        <w:t>t₁</w:t>
      </w:r>
      <w:r w:rsidRPr="008D562C">
        <w:rPr>
          <w:rFonts w:ascii="Times New Roman" w:hAnsi="Times New Roman" w:cs="Times New Roman"/>
        </w:rPr>
        <w:t>=9.692; Österreich: n</w:t>
      </w:r>
      <w:r w:rsidRPr="00E10DE8">
        <w:rPr>
          <w:rFonts w:ascii="Times New Roman" w:hAnsi="Times New Roman" w:cs="Times New Roman"/>
          <w:vertAlign w:val="subscript"/>
        </w:rPr>
        <w:t>t₀</w:t>
      </w:r>
      <w:r w:rsidRPr="008D562C">
        <w:rPr>
          <w:rFonts w:ascii="Times New Roman" w:hAnsi="Times New Roman" w:cs="Times New Roman"/>
        </w:rPr>
        <w:t>=2.132, n</w:t>
      </w:r>
      <w:r w:rsidRPr="00E10DE8">
        <w:rPr>
          <w:rFonts w:ascii="Times New Roman" w:hAnsi="Times New Roman" w:cs="Times New Roman"/>
          <w:vertAlign w:val="subscript"/>
        </w:rPr>
        <w:t>t₁</w:t>
      </w:r>
      <w:r w:rsidRPr="008D562C">
        <w:rPr>
          <w:rFonts w:ascii="Times New Roman" w:hAnsi="Times New Roman" w:cs="Times New Roman"/>
        </w:rPr>
        <w:t>=2.102) und 2) des DUIC unter mindestens monatlich Cannabiskonsumierenden (ausgenommen medizinischer Konsum; Deutschland: n</w:t>
      </w:r>
      <w:r w:rsidRPr="00E10DE8">
        <w:rPr>
          <w:rFonts w:ascii="Times New Roman" w:hAnsi="Times New Roman" w:cs="Times New Roman"/>
          <w:vertAlign w:val="subscript"/>
        </w:rPr>
        <w:t>t₀</w:t>
      </w:r>
      <w:r w:rsidRPr="008D562C">
        <w:rPr>
          <w:rFonts w:ascii="Times New Roman" w:hAnsi="Times New Roman" w:cs="Times New Roman"/>
        </w:rPr>
        <w:t>=393, n</w:t>
      </w:r>
      <w:r w:rsidRPr="00E10DE8">
        <w:rPr>
          <w:rFonts w:ascii="Times New Roman" w:hAnsi="Times New Roman" w:cs="Times New Roman"/>
          <w:vertAlign w:val="subscript"/>
        </w:rPr>
        <w:t>t₁</w:t>
      </w:r>
      <w:r w:rsidRPr="008D562C">
        <w:rPr>
          <w:rFonts w:ascii="Times New Roman" w:hAnsi="Times New Roman" w:cs="Times New Roman"/>
        </w:rPr>
        <w:t>=589; Österreich: n</w:t>
      </w:r>
      <w:r w:rsidRPr="00E10DE8">
        <w:rPr>
          <w:rFonts w:ascii="Times New Roman" w:hAnsi="Times New Roman" w:cs="Times New Roman"/>
          <w:vertAlign w:val="subscript"/>
        </w:rPr>
        <w:t>t₀</w:t>
      </w:r>
      <w:r w:rsidRPr="008D562C">
        <w:rPr>
          <w:rFonts w:ascii="Times New Roman" w:hAnsi="Times New Roman" w:cs="Times New Roman"/>
        </w:rPr>
        <w:t>=86, n</w:t>
      </w:r>
      <w:r w:rsidRPr="00E10DE8">
        <w:rPr>
          <w:rFonts w:ascii="Times New Roman" w:hAnsi="Times New Roman" w:cs="Times New Roman"/>
          <w:vertAlign w:val="subscript"/>
        </w:rPr>
        <w:t>t₁</w:t>
      </w:r>
      <w:r w:rsidRPr="008D562C">
        <w:rPr>
          <w:rFonts w:ascii="Times New Roman" w:hAnsi="Times New Roman" w:cs="Times New Roman"/>
        </w:rPr>
        <w:t xml:space="preserve">=92) im Zuge der Legalisierung verändert. </w:t>
      </w:r>
      <w:r w:rsidR="002806C9">
        <w:rPr>
          <w:rFonts w:ascii="Times New Roman" w:hAnsi="Times New Roman" w:cs="Times New Roman"/>
        </w:rPr>
        <w:t xml:space="preserve">Außerdem </w:t>
      </w:r>
      <w:r w:rsidR="00CA2536" w:rsidRPr="008D562C">
        <w:rPr>
          <w:rFonts w:ascii="Times New Roman" w:hAnsi="Times New Roman" w:cs="Times New Roman"/>
        </w:rPr>
        <w:t xml:space="preserve">wurde </w:t>
      </w:r>
      <w:r w:rsidR="002806C9">
        <w:rPr>
          <w:rFonts w:ascii="Times New Roman" w:hAnsi="Times New Roman" w:cs="Times New Roman"/>
        </w:rPr>
        <w:t xml:space="preserve">zu </w:t>
      </w:r>
      <w:r w:rsidR="002806C9" w:rsidRPr="008D562C">
        <w:rPr>
          <w:rFonts w:ascii="Times New Roman" w:hAnsi="Times New Roman" w:cs="Times New Roman"/>
        </w:rPr>
        <w:t>t₁</w:t>
      </w:r>
      <w:r w:rsidR="002806C9">
        <w:rPr>
          <w:rFonts w:ascii="Times New Roman" w:hAnsi="Times New Roman" w:cs="Times New Roman"/>
        </w:rPr>
        <w:t xml:space="preserve"> </w:t>
      </w:r>
      <w:r w:rsidR="00CA2536" w:rsidRPr="008D562C">
        <w:rPr>
          <w:rFonts w:ascii="Times New Roman" w:hAnsi="Times New Roman" w:cs="Times New Roman"/>
        </w:rPr>
        <w:t xml:space="preserve">analysiert, </w:t>
      </w:r>
      <w:r w:rsidR="002806C9">
        <w:rPr>
          <w:rFonts w:ascii="Times New Roman" w:hAnsi="Times New Roman" w:cs="Times New Roman"/>
        </w:rPr>
        <w:t xml:space="preserve">in </w:t>
      </w:r>
      <w:r w:rsidR="00CA2536" w:rsidRPr="008D562C">
        <w:rPr>
          <w:rFonts w:ascii="Times New Roman" w:hAnsi="Times New Roman" w:cs="Times New Roman"/>
        </w:rPr>
        <w:t>wie viele</w:t>
      </w:r>
      <w:r w:rsidR="002806C9">
        <w:rPr>
          <w:rFonts w:ascii="Times New Roman" w:hAnsi="Times New Roman" w:cs="Times New Roman"/>
        </w:rPr>
        <w:t>n</w:t>
      </w:r>
      <w:r w:rsidR="00CA2536" w:rsidRPr="008D562C">
        <w:rPr>
          <w:rFonts w:ascii="Times New Roman" w:hAnsi="Times New Roman" w:cs="Times New Roman"/>
        </w:rPr>
        <w:t xml:space="preserve"> DUIC-Fahrten nur Cannabis und wie viele zusätzlich Alkohol oder andere Drogen </w:t>
      </w:r>
      <w:r w:rsidR="002806C9">
        <w:rPr>
          <w:rFonts w:ascii="Times New Roman" w:hAnsi="Times New Roman" w:cs="Times New Roman"/>
        </w:rPr>
        <w:t xml:space="preserve">konsumiert wurden </w:t>
      </w:r>
      <w:r w:rsidR="00CA2536" w:rsidRPr="008D562C">
        <w:rPr>
          <w:rFonts w:ascii="Times New Roman" w:hAnsi="Times New Roman" w:cs="Times New Roman"/>
        </w:rPr>
        <w:t>(DUIC(+)), getrennt nach Konsumhäufigkeit.</w:t>
      </w:r>
    </w:p>
    <w:p w14:paraId="7A2D44AE" w14:textId="1F005409" w:rsidR="007C4066" w:rsidRDefault="008D78AE" w:rsidP="008D78AE">
      <w:pPr>
        <w:rPr>
          <w:rFonts w:ascii="Times New Roman" w:hAnsi="Times New Roman" w:cs="Times New Roman"/>
        </w:rPr>
      </w:pPr>
      <w:r w:rsidRPr="008D562C">
        <w:rPr>
          <w:rFonts w:ascii="Times New Roman" w:hAnsi="Times New Roman" w:cs="Times New Roman"/>
          <w:b/>
          <w:bCs/>
        </w:rPr>
        <w:t>Ergebnisse</w:t>
      </w:r>
      <w:r w:rsidRPr="008D562C">
        <w:rPr>
          <w:rFonts w:ascii="Times New Roman" w:hAnsi="Times New Roman" w:cs="Times New Roman"/>
        </w:rPr>
        <w:t xml:space="preserve">: In Deutschland stieg </w:t>
      </w:r>
      <w:r w:rsidR="00CA2536" w:rsidRPr="008D562C">
        <w:rPr>
          <w:rFonts w:ascii="Times New Roman" w:hAnsi="Times New Roman" w:cs="Times New Roman"/>
        </w:rPr>
        <w:t>der Cannabiskonsum</w:t>
      </w:r>
      <w:r w:rsidRPr="008D562C">
        <w:rPr>
          <w:rFonts w:ascii="Times New Roman" w:hAnsi="Times New Roman" w:cs="Times New Roman"/>
        </w:rPr>
        <w:t xml:space="preserve"> von 12,1 % auf 14,4 %, </w:t>
      </w:r>
      <w:r w:rsidR="00CA2536" w:rsidRPr="008D562C">
        <w:rPr>
          <w:rFonts w:ascii="Times New Roman" w:hAnsi="Times New Roman" w:cs="Times New Roman"/>
        </w:rPr>
        <w:t>wobei sich</w:t>
      </w:r>
      <w:r w:rsidRPr="008D562C">
        <w:rPr>
          <w:rFonts w:ascii="Times New Roman" w:hAnsi="Times New Roman" w:cs="Times New Roman"/>
        </w:rPr>
        <w:t xml:space="preserve"> dieser </w:t>
      </w:r>
      <w:r w:rsidR="00CA2536" w:rsidRPr="008D562C">
        <w:rPr>
          <w:rFonts w:ascii="Times New Roman" w:hAnsi="Times New Roman" w:cs="Times New Roman"/>
        </w:rPr>
        <w:t xml:space="preserve">Anstieg statistisch nicht signifikant von </w:t>
      </w:r>
      <w:r w:rsidRPr="008D562C">
        <w:rPr>
          <w:rFonts w:ascii="Times New Roman" w:hAnsi="Times New Roman" w:cs="Times New Roman"/>
        </w:rPr>
        <w:t>Österreich</w:t>
      </w:r>
      <w:r w:rsidR="00CA2536" w:rsidRPr="008D562C">
        <w:rPr>
          <w:rFonts w:ascii="Times New Roman" w:hAnsi="Times New Roman" w:cs="Times New Roman"/>
        </w:rPr>
        <w:t xml:space="preserve"> unterschied</w:t>
      </w:r>
      <w:r w:rsidRPr="008D562C">
        <w:rPr>
          <w:rFonts w:ascii="Times New Roman" w:hAnsi="Times New Roman" w:cs="Times New Roman"/>
        </w:rPr>
        <w:t xml:space="preserve"> (DiD-Effekt: OR=1,18, 95 % CI 0,95–1,48, p=·141, gewichtet). Unter den mindestens monatlich Konsumierenden </w:t>
      </w:r>
      <w:r w:rsidR="00CA2536" w:rsidRPr="008D562C">
        <w:rPr>
          <w:rFonts w:ascii="Times New Roman" w:hAnsi="Times New Roman" w:cs="Times New Roman"/>
        </w:rPr>
        <w:t xml:space="preserve">nahm </w:t>
      </w:r>
      <w:r w:rsidRPr="008D562C">
        <w:rPr>
          <w:rFonts w:ascii="Times New Roman" w:hAnsi="Times New Roman" w:cs="Times New Roman"/>
        </w:rPr>
        <w:t>DUIC leicht von 28,5 % auf 26,8 %</w:t>
      </w:r>
      <w:r w:rsidR="00CA2536" w:rsidRPr="008D562C">
        <w:rPr>
          <w:rFonts w:ascii="Times New Roman" w:hAnsi="Times New Roman" w:cs="Times New Roman"/>
        </w:rPr>
        <w:t xml:space="preserve"> ab</w:t>
      </w:r>
      <w:r w:rsidRPr="008D562C">
        <w:rPr>
          <w:rFonts w:ascii="Times New Roman" w:hAnsi="Times New Roman" w:cs="Times New Roman"/>
        </w:rPr>
        <w:t xml:space="preserve"> (ungewichtet), </w:t>
      </w:r>
      <w:r w:rsidR="00CA2536" w:rsidRPr="008D562C">
        <w:rPr>
          <w:rFonts w:ascii="Times New Roman" w:hAnsi="Times New Roman" w:cs="Times New Roman"/>
        </w:rPr>
        <w:t xml:space="preserve">ebenfalls ohne signifikanten Unterschied zu Österreich </w:t>
      </w:r>
      <w:r w:rsidRPr="008D562C">
        <w:rPr>
          <w:rFonts w:ascii="Times New Roman" w:hAnsi="Times New Roman" w:cs="Times New Roman"/>
        </w:rPr>
        <w:t>(DiD-Effekt: aOR = 0,68, 95 % KI 0,27–1,68, p = 0,408</w:t>
      </w:r>
      <w:r w:rsidR="00CA2536" w:rsidRPr="008D562C">
        <w:rPr>
          <w:rFonts w:ascii="Times New Roman" w:hAnsi="Times New Roman" w:cs="Times New Roman"/>
        </w:rPr>
        <w:t>. Zu t₁ machten DUIC(+)-Fahrten 21,5 % aller DUIC-Fahrten aus. DUIC(–) war bei täglich Konsumierenden am häufigsten, DUIC(+) bei wöchentlich Konsumierenden.</w:t>
      </w:r>
    </w:p>
    <w:p w14:paraId="2BC5C627" w14:textId="21F93353" w:rsidR="002806C9" w:rsidRPr="008D78AE" w:rsidRDefault="002806C9" w:rsidP="008D78AE">
      <w:r>
        <w:rPr>
          <w:rFonts w:ascii="Times New Roman" w:hAnsi="Times New Roman" w:cs="Times New Roman"/>
          <w:b/>
          <w:bCs/>
        </w:rPr>
        <w:t>Interpretation</w:t>
      </w:r>
      <w:r w:rsidRPr="008D562C">
        <w:rPr>
          <w:rFonts w:ascii="Times New Roman" w:hAnsi="Times New Roman" w:cs="Times New Roman"/>
        </w:rPr>
        <w:t xml:space="preserve">: </w:t>
      </w:r>
      <w:r w:rsidRPr="002806C9">
        <w:rPr>
          <w:rFonts w:ascii="Times New Roman" w:hAnsi="Times New Roman" w:cs="Times New Roman"/>
        </w:rPr>
        <w:t xml:space="preserve">Acht Monate nach der Legalisierung wurden keine signifikanten kurzfristigen Auswirkungen auf den Cannabiskonsum oder DUIC beobachtet. </w:t>
      </w:r>
      <w:r>
        <w:rPr>
          <w:rFonts w:ascii="Times New Roman" w:hAnsi="Times New Roman" w:cs="Times New Roman"/>
        </w:rPr>
        <w:t>D</w:t>
      </w:r>
      <w:r w:rsidRPr="002806C9">
        <w:rPr>
          <w:rFonts w:ascii="Times New Roman" w:hAnsi="Times New Roman" w:cs="Times New Roman"/>
        </w:rPr>
        <w:t>as mit einem höheren Verkehrsrisiko verbunden</w:t>
      </w:r>
      <w:r>
        <w:rPr>
          <w:rFonts w:ascii="Times New Roman" w:hAnsi="Times New Roman" w:cs="Times New Roman"/>
        </w:rPr>
        <w:t xml:space="preserve">e </w:t>
      </w:r>
      <w:r w:rsidRPr="002806C9">
        <w:rPr>
          <w:rFonts w:ascii="Times New Roman" w:hAnsi="Times New Roman" w:cs="Times New Roman"/>
        </w:rPr>
        <w:t xml:space="preserve">DUIC(+) </w:t>
      </w:r>
      <w:r>
        <w:rPr>
          <w:rFonts w:ascii="Times New Roman" w:hAnsi="Times New Roman" w:cs="Times New Roman"/>
        </w:rPr>
        <w:t xml:space="preserve">wurde </w:t>
      </w:r>
      <w:r w:rsidRPr="002806C9">
        <w:rPr>
          <w:rFonts w:ascii="Times New Roman" w:hAnsi="Times New Roman" w:cs="Times New Roman"/>
        </w:rPr>
        <w:t xml:space="preserve">am häufigsten </w:t>
      </w:r>
      <w:r>
        <w:rPr>
          <w:rFonts w:ascii="Times New Roman" w:hAnsi="Times New Roman" w:cs="Times New Roman"/>
        </w:rPr>
        <w:t xml:space="preserve">von </w:t>
      </w:r>
      <w:r w:rsidRPr="002806C9">
        <w:rPr>
          <w:rFonts w:ascii="Times New Roman" w:hAnsi="Times New Roman" w:cs="Times New Roman"/>
        </w:rPr>
        <w:t>wöchentlichen Konsum</w:t>
      </w:r>
      <w:r>
        <w:rPr>
          <w:rFonts w:ascii="Times New Roman" w:hAnsi="Times New Roman" w:cs="Times New Roman"/>
        </w:rPr>
        <w:t>ierenden</w:t>
      </w:r>
      <w:r w:rsidRPr="002806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berichtet</w:t>
      </w:r>
      <w:r w:rsidRPr="002806C9">
        <w:rPr>
          <w:rFonts w:ascii="Times New Roman" w:hAnsi="Times New Roman" w:cs="Times New Roman"/>
        </w:rPr>
        <w:t>.</w:t>
      </w:r>
      <w:r w:rsidR="00E10DE8">
        <w:rPr>
          <w:rFonts w:ascii="Times New Roman" w:hAnsi="Times New Roman" w:cs="Times New Roman"/>
        </w:rPr>
        <w:t xml:space="preserve"> Für eine umfassende Evaluation der Legalisierung ist eine weitere Beobachtung von DUIC und Verkehrsdaten notwendig.</w:t>
      </w:r>
    </w:p>
    <w:sectPr w:rsidR="002806C9" w:rsidRPr="008D78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01CE4"/>
    <w:multiLevelType w:val="multilevel"/>
    <w:tmpl w:val="79122D0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1713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622154869">
    <w:abstractNumId w:val="0"/>
  </w:num>
  <w:num w:numId="2" w16cid:durableId="773786365">
    <w:abstractNumId w:val="0"/>
  </w:num>
  <w:num w:numId="3" w16cid:durableId="777725796">
    <w:abstractNumId w:val="0"/>
  </w:num>
  <w:num w:numId="4" w16cid:durableId="72529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8AE"/>
    <w:rsid w:val="0011152C"/>
    <w:rsid w:val="00174C8E"/>
    <w:rsid w:val="002806C9"/>
    <w:rsid w:val="003419D8"/>
    <w:rsid w:val="003C178C"/>
    <w:rsid w:val="003E1E69"/>
    <w:rsid w:val="005C0B4D"/>
    <w:rsid w:val="005E2F1D"/>
    <w:rsid w:val="006E008F"/>
    <w:rsid w:val="006E07CC"/>
    <w:rsid w:val="00775912"/>
    <w:rsid w:val="00796254"/>
    <w:rsid w:val="007C4066"/>
    <w:rsid w:val="007D03C4"/>
    <w:rsid w:val="007F4FB2"/>
    <w:rsid w:val="00897F49"/>
    <w:rsid w:val="008C0E72"/>
    <w:rsid w:val="008D562C"/>
    <w:rsid w:val="008D78AE"/>
    <w:rsid w:val="00A43A13"/>
    <w:rsid w:val="00A75AE3"/>
    <w:rsid w:val="00AC1D0D"/>
    <w:rsid w:val="00AF0B78"/>
    <w:rsid w:val="00BA13BC"/>
    <w:rsid w:val="00BD2CE5"/>
    <w:rsid w:val="00C57B6C"/>
    <w:rsid w:val="00CA2536"/>
    <w:rsid w:val="00CD29B8"/>
    <w:rsid w:val="00DE3C72"/>
    <w:rsid w:val="00E10DE8"/>
    <w:rsid w:val="00E8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A19F1"/>
  <w15:chartTrackingRefBased/>
  <w15:docId w15:val="{0BBC5CDB-ACFC-44EA-BE3A-B0635130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E69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B6C"/>
    <w:pPr>
      <w:keepNext/>
      <w:keepLines/>
      <w:numPr>
        <w:numId w:val="4"/>
      </w:numPr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7B6C"/>
    <w:pPr>
      <w:keepNext/>
      <w:keepLines/>
      <w:numPr>
        <w:ilvl w:val="1"/>
        <w:numId w:val="4"/>
      </w:numPr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7B6C"/>
    <w:pPr>
      <w:keepNext/>
      <w:keepLines/>
      <w:numPr>
        <w:ilvl w:val="2"/>
        <w:numId w:val="4"/>
      </w:numPr>
      <w:spacing w:before="160" w:after="80"/>
      <w:outlineLvl w:val="2"/>
    </w:pPr>
    <w:rPr>
      <w:rFonts w:eastAsiaTheme="majorEastAsia" w:cstheme="majorBidi"/>
      <w:b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B6C"/>
    <w:pPr>
      <w:keepNext/>
      <w:keepLines/>
      <w:numPr>
        <w:ilvl w:val="3"/>
        <w:numId w:val="4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8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8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8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8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8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57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57B6C"/>
    <w:rPr>
      <w:rFonts w:ascii="Calibri" w:eastAsiaTheme="majorEastAsia" w:hAnsi="Calibri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7B6C"/>
    <w:rPr>
      <w:rFonts w:ascii="Calibri" w:eastAsiaTheme="majorEastAsia" w:hAnsi="Calibri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7B6C"/>
    <w:rPr>
      <w:rFonts w:ascii="Calibri" w:eastAsiaTheme="majorEastAsia" w:hAnsi="Calibri" w:cstheme="majorBidi"/>
      <w:b/>
      <w:i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B6C"/>
    <w:rPr>
      <w:rFonts w:ascii="Calibri" w:eastAsiaTheme="majorEastAsia" w:hAnsi="Calibr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8AE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8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8AE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8AE"/>
    <w:rPr>
      <w:rFonts w:ascii="Calibri" w:hAnsi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8A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806C9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BA1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1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13BC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3BC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Marta Gritti</cp:lastModifiedBy>
  <cp:revision>11</cp:revision>
  <dcterms:created xsi:type="dcterms:W3CDTF">2025-11-26T18:16:00Z</dcterms:created>
  <dcterms:modified xsi:type="dcterms:W3CDTF">2026-01-08T10:47:00Z</dcterms:modified>
</cp:coreProperties>
</file>