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C44" w:rsidRPr="009A5C44" w:rsidRDefault="009A5C44" w:rsidP="009A5C44">
      <w:pPr>
        <w:spacing w:line="480" w:lineRule="auto"/>
        <w:jc w:val="center"/>
        <w:rPr>
          <w:b/>
          <w:color w:val="000000" w:themeColor="text1"/>
          <w:sz w:val="32"/>
          <w:szCs w:val="32"/>
        </w:rPr>
      </w:pPr>
      <w:r w:rsidRPr="009A5C44">
        <w:rPr>
          <w:b/>
          <w:color w:val="000000" w:themeColor="text1"/>
          <w:sz w:val="32"/>
          <w:szCs w:val="32"/>
        </w:rPr>
        <w:t>Supplementary Information</w:t>
      </w:r>
    </w:p>
    <w:p w:rsidR="009A5C44" w:rsidRDefault="009A5C44" w:rsidP="009A5C44">
      <w:pPr>
        <w:spacing w:line="480" w:lineRule="auto"/>
        <w:rPr>
          <w:b/>
          <w:color w:val="000000" w:themeColor="text1"/>
        </w:rPr>
      </w:pPr>
    </w:p>
    <w:p w:rsidR="009A5C44" w:rsidRDefault="009A5C44" w:rsidP="009A5C44">
      <w:pPr>
        <w:spacing w:line="480" w:lineRule="auto"/>
        <w:rPr>
          <w:b/>
          <w:color w:val="000000" w:themeColor="text1"/>
          <w:sz w:val="36"/>
          <w:szCs w:val="36"/>
        </w:rPr>
      </w:pPr>
      <w:r w:rsidRPr="00D6177E">
        <w:rPr>
          <w:b/>
          <w:color w:val="000000" w:themeColor="text1"/>
          <w:sz w:val="36"/>
          <w:szCs w:val="36"/>
        </w:rPr>
        <w:t>Role of pannexin-1 in the cellular uptake</w:t>
      </w:r>
      <w:r>
        <w:rPr>
          <w:b/>
          <w:color w:val="000000" w:themeColor="text1"/>
          <w:sz w:val="36"/>
          <w:szCs w:val="36"/>
        </w:rPr>
        <w:t>, release and hydrolysis</w:t>
      </w:r>
      <w:r w:rsidRPr="00D6177E">
        <w:rPr>
          <w:b/>
          <w:color w:val="000000" w:themeColor="text1"/>
          <w:sz w:val="36"/>
          <w:szCs w:val="36"/>
        </w:rPr>
        <w:t xml:space="preserve"> of anandamide</w:t>
      </w:r>
      <w:r>
        <w:rPr>
          <w:b/>
          <w:color w:val="000000" w:themeColor="text1"/>
          <w:sz w:val="36"/>
          <w:szCs w:val="36"/>
        </w:rPr>
        <w:t xml:space="preserve"> by </w:t>
      </w:r>
      <w:r w:rsidRPr="00D6177E">
        <w:rPr>
          <w:b/>
          <w:color w:val="000000" w:themeColor="text1"/>
          <w:sz w:val="36"/>
          <w:szCs w:val="36"/>
        </w:rPr>
        <w:t>T84 colon cancer cells</w:t>
      </w:r>
    </w:p>
    <w:p w:rsidR="009A5C44" w:rsidRPr="00D6177E" w:rsidRDefault="009A5C44" w:rsidP="009A5C44">
      <w:pPr>
        <w:spacing w:line="480" w:lineRule="auto"/>
        <w:rPr>
          <w:b/>
          <w:color w:val="000000" w:themeColor="text1"/>
          <w:sz w:val="36"/>
          <w:szCs w:val="36"/>
        </w:rPr>
      </w:pPr>
    </w:p>
    <w:p w:rsidR="009A5C44" w:rsidRPr="00861D7E" w:rsidRDefault="009A5C44" w:rsidP="009A5C44">
      <w:pPr>
        <w:spacing w:line="480" w:lineRule="auto"/>
        <w:rPr>
          <w:b/>
          <w:color w:val="000000" w:themeColor="text1"/>
        </w:rPr>
      </w:pPr>
      <w:r w:rsidRPr="00861D7E">
        <w:rPr>
          <w:b/>
          <w:color w:val="000000" w:themeColor="text1"/>
        </w:rPr>
        <w:t xml:space="preserve">Mireille </w:t>
      </w:r>
      <w:proofErr w:type="spellStart"/>
      <w:r w:rsidRPr="00861D7E">
        <w:rPr>
          <w:b/>
          <w:color w:val="000000" w:themeColor="text1"/>
        </w:rPr>
        <w:t>Alhouayek</w:t>
      </w:r>
      <w:proofErr w:type="spellEnd"/>
      <w:r>
        <w:rPr>
          <w:b/>
          <w:color w:val="000000" w:themeColor="text1"/>
        </w:rPr>
        <w:t>,</w:t>
      </w:r>
      <w:r w:rsidRPr="00861D7E">
        <w:rPr>
          <w:b/>
          <w:color w:val="000000" w:themeColor="text1"/>
        </w:rPr>
        <w:t xml:space="preserve"> René </w:t>
      </w:r>
      <w:proofErr w:type="spellStart"/>
      <w:r w:rsidRPr="00861D7E">
        <w:rPr>
          <w:b/>
          <w:color w:val="000000" w:themeColor="text1"/>
        </w:rPr>
        <w:t>Sorti</w:t>
      </w:r>
      <w:proofErr w:type="spellEnd"/>
      <w:r>
        <w:rPr>
          <w:b/>
          <w:color w:val="000000" w:themeColor="text1"/>
        </w:rPr>
        <w:t>,</w:t>
      </w:r>
      <w:r w:rsidRPr="00861D7E">
        <w:rPr>
          <w:b/>
          <w:color w:val="000000" w:themeColor="text1"/>
        </w:rPr>
        <w:t xml:space="preserve"> Jonathan D. </w:t>
      </w:r>
      <w:proofErr w:type="spellStart"/>
      <w:r w:rsidRPr="00861D7E">
        <w:rPr>
          <w:b/>
          <w:color w:val="000000" w:themeColor="text1"/>
        </w:rPr>
        <w:t>Gilthorpe</w:t>
      </w:r>
      <w:proofErr w:type="spellEnd"/>
      <w:r w:rsidRPr="00861D7E">
        <w:rPr>
          <w:b/>
          <w:color w:val="000000" w:themeColor="text1"/>
        </w:rPr>
        <w:t xml:space="preserve"> </w:t>
      </w:r>
      <w:r>
        <w:rPr>
          <w:b/>
          <w:color w:val="000000" w:themeColor="text1"/>
        </w:rPr>
        <w:t>&amp;</w:t>
      </w:r>
      <w:r w:rsidRPr="00861D7E">
        <w:rPr>
          <w:b/>
          <w:color w:val="000000" w:themeColor="text1"/>
        </w:rPr>
        <w:t xml:space="preserve"> Christopher J. Fowler</w:t>
      </w:r>
    </w:p>
    <w:p w:rsidR="009A5C44" w:rsidRDefault="009A5C44" w:rsidP="009A5C44">
      <w:pPr>
        <w:spacing w:line="480" w:lineRule="auto"/>
        <w:rPr>
          <w:b/>
          <w:color w:val="000000" w:themeColor="text1"/>
        </w:rPr>
      </w:pPr>
    </w:p>
    <w:p w:rsidR="009A5C44" w:rsidRDefault="009A5C44" w:rsidP="009A5C44">
      <w:pPr>
        <w:spacing w:line="480" w:lineRule="auto"/>
        <w:rPr>
          <w:b/>
          <w:color w:val="000000" w:themeColor="text1"/>
        </w:rPr>
      </w:pPr>
    </w:p>
    <w:p w:rsidR="00CA4BC6" w:rsidRDefault="00CA4BC6" w:rsidP="009A5C44">
      <w:pPr>
        <w:spacing w:line="480" w:lineRule="auto"/>
        <w:rPr>
          <w:b/>
          <w:color w:val="000000" w:themeColor="text1"/>
        </w:rPr>
      </w:pPr>
    </w:p>
    <w:p w:rsidR="00F67D95" w:rsidRPr="0070247C" w:rsidRDefault="00F67D95" w:rsidP="009A5C44">
      <w:pPr>
        <w:spacing w:line="480" w:lineRule="auto"/>
        <w:rPr>
          <w:b/>
          <w:color w:val="000000" w:themeColor="text1"/>
        </w:rPr>
      </w:pPr>
      <w:r>
        <w:rPr>
          <w:b/>
          <w:noProof/>
          <w:color w:val="000000" w:themeColor="text1"/>
        </w:rPr>
        <w:drawing>
          <wp:inline distT="0" distB="0" distL="0" distR="0">
            <wp:extent cx="5756910" cy="2812415"/>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xtra.png"/>
                    <pic:cNvPicPr/>
                  </pic:nvPicPr>
                  <pic:blipFill>
                    <a:blip r:embed="rId4">
                      <a:extLst>
                        <a:ext uri="{28A0092B-C50C-407E-A947-70E740481C1C}">
                          <a14:useLocalDpi xmlns:a14="http://schemas.microsoft.com/office/drawing/2010/main" val="0"/>
                        </a:ext>
                      </a:extLst>
                    </a:blip>
                    <a:stretch>
                      <a:fillRect/>
                    </a:stretch>
                  </pic:blipFill>
                  <pic:spPr>
                    <a:xfrm>
                      <a:off x="0" y="0"/>
                      <a:ext cx="5756910" cy="2812415"/>
                    </a:xfrm>
                    <a:prstGeom prst="rect">
                      <a:avLst/>
                    </a:prstGeom>
                  </pic:spPr>
                </pic:pic>
              </a:graphicData>
            </a:graphic>
          </wp:inline>
        </w:drawing>
      </w:r>
    </w:p>
    <w:p w:rsidR="0074412A" w:rsidRDefault="00B30251" w:rsidP="00A51204">
      <w:pPr>
        <w:spacing w:line="480" w:lineRule="auto"/>
        <w:rPr>
          <w:color w:val="000000" w:themeColor="text1"/>
        </w:rPr>
      </w:pPr>
      <w:r>
        <w:rPr>
          <w:b/>
          <w:color w:val="000000" w:themeColor="text1"/>
        </w:rPr>
        <w:t xml:space="preserve">Supplementary Fig. S1. </w:t>
      </w:r>
      <w:r w:rsidR="00800934" w:rsidRPr="00800934">
        <w:rPr>
          <w:color w:val="000000" w:themeColor="text1"/>
        </w:rPr>
        <w:t xml:space="preserve">Original confocal images of immunofluorescence </w:t>
      </w:r>
      <w:proofErr w:type="spellStart"/>
      <w:r w:rsidR="00800934" w:rsidRPr="00800934">
        <w:rPr>
          <w:color w:val="000000" w:themeColor="text1"/>
        </w:rPr>
        <w:t>labeling</w:t>
      </w:r>
      <w:proofErr w:type="spellEnd"/>
      <w:r w:rsidR="00800934" w:rsidRPr="00800934">
        <w:rPr>
          <w:color w:val="000000" w:themeColor="text1"/>
        </w:rPr>
        <w:t xml:space="preserve"> shown in Fig. 1B (left) and C (right) of the paper.  The white rectangles show the parts of the image that were cropped and used in the main figure. Images (512x512 pixels, 0.31 </w:t>
      </w:r>
      <w:proofErr w:type="spellStart"/>
      <w:r w:rsidR="00800934" w:rsidRPr="00800934">
        <w:rPr>
          <w:color w:val="000000" w:themeColor="text1"/>
        </w:rPr>
        <w:t>μm</w:t>
      </w:r>
      <w:proofErr w:type="spellEnd"/>
      <w:r w:rsidR="00800934" w:rsidRPr="00800934">
        <w:rPr>
          <w:color w:val="000000" w:themeColor="text1"/>
        </w:rPr>
        <w:t xml:space="preserve">/pixel) were acquired using a Nikon A1 confocal microscope equipped with a 40x water immersion lens (CFI Apo Lambda S, NA 1.25) at </w:t>
      </w:r>
      <w:proofErr w:type="spellStart"/>
      <w:r w:rsidR="00800934" w:rsidRPr="00800934">
        <w:rPr>
          <w:color w:val="000000" w:themeColor="text1"/>
        </w:rPr>
        <w:t>Nyqvist</w:t>
      </w:r>
      <w:proofErr w:type="spellEnd"/>
      <w:r w:rsidR="00800934" w:rsidRPr="00800934">
        <w:rPr>
          <w:color w:val="000000" w:themeColor="text1"/>
        </w:rPr>
        <w:t xml:space="preserve"> resolution (525/50 nm for PANX1 labelling in green, 20.5 </w:t>
      </w:r>
      <w:proofErr w:type="spellStart"/>
      <w:r w:rsidR="00800934" w:rsidRPr="00800934">
        <w:rPr>
          <w:color w:val="000000" w:themeColor="text1"/>
        </w:rPr>
        <w:t>μm</w:t>
      </w:r>
      <w:proofErr w:type="spellEnd"/>
      <w:r w:rsidR="00800934" w:rsidRPr="00800934">
        <w:rPr>
          <w:color w:val="000000" w:themeColor="text1"/>
        </w:rPr>
        <w:t xml:space="preserve"> pinhole, 2.000 scanner zoom) in X and Y dimensions.</w:t>
      </w:r>
      <w:bookmarkStart w:id="0" w:name="_GoBack"/>
      <w:bookmarkEnd w:id="0"/>
      <w:r w:rsidR="0074412A">
        <w:rPr>
          <w:color w:val="000000" w:themeColor="text1"/>
        </w:rPr>
        <w:br w:type="page"/>
      </w:r>
    </w:p>
    <w:p w:rsidR="0074412A" w:rsidRDefault="0074412A" w:rsidP="00420F15">
      <w:pPr>
        <w:jc w:val="center"/>
        <w:rPr>
          <w:color w:val="000000" w:themeColor="text1"/>
        </w:rPr>
      </w:pPr>
      <w:r>
        <w:rPr>
          <w:noProof/>
          <w:color w:val="000000" w:themeColor="text1"/>
        </w:rPr>
        <w:lastRenderedPageBreak/>
        <w:drawing>
          <wp:inline distT="0" distB="0" distL="0" distR="0">
            <wp:extent cx="4093435" cy="4093435"/>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70524-T84-DAPI-ZO1-488-PANX568-A1z-MaxIP kopia (kopia).png"/>
                    <pic:cNvPicPr/>
                  </pic:nvPicPr>
                  <pic:blipFill>
                    <a:blip r:embed="rId5">
                      <a:extLst>
                        <a:ext uri="{28A0092B-C50C-407E-A947-70E740481C1C}">
                          <a14:useLocalDpi xmlns:a14="http://schemas.microsoft.com/office/drawing/2010/main" val="0"/>
                        </a:ext>
                      </a:extLst>
                    </a:blip>
                    <a:stretch>
                      <a:fillRect/>
                    </a:stretch>
                  </pic:blipFill>
                  <pic:spPr>
                    <a:xfrm>
                      <a:off x="0" y="0"/>
                      <a:ext cx="4134253" cy="4134253"/>
                    </a:xfrm>
                    <a:prstGeom prst="rect">
                      <a:avLst/>
                    </a:prstGeom>
                  </pic:spPr>
                </pic:pic>
              </a:graphicData>
            </a:graphic>
          </wp:inline>
        </w:drawing>
      </w:r>
    </w:p>
    <w:p w:rsidR="0074412A" w:rsidRDefault="0074412A">
      <w:pPr>
        <w:rPr>
          <w:color w:val="000000" w:themeColor="text1"/>
        </w:rPr>
      </w:pPr>
    </w:p>
    <w:p w:rsidR="00800934" w:rsidRDefault="00800934" w:rsidP="00420F15">
      <w:pPr>
        <w:spacing w:line="360" w:lineRule="auto"/>
        <w:rPr>
          <w:b/>
          <w:color w:val="000000" w:themeColor="text1"/>
        </w:rPr>
      </w:pPr>
    </w:p>
    <w:p w:rsidR="00B30251" w:rsidRDefault="00B30251" w:rsidP="00420F15">
      <w:pPr>
        <w:spacing w:line="360" w:lineRule="auto"/>
        <w:rPr>
          <w:color w:val="000000" w:themeColor="text1"/>
        </w:rPr>
      </w:pPr>
      <w:r>
        <w:rPr>
          <w:b/>
          <w:color w:val="000000" w:themeColor="text1"/>
        </w:rPr>
        <w:t xml:space="preserve">Supplementary Fig. S2. </w:t>
      </w:r>
      <w:r w:rsidR="00800934" w:rsidRPr="00800934">
        <w:rPr>
          <w:color w:val="000000" w:themeColor="text1"/>
        </w:rPr>
        <w:t xml:space="preserve">Expression of Panx1 (red) and the tight junction marker ZO-1 (green) in T84 cells, counterstained with </w:t>
      </w:r>
      <w:proofErr w:type="spellStart"/>
      <w:r w:rsidR="00800934" w:rsidRPr="00800934">
        <w:rPr>
          <w:color w:val="000000" w:themeColor="text1"/>
        </w:rPr>
        <w:t>DAPI</w:t>
      </w:r>
      <w:proofErr w:type="spellEnd"/>
      <w:r w:rsidR="00800934" w:rsidRPr="00800934">
        <w:rPr>
          <w:color w:val="000000" w:themeColor="text1"/>
        </w:rPr>
        <w:t xml:space="preserve"> (blue). The same protocol was used as for the immunofluorescent </w:t>
      </w:r>
      <w:proofErr w:type="spellStart"/>
      <w:r w:rsidR="00800934" w:rsidRPr="00800934">
        <w:rPr>
          <w:color w:val="000000" w:themeColor="text1"/>
        </w:rPr>
        <w:t>labeling</w:t>
      </w:r>
      <w:proofErr w:type="spellEnd"/>
      <w:r w:rsidR="00800934" w:rsidRPr="00800934">
        <w:rPr>
          <w:color w:val="000000" w:themeColor="text1"/>
        </w:rPr>
        <w:t xml:space="preserve"> method described in the main paper up to and including the incubation with the Panx1 antibody. Thereafter, following three washes with PBS, inserts were incubated with the secondary antibody (Alexa Fluor 594, 1/1000), diluted in the same buffer as the primary antibody, for 1 hour at room temperature. The inserts were then washed three times in PBS and incubated for 1 hour at room temperature with the anti-ZO1 antibody coupled to Alexa Fluor 488 (1/500). After three washes in PBS, DNA was labelled with 50 ng mL-1 </w:t>
      </w:r>
      <w:proofErr w:type="spellStart"/>
      <w:r w:rsidR="00800934" w:rsidRPr="00800934">
        <w:rPr>
          <w:color w:val="000000" w:themeColor="text1"/>
        </w:rPr>
        <w:t>DAPI</w:t>
      </w:r>
      <w:proofErr w:type="spellEnd"/>
      <w:r w:rsidR="00800934" w:rsidRPr="00800934">
        <w:rPr>
          <w:color w:val="000000" w:themeColor="text1"/>
        </w:rPr>
        <w:t xml:space="preserve"> for 5 minutes at room temperature. Inserts were washed twice with PBS and the membranes were cut and mounted using </w:t>
      </w:r>
      <w:proofErr w:type="spellStart"/>
      <w:r w:rsidR="00800934" w:rsidRPr="00800934">
        <w:rPr>
          <w:color w:val="000000" w:themeColor="text1"/>
        </w:rPr>
        <w:t>Vectashield</w:t>
      </w:r>
      <w:proofErr w:type="spellEnd"/>
      <w:r w:rsidR="00800934" w:rsidRPr="00800934">
        <w:rPr>
          <w:color w:val="000000" w:themeColor="text1"/>
        </w:rPr>
        <w:t xml:space="preserve">® </w:t>
      </w:r>
      <w:proofErr w:type="spellStart"/>
      <w:r w:rsidR="00800934" w:rsidRPr="00800934">
        <w:rPr>
          <w:color w:val="000000" w:themeColor="text1"/>
        </w:rPr>
        <w:t>HardSet</w:t>
      </w:r>
      <w:proofErr w:type="spellEnd"/>
      <w:r w:rsidR="00800934" w:rsidRPr="00800934">
        <w:rPr>
          <w:color w:val="000000" w:themeColor="text1"/>
        </w:rPr>
        <w:t xml:space="preserve">. Images (512x512 pixels) were acquired using a Nikon A1 confocal microscope equipped with a 40x water immersion lens (CFI Apo Lambda S, NA 1.25) at </w:t>
      </w:r>
      <w:proofErr w:type="spellStart"/>
      <w:r w:rsidR="00800934" w:rsidRPr="00800934">
        <w:rPr>
          <w:color w:val="000000" w:themeColor="text1"/>
        </w:rPr>
        <w:t>Nyqvist</w:t>
      </w:r>
      <w:proofErr w:type="spellEnd"/>
      <w:r w:rsidR="00800934" w:rsidRPr="00800934">
        <w:rPr>
          <w:color w:val="000000" w:themeColor="text1"/>
        </w:rPr>
        <w:t xml:space="preserve"> resolution (525/50 nm for ZO1 labelling in green, 595/59 nm for PANX1 labelling in red, 21.7 </w:t>
      </w:r>
      <w:proofErr w:type="spellStart"/>
      <w:r w:rsidR="00800934" w:rsidRPr="00800934">
        <w:rPr>
          <w:color w:val="000000" w:themeColor="text1"/>
        </w:rPr>
        <w:t>μm</w:t>
      </w:r>
      <w:proofErr w:type="spellEnd"/>
      <w:r w:rsidR="00800934" w:rsidRPr="00800934">
        <w:rPr>
          <w:color w:val="000000" w:themeColor="text1"/>
        </w:rPr>
        <w:t xml:space="preserve"> pinhole, 4.878 scanner zoom) in X, Y and Z dimensions. A Z-stack (22 steps with Step = 0.2 </w:t>
      </w:r>
      <w:proofErr w:type="spellStart"/>
      <w:r w:rsidR="00800934" w:rsidRPr="00800934">
        <w:rPr>
          <w:color w:val="000000" w:themeColor="text1"/>
        </w:rPr>
        <w:t>μm</w:t>
      </w:r>
      <w:proofErr w:type="spellEnd"/>
      <w:r w:rsidR="00800934" w:rsidRPr="00800934">
        <w:rPr>
          <w:color w:val="000000" w:themeColor="text1"/>
        </w:rPr>
        <w:t xml:space="preserve">) was used to generate a </w:t>
      </w:r>
      <w:proofErr w:type="gramStart"/>
      <w:r w:rsidR="00800934" w:rsidRPr="00800934">
        <w:rPr>
          <w:color w:val="000000" w:themeColor="text1"/>
        </w:rPr>
        <w:t>maximum intensity projections</w:t>
      </w:r>
      <w:proofErr w:type="gramEnd"/>
      <w:r w:rsidR="00800934" w:rsidRPr="00800934">
        <w:rPr>
          <w:color w:val="000000" w:themeColor="text1"/>
        </w:rPr>
        <w:t xml:space="preserve"> using NIS Elements software (Nikon).</w:t>
      </w:r>
    </w:p>
    <w:p w:rsidR="00732928" w:rsidRDefault="00732928">
      <w:pPr>
        <w:rPr>
          <w:b/>
          <w:color w:val="000000" w:themeColor="text1"/>
        </w:rPr>
      </w:pPr>
    </w:p>
    <w:p w:rsidR="00800934" w:rsidRDefault="00800934" w:rsidP="00732928">
      <w:pPr>
        <w:spacing w:line="480" w:lineRule="auto"/>
        <w:jc w:val="center"/>
        <w:rPr>
          <w:b/>
          <w:color w:val="000000" w:themeColor="text1"/>
        </w:rPr>
      </w:pPr>
    </w:p>
    <w:p w:rsidR="009A5C44" w:rsidRDefault="00732928" w:rsidP="00732928">
      <w:pPr>
        <w:spacing w:line="480" w:lineRule="auto"/>
        <w:jc w:val="center"/>
        <w:rPr>
          <w:b/>
          <w:color w:val="000000" w:themeColor="text1"/>
        </w:rPr>
      </w:pPr>
      <w:r>
        <w:rPr>
          <w:b/>
          <w:color w:val="000000" w:themeColor="text1"/>
        </w:rPr>
        <w:lastRenderedPageBreak/>
        <w:t>Supplementary method:</w:t>
      </w:r>
    </w:p>
    <w:p w:rsidR="0074412A" w:rsidRDefault="00732928" w:rsidP="0074412A">
      <w:pPr>
        <w:spacing w:line="480" w:lineRule="auto"/>
        <w:rPr>
          <w:b/>
          <w:color w:val="000000" w:themeColor="text1"/>
        </w:rPr>
      </w:pPr>
      <w:proofErr w:type="spellStart"/>
      <w:r w:rsidRPr="007913EC">
        <w:rPr>
          <w:b/>
          <w:color w:val="000000"/>
          <w:shd w:val="clear" w:color="auto" w:fill="FFFFFF"/>
        </w:rPr>
        <w:t>Sul</w:t>
      </w:r>
      <w:r>
        <w:rPr>
          <w:b/>
          <w:color w:val="000000"/>
          <w:shd w:val="clear" w:color="auto" w:fill="FFFFFF"/>
        </w:rPr>
        <w:t>forhodamine</w:t>
      </w:r>
      <w:proofErr w:type="spellEnd"/>
      <w:r>
        <w:rPr>
          <w:b/>
          <w:color w:val="000000"/>
          <w:shd w:val="clear" w:color="auto" w:fill="FFFFFF"/>
        </w:rPr>
        <w:t xml:space="preserve"> 101 uptake</w:t>
      </w:r>
      <w:r>
        <w:rPr>
          <w:b/>
        </w:rPr>
        <w:t xml:space="preserve">: </w:t>
      </w:r>
      <w:r>
        <w:t xml:space="preserve">T84 cells (15000cells/well) were plated in a 96 well plate and incubated overnight in </w:t>
      </w:r>
      <w:proofErr w:type="spellStart"/>
      <w:r w:rsidRPr="006674CE">
        <w:t>DMEM</w:t>
      </w:r>
      <w:proofErr w:type="spellEnd"/>
      <w:r w:rsidRPr="006674CE">
        <w:t xml:space="preserve">/F12 </w:t>
      </w:r>
      <w:r>
        <w:t>medium supplemented with</w:t>
      </w:r>
      <w:r w:rsidRPr="006674CE">
        <w:t xml:space="preserve"> 2mM L-glutamine, 8% foetal b</w:t>
      </w:r>
      <w:r>
        <w:t>ovine serum and 1% penicillin/</w:t>
      </w:r>
      <w:r w:rsidRPr="006674CE">
        <w:t>streptomycin (PEST).</w:t>
      </w:r>
      <w:r>
        <w:t xml:space="preserve"> </w:t>
      </w:r>
      <w:r w:rsidRPr="0070247C">
        <w:rPr>
          <w:rFonts w:cs="Times New Roman"/>
          <w:color w:val="000000" w:themeColor="text1"/>
        </w:rPr>
        <w:t>The ne</w:t>
      </w:r>
      <w:r>
        <w:rPr>
          <w:rFonts w:cs="Times New Roman"/>
          <w:color w:val="000000" w:themeColor="text1"/>
        </w:rPr>
        <w:t>xt day, cells were washed with 2</w:t>
      </w:r>
      <w:r w:rsidRPr="0070247C">
        <w:rPr>
          <w:rFonts w:cs="Times New Roman"/>
          <w:color w:val="000000" w:themeColor="text1"/>
        </w:rPr>
        <w:t>00 µL</w:t>
      </w:r>
      <w:r>
        <w:rPr>
          <w:rFonts w:cs="Times New Roman"/>
          <w:color w:val="000000" w:themeColor="text1"/>
        </w:rPr>
        <w:t xml:space="preserve"> of </w:t>
      </w:r>
      <w:proofErr w:type="spellStart"/>
      <w:r w:rsidRPr="0070247C">
        <w:rPr>
          <w:rFonts w:cs="Times New Roman"/>
          <w:color w:val="000000" w:themeColor="text1"/>
        </w:rPr>
        <w:t>KRH</w:t>
      </w:r>
      <w:proofErr w:type="spellEnd"/>
      <w:r w:rsidRPr="0070247C">
        <w:rPr>
          <w:rFonts w:cs="Times New Roman"/>
          <w:color w:val="000000" w:themeColor="text1"/>
        </w:rPr>
        <w:t xml:space="preserve"> buffer w</w:t>
      </w:r>
      <w:r>
        <w:rPr>
          <w:rFonts w:cs="Times New Roman"/>
          <w:color w:val="000000" w:themeColor="text1"/>
        </w:rPr>
        <w:t xml:space="preserve">ith 1% </w:t>
      </w:r>
      <w:proofErr w:type="spellStart"/>
      <w:r>
        <w:rPr>
          <w:rFonts w:cs="Times New Roman"/>
          <w:color w:val="000000" w:themeColor="text1"/>
        </w:rPr>
        <w:t>BSA</w:t>
      </w:r>
      <w:proofErr w:type="spellEnd"/>
      <w:r>
        <w:rPr>
          <w:rFonts w:cs="Times New Roman"/>
          <w:color w:val="000000" w:themeColor="text1"/>
        </w:rPr>
        <w:t xml:space="preserve"> and thereafter with 2</w:t>
      </w:r>
      <w:r w:rsidRPr="0070247C">
        <w:rPr>
          <w:rFonts w:cs="Times New Roman"/>
          <w:color w:val="000000" w:themeColor="text1"/>
        </w:rPr>
        <w:t xml:space="preserve">00 µL of </w:t>
      </w:r>
      <w:proofErr w:type="spellStart"/>
      <w:r w:rsidRPr="0070247C">
        <w:rPr>
          <w:rFonts w:cs="Times New Roman"/>
          <w:color w:val="000000" w:themeColor="text1"/>
        </w:rPr>
        <w:t>KRH</w:t>
      </w:r>
      <w:proofErr w:type="spellEnd"/>
      <w:r w:rsidRPr="0070247C">
        <w:rPr>
          <w:rFonts w:cs="Times New Roman"/>
          <w:color w:val="000000" w:themeColor="text1"/>
        </w:rPr>
        <w:t xml:space="preserve"> buffer alone, both at 37 °C. The buffer was removed and then </w:t>
      </w:r>
      <w:r>
        <w:rPr>
          <w:rFonts w:cs="Times New Roman"/>
          <w:color w:val="000000" w:themeColor="text1"/>
        </w:rPr>
        <w:t>225</w:t>
      </w:r>
      <w:r w:rsidRPr="0070247C">
        <w:rPr>
          <w:rFonts w:cs="Times New Roman"/>
          <w:color w:val="000000" w:themeColor="text1"/>
        </w:rPr>
        <w:t xml:space="preserve"> µL of </w:t>
      </w:r>
      <w:proofErr w:type="spellStart"/>
      <w:r w:rsidRPr="0070247C">
        <w:rPr>
          <w:rFonts w:cs="Times New Roman"/>
          <w:color w:val="000000" w:themeColor="text1"/>
        </w:rPr>
        <w:t>KRH</w:t>
      </w:r>
      <w:proofErr w:type="spellEnd"/>
      <w:r>
        <w:rPr>
          <w:rFonts w:cs="Times New Roman"/>
          <w:color w:val="000000" w:themeColor="text1"/>
        </w:rPr>
        <w:t xml:space="preserve">, or </w:t>
      </w:r>
      <w:proofErr w:type="spellStart"/>
      <w:r>
        <w:rPr>
          <w:rFonts w:cs="Times New Roman"/>
          <w:color w:val="000000" w:themeColor="text1"/>
        </w:rPr>
        <w:t>KRH</w:t>
      </w:r>
      <w:proofErr w:type="spellEnd"/>
      <w:r>
        <w:rPr>
          <w:rFonts w:cs="Times New Roman"/>
          <w:color w:val="000000" w:themeColor="text1"/>
        </w:rPr>
        <w:t xml:space="preserve"> with 50mM K</w:t>
      </w:r>
      <w:r w:rsidRPr="006674CE">
        <w:rPr>
          <w:rFonts w:cs="Times New Roman"/>
          <w:color w:val="000000" w:themeColor="text1"/>
          <w:vertAlign w:val="superscript"/>
        </w:rPr>
        <w:t>+</w:t>
      </w:r>
      <w:r>
        <w:rPr>
          <w:rFonts w:cs="Times New Roman"/>
          <w:color w:val="000000" w:themeColor="text1"/>
        </w:rPr>
        <w:t xml:space="preserve">, </w:t>
      </w:r>
      <w:r w:rsidRPr="0070247C">
        <w:rPr>
          <w:rFonts w:cs="Times New Roman"/>
          <w:color w:val="000000" w:themeColor="text1"/>
        </w:rPr>
        <w:t>with 0</w:t>
      </w:r>
      <w:r>
        <w:rPr>
          <w:rFonts w:cs="Times New Roman"/>
          <w:color w:val="000000" w:themeColor="text1"/>
        </w:rPr>
        <w:t xml:space="preserve">.1% fatty acid-free </w:t>
      </w:r>
      <w:proofErr w:type="spellStart"/>
      <w:r>
        <w:rPr>
          <w:rFonts w:cs="Times New Roman"/>
          <w:color w:val="000000" w:themeColor="text1"/>
        </w:rPr>
        <w:t>BSA</w:t>
      </w:r>
      <w:proofErr w:type="spellEnd"/>
      <w:r>
        <w:rPr>
          <w:rFonts w:cs="Times New Roman"/>
          <w:color w:val="000000" w:themeColor="text1"/>
        </w:rPr>
        <w:t xml:space="preserve"> and the inhibitor of interest (Carbenoxolone or Mefloquine, both at 30µM) </w:t>
      </w:r>
      <w:r w:rsidRPr="0070247C">
        <w:rPr>
          <w:rFonts w:cs="Times New Roman"/>
          <w:color w:val="000000" w:themeColor="text1"/>
        </w:rPr>
        <w:t>or vehicle control (DMSO, maximum assay concentration 0.</w:t>
      </w:r>
      <w:r>
        <w:rPr>
          <w:rFonts w:cs="Times New Roman"/>
          <w:color w:val="000000" w:themeColor="text1"/>
        </w:rPr>
        <w:t>1</w:t>
      </w:r>
      <w:r w:rsidRPr="0070247C">
        <w:rPr>
          <w:rFonts w:cs="Times New Roman"/>
          <w:color w:val="000000" w:themeColor="text1"/>
        </w:rPr>
        <w:t>%) were added to the wells. After 10 minutes of incubation at 37°C,</w:t>
      </w:r>
      <w:r>
        <w:rPr>
          <w:rFonts w:cs="Times New Roman"/>
          <w:color w:val="000000" w:themeColor="text1"/>
        </w:rPr>
        <w:t xml:space="preserve"> 25µL of </w:t>
      </w:r>
      <w:proofErr w:type="spellStart"/>
      <w:r>
        <w:rPr>
          <w:rFonts w:cs="Times New Roman"/>
          <w:color w:val="000000" w:themeColor="text1"/>
        </w:rPr>
        <w:t>sulforhodamine</w:t>
      </w:r>
      <w:proofErr w:type="spellEnd"/>
      <w:r>
        <w:rPr>
          <w:rFonts w:cs="Times New Roman"/>
          <w:color w:val="000000" w:themeColor="text1"/>
        </w:rPr>
        <w:t xml:space="preserve"> 101 (10µM final concentration in </w:t>
      </w:r>
      <w:proofErr w:type="spellStart"/>
      <w:r>
        <w:rPr>
          <w:rFonts w:cs="Times New Roman"/>
          <w:color w:val="000000" w:themeColor="text1"/>
        </w:rPr>
        <w:t>KRH</w:t>
      </w:r>
      <w:proofErr w:type="spellEnd"/>
      <w:r>
        <w:rPr>
          <w:rFonts w:cs="Times New Roman"/>
          <w:color w:val="000000" w:themeColor="text1"/>
        </w:rPr>
        <w:t xml:space="preserve"> or </w:t>
      </w:r>
      <w:proofErr w:type="spellStart"/>
      <w:r>
        <w:rPr>
          <w:rFonts w:cs="Times New Roman"/>
          <w:color w:val="000000" w:themeColor="text1"/>
        </w:rPr>
        <w:t>KRH</w:t>
      </w:r>
      <w:proofErr w:type="spellEnd"/>
      <w:r>
        <w:rPr>
          <w:rFonts w:cs="Times New Roman"/>
          <w:color w:val="000000" w:themeColor="text1"/>
        </w:rPr>
        <w:t xml:space="preserve"> with 50mM K</w:t>
      </w:r>
      <w:r w:rsidRPr="006674CE">
        <w:rPr>
          <w:rFonts w:cs="Times New Roman"/>
          <w:color w:val="000000" w:themeColor="text1"/>
          <w:vertAlign w:val="superscript"/>
        </w:rPr>
        <w:t>+</w:t>
      </w:r>
      <w:r>
        <w:rPr>
          <w:rFonts w:cs="Times New Roman"/>
          <w:color w:val="000000" w:themeColor="text1"/>
        </w:rPr>
        <w:t xml:space="preserve">, </w:t>
      </w:r>
      <w:r w:rsidRPr="0070247C">
        <w:rPr>
          <w:rFonts w:cs="Times New Roman"/>
          <w:color w:val="000000" w:themeColor="text1"/>
        </w:rPr>
        <w:t>with 0</w:t>
      </w:r>
      <w:r>
        <w:rPr>
          <w:rFonts w:cs="Times New Roman"/>
          <w:color w:val="000000" w:themeColor="text1"/>
        </w:rPr>
        <w:t xml:space="preserve">.1% fatty acid-free </w:t>
      </w:r>
      <w:proofErr w:type="spellStart"/>
      <w:r>
        <w:rPr>
          <w:rFonts w:cs="Times New Roman"/>
          <w:color w:val="000000" w:themeColor="text1"/>
        </w:rPr>
        <w:t>BSA</w:t>
      </w:r>
      <w:proofErr w:type="spellEnd"/>
      <w:r>
        <w:rPr>
          <w:rFonts w:cs="Times New Roman"/>
          <w:color w:val="000000" w:themeColor="text1"/>
        </w:rPr>
        <w:t xml:space="preserve"> buffer) were added to all the wells (except the control wells). P</w:t>
      </w:r>
      <w:r w:rsidRPr="0070247C">
        <w:rPr>
          <w:rFonts w:cs="Times New Roman"/>
          <w:color w:val="000000" w:themeColor="text1"/>
        </w:rPr>
        <w:t>lates were incubated for further 1</w:t>
      </w:r>
      <w:r>
        <w:rPr>
          <w:rFonts w:cs="Times New Roman"/>
          <w:color w:val="000000" w:themeColor="text1"/>
        </w:rPr>
        <w:t>0</w:t>
      </w:r>
      <w:r w:rsidRPr="0070247C">
        <w:rPr>
          <w:rFonts w:cs="Times New Roman"/>
          <w:color w:val="000000" w:themeColor="text1"/>
        </w:rPr>
        <w:t xml:space="preserve"> minutes at 37 °C to allow </w:t>
      </w:r>
      <w:proofErr w:type="spellStart"/>
      <w:r>
        <w:rPr>
          <w:rFonts w:cs="Times New Roman"/>
          <w:color w:val="000000" w:themeColor="text1"/>
        </w:rPr>
        <w:t>sulforhodamine</w:t>
      </w:r>
      <w:proofErr w:type="spellEnd"/>
      <w:r>
        <w:rPr>
          <w:rFonts w:cs="Times New Roman"/>
          <w:color w:val="000000" w:themeColor="text1"/>
        </w:rPr>
        <w:t xml:space="preserve"> 101</w:t>
      </w:r>
      <w:r w:rsidRPr="0070247C">
        <w:rPr>
          <w:rFonts w:cs="Times New Roman"/>
          <w:color w:val="000000" w:themeColor="text1"/>
        </w:rPr>
        <w:t xml:space="preserve"> uptake into the cells. Subsequently plates were put on i</w:t>
      </w:r>
      <w:r>
        <w:rPr>
          <w:rFonts w:cs="Times New Roman"/>
          <w:color w:val="000000" w:themeColor="text1"/>
        </w:rPr>
        <w:t>ce and washed three times with 25</w:t>
      </w:r>
      <w:r w:rsidRPr="0070247C">
        <w:rPr>
          <w:rFonts w:cs="Times New Roman"/>
          <w:color w:val="000000" w:themeColor="text1"/>
        </w:rPr>
        <w:t xml:space="preserve">0 µl of </w:t>
      </w:r>
      <w:proofErr w:type="spellStart"/>
      <w:r w:rsidRPr="0070247C">
        <w:rPr>
          <w:rFonts w:cs="Times New Roman"/>
          <w:color w:val="000000" w:themeColor="text1"/>
        </w:rPr>
        <w:t>KRH</w:t>
      </w:r>
      <w:proofErr w:type="spellEnd"/>
      <w:r w:rsidRPr="0070247C">
        <w:rPr>
          <w:rFonts w:cs="Times New Roman"/>
          <w:color w:val="000000" w:themeColor="text1"/>
        </w:rPr>
        <w:t xml:space="preserve"> with 1% </w:t>
      </w:r>
      <w:proofErr w:type="spellStart"/>
      <w:r w:rsidRPr="0070247C">
        <w:rPr>
          <w:rFonts w:cs="Times New Roman"/>
          <w:color w:val="000000" w:themeColor="text1"/>
        </w:rPr>
        <w:t>BSA</w:t>
      </w:r>
      <w:proofErr w:type="spellEnd"/>
      <w:r w:rsidRPr="0070247C">
        <w:rPr>
          <w:rFonts w:cs="Times New Roman"/>
          <w:color w:val="000000" w:themeColor="text1"/>
        </w:rPr>
        <w:t>. Washing solution was removed</w:t>
      </w:r>
      <w:r>
        <w:rPr>
          <w:rFonts w:cs="Times New Roman"/>
          <w:color w:val="000000" w:themeColor="text1"/>
        </w:rPr>
        <w:t xml:space="preserve"> and 3</w:t>
      </w:r>
      <w:r w:rsidRPr="0070247C">
        <w:rPr>
          <w:rFonts w:cs="Times New Roman"/>
          <w:color w:val="000000" w:themeColor="text1"/>
        </w:rPr>
        <w:t>00 µL</w:t>
      </w:r>
      <w:r>
        <w:rPr>
          <w:rFonts w:cs="Times New Roman"/>
          <w:color w:val="000000" w:themeColor="text1"/>
        </w:rPr>
        <w:t xml:space="preserve"> of </w:t>
      </w:r>
      <w:proofErr w:type="spellStart"/>
      <w:r>
        <w:rPr>
          <w:rFonts w:cs="Times New Roman"/>
          <w:color w:val="000000" w:themeColor="text1"/>
        </w:rPr>
        <w:t>KRH</w:t>
      </w:r>
      <w:proofErr w:type="spellEnd"/>
      <w:r>
        <w:rPr>
          <w:rFonts w:cs="Times New Roman"/>
          <w:color w:val="000000" w:themeColor="text1"/>
        </w:rPr>
        <w:t xml:space="preserve"> with </w:t>
      </w:r>
      <w:r w:rsidRPr="0070247C">
        <w:rPr>
          <w:rFonts w:cs="Times New Roman"/>
          <w:color w:val="000000" w:themeColor="text1"/>
        </w:rPr>
        <w:t>0</w:t>
      </w:r>
      <w:r>
        <w:rPr>
          <w:rFonts w:cs="Times New Roman"/>
          <w:color w:val="000000" w:themeColor="text1"/>
        </w:rPr>
        <w:t xml:space="preserve">.1% fatty acid-free </w:t>
      </w:r>
      <w:proofErr w:type="spellStart"/>
      <w:r>
        <w:rPr>
          <w:rFonts w:cs="Times New Roman"/>
          <w:color w:val="000000" w:themeColor="text1"/>
        </w:rPr>
        <w:t>BSA</w:t>
      </w:r>
      <w:proofErr w:type="spellEnd"/>
      <w:r>
        <w:rPr>
          <w:rFonts w:cs="Times New Roman"/>
          <w:color w:val="000000" w:themeColor="text1"/>
        </w:rPr>
        <w:t xml:space="preserve"> were added to the wells. </w:t>
      </w:r>
      <w:r>
        <w:rPr>
          <w:color w:val="000000"/>
          <w:shd w:val="clear" w:color="auto" w:fill="FFFFFF"/>
        </w:rPr>
        <w:t>The plate was then imaged using </w:t>
      </w:r>
      <w:proofErr w:type="spellStart"/>
      <w:r w:rsidRPr="0074174B">
        <w:t>TROPHOS</w:t>
      </w:r>
      <w:proofErr w:type="spellEnd"/>
      <w:r w:rsidRPr="0074174B">
        <w:t xml:space="preserve"> Plate RUNNER HD cell fluorescence imaging instrument</w:t>
      </w:r>
      <w:r w:rsidR="00AC5B3A">
        <w:t xml:space="preserve"> (currently marketed as </w:t>
      </w:r>
      <w:proofErr w:type="spellStart"/>
      <w:r w:rsidR="00AC5B3A">
        <w:t>Dioscure</w:t>
      </w:r>
      <w:proofErr w:type="spellEnd"/>
      <w:r w:rsidR="00AC5B3A">
        <w:t xml:space="preserve"> HD Imager, </w:t>
      </w:r>
      <w:proofErr w:type="spellStart"/>
      <w:r w:rsidR="00AC5B3A">
        <w:t>Dioscure</w:t>
      </w:r>
      <w:proofErr w:type="spellEnd"/>
      <w:r w:rsidR="00AC5B3A">
        <w:t>, Marseille, France)</w:t>
      </w:r>
      <w:r w:rsidRPr="0074174B">
        <w:t>.</w:t>
      </w:r>
      <w:r>
        <w:t xml:space="preserve"> </w:t>
      </w:r>
      <w:r w:rsidRPr="006674CE">
        <w:t xml:space="preserve">Total cell fluorescence from </w:t>
      </w:r>
      <w:proofErr w:type="spellStart"/>
      <w:r>
        <w:t>sulforhodamine</w:t>
      </w:r>
      <w:proofErr w:type="spellEnd"/>
      <w:r>
        <w:t xml:space="preserve"> 101 </w:t>
      </w:r>
      <w:r w:rsidRPr="006674CE">
        <w:t>was determined u</w:t>
      </w:r>
      <w:r w:rsidR="00AC5B3A">
        <w:t>sing the Tina analysis package provided by the manufacturer</w:t>
      </w:r>
      <w:r w:rsidRPr="006674CE">
        <w:t>.</w:t>
      </w:r>
      <w:r>
        <w:t xml:space="preserve"> After imaging, the buffer was removed and the plate washed with PBS, fixed with 4% formaldehyde and then stained with 0.1µM </w:t>
      </w:r>
      <w:proofErr w:type="spellStart"/>
      <w:r>
        <w:t>DAPI</w:t>
      </w:r>
      <w:proofErr w:type="spellEnd"/>
      <w:r>
        <w:t xml:space="preserve">. </w:t>
      </w:r>
      <w:r>
        <w:rPr>
          <w:color w:val="000000"/>
          <w:shd w:val="clear" w:color="auto" w:fill="FFFFFF"/>
        </w:rPr>
        <w:t>The plate was then imaged again using </w:t>
      </w:r>
      <w:proofErr w:type="spellStart"/>
      <w:r w:rsidRPr="0074174B">
        <w:t>TROPHOS</w:t>
      </w:r>
      <w:proofErr w:type="spellEnd"/>
      <w:r w:rsidRPr="0074174B">
        <w:t xml:space="preserve"> Plate RUNNER HD </w:t>
      </w:r>
      <w:r>
        <w:t>and t</w:t>
      </w:r>
      <w:r w:rsidRPr="006674CE">
        <w:t xml:space="preserve">otal cell fluorescence from </w:t>
      </w:r>
      <w:proofErr w:type="spellStart"/>
      <w:r>
        <w:t>DAPI</w:t>
      </w:r>
      <w:proofErr w:type="spellEnd"/>
      <w:r>
        <w:t xml:space="preserve"> </w:t>
      </w:r>
      <w:r w:rsidRPr="006674CE">
        <w:t>was determined using the</w:t>
      </w:r>
      <w:r>
        <w:t xml:space="preserve"> Tina analysis package</w:t>
      </w:r>
      <w:r w:rsidRPr="006674CE">
        <w:t>.</w:t>
      </w:r>
      <w:r>
        <w:t xml:space="preserve"> </w:t>
      </w:r>
      <w:proofErr w:type="spellStart"/>
      <w:r>
        <w:t>Sulforhodamine</w:t>
      </w:r>
      <w:proofErr w:type="spellEnd"/>
      <w:r>
        <w:t xml:space="preserve"> 101 fluorescence was then normalized to </w:t>
      </w:r>
      <w:proofErr w:type="spellStart"/>
      <w:r>
        <w:t>DAPI</w:t>
      </w:r>
      <w:proofErr w:type="spellEnd"/>
      <w:r>
        <w:t xml:space="preserve"> fluorescence for each well</w:t>
      </w:r>
      <w:r w:rsidR="0074412A">
        <w:t xml:space="preserve"> </w:t>
      </w:r>
    </w:p>
    <w:p w:rsidR="0074412A" w:rsidRDefault="0074412A">
      <w:pPr>
        <w:rPr>
          <w:b/>
          <w:noProof/>
          <w:color w:val="000000" w:themeColor="text1"/>
        </w:rPr>
      </w:pPr>
      <w:r>
        <w:rPr>
          <w:b/>
          <w:noProof/>
          <w:color w:val="000000" w:themeColor="text1"/>
        </w:rPr>
        <w:br w:type="page"/>
      </w:r>
    </w:p>
    <w:p w:rsidR="0074412A" w:rsidRDefault="008934A7" w:rsidP="0074412A">
      <w:pPr>
        <w:spacing w:line="360" w:lineRule="auto"/>
        <w:rPr>
          <w:color w:val="000000" w:themeColor="text1"/>
        </w:rPr>
      </w:pPr>
      <w:r>
        <w:rPr>
          <w:noProof/>
          <w:color w:val="000000" w:themeColor="text1"/>
        </w:rPr>
        <w:lastRenderedPageBreak/>
        <w:drawing>
          <wp:inline distT="0" distB="0" distL="0" distR="0">
            <wp:extent cx="5756910" cy="4508500"/>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nx Suppl FigS3.png"/>
                    <pic:cNvPicPr/>
                  </pic:nvPicPr>
                  <pic:blipFill>
                    <a:blip r:embed="rId6">
                      <a:extLst>
                        <a:ext uri="{28A0092B-C50C-407E-A947-70E740481C1C}">
                          <a14:useLocalDpi xmlns:a14="http://schemas.microsoft.com/office/drawing/2010/main" val="0"/>
                        </a:ext>
                      </a:extLst>
                    </a:blip>
                    <a:stretch>
                      <a:fillRect/>
                    </a:stretch>
                  </pic:blipFill>
                  <pic:spPr>
                    <a:xfrm>
                      <a:off x="0" y="0"/>
                      <a:ext cx="5756910" cy="4508500"/>
                    </a:xfrm>
                    <a:prstGeom prst="rect">
                      <a:avLst/>
                    </a:prstGeom>
                  </pic:spPr>
                </pic:pic>
              </a:graphicData>
            </a:graphic>
          </wp:inline>
        </w:drawing>
      </w:r>
    </w:p>
    <w:p w:rsidR="00B30251" w:rsidRDefault="00B30251" w:rsidP="0074412A">
      <w:pPr>
        <w:spacing w:line="360" w:lineRule="auto"/>
        <w:rPr>
          <w:color w:val="000000" w:themeColor="text1"/>
        </w:rPr>
      </w:pPr>
    </w:p>
    <w:p w:rsidR="00A45734" w:rsidRDefault="00B30251" w:rsidP="0074412A">
      <w:pPr>
        <w:spacing w:line="360" w:lineRule="auto"/>
        <w:rPr>
          <w:color w:val="000000" w:themeColor="text1"/>
        </w:rPr>
      </w:pPr>
      <w:r>
        <w:rPr>
          <w:b/>
          <w:color w:val="000000" w:themeColor="text1"/>
        </w:rPr>
        <w:t xml:space="preserve">Supplementary Figure S3. </w:t>
      </w:r>
      <w:r>
        <w:rPr>
          <w:color w:val="000000" w:themeColor="text1"/>
        </w:rPr>
        <w:t xml:space="preserve">Cellular uptake of SR101 by T84 cells. </w:t>
      </w:r>
      <w:r w:rsidR="00732928">
        <w:rPr>
          <w:color w:val="000000" w:themeColor="text1"/>
        </w:rPr>
        <w:t xml:space="preserve">Panel A shows low resolution photographs of the wells, with fluorescence of either SR101 (top) or </w:t>
      </w:r>
      <w:proofErr w:type="spellStart"/>
      <w:r w:rsidR="00732928">
        <w:rPr>
          <w:color w:val="000000" w:themeColor="text1"/>
        </w:rPr>
        <w:t>DAPI</w:t>
      </w:r>
      <w:proofErr w:type="spellEnd"/>
      <w:r w:rsidR="00732928">
        <w:rPr>
          <w:color w:val="000000" w:themeColor="text1"/>
        </w:rPr>
        <w:t xml:space="preserve"> (bottom). The wells were incubated with either vehicle or 10 µM SR101. The right panel shows a higher resolution of SR101 fluorescence from another experiment, where the intracellular fluorescence can clearly be seen. Panels B-D show </w:t>
      </w:r>
      <w:r w:rsidR="00653E7C">
        <w:rPr>
          <w:color w:val="000000" w:themeColor="text1"/>
        </w:rPr>
        <w:t>SR101</w:t>
      </w:r>
      <w:r w:rsidR="00732928">
        <w:rPr>
          <w:color w:val="000000" w:themeColor="text1"/>
        </w:rPr>
        <w:t xml:space="preserve"> fluorescence normalised to the </w:t>
      </w:r>
      <w:proofErr w:type="spellStart"/>
      <w:r w:rsidR="00732928">
        <w:rPr>
          <w:color w:val="000000" w:themeColor="text1"/>
        </w:rPr>
        <w:t>DAPI</w:t>
      </w:r>
      <w:proofErr w:type="spellEnd"/>
      <w:r w:rsidR="00732928">
        <w:rPr>
          <w:color w:val="000000" w:themeColor="text1"/>
        </w:rPr>
        <w:t xml:space="preserve"> fluorescence. The lines connect data from the same experiment at each K</w:t>
      </w:r>
      <w:r w:rsidR="00732928" w:rsidRPr="00732928">
        <w:rPr>
          <w:color w:val="000000" w:themeColor="text1"/>
          <w:vertAlign w:val="superscript"/>
        </w:rPr>
        <w:t>+</w:t>
      </w:r>
      <w:r w:rsidR="00732928">
        <w:rPr>
          <w:color w:val="000000" w:themeColor="text1"/>
        </w:rPr>
        <w:t xml:space="preserve"> concentration. </w:t>
      </w:r>
      <w:r w:rsidR="004B1FFA">
        <w:rPr>
          <w:color w:val="000000" w:themeColor="text1"/>
        </w:rPr>
        <w:t>Note that the y-axes are log scale</w:t>
      </w:r>
      <w:r w:rsidR="0074412A">
        <w:rPr>
          <w:color w:val="000000" w:themeColor="text1"/>
        </w:rPr>
        <w:t>.</w:t>
      </w:r>
      <w:r w:rsidR="004B1FFA">
        <w:rPr>
          <w:color w:val="000000" w:themeColor="text1"/>
        </w:rPr>
        <w:t xml:space="preserve"> </w:t>
      </w:r>
      <w:r w:rsidR="00732928">
        <w:rPr>
          <w:color w:val="000000" w:themeColor="text1"/>
        </w:rPr>
        <w:t xml:space="preserve">For Panel </w:t>
      </w:r>
      <w:r w:rsidR="00067A29">
        <w:rPr>
          <w:color w:val="000000" w:themeColor="text1"/>
        </w:rPr>
        <w:t>C</w:t>
      </w:r>
      <w:r w:rsidR="00732928">
        <w:rPr>
          <w:color w:val="000000" w:themeColor="text1"/>
        </w:rPr>
        <w:t xml:space="preserve">, a two-way repeated measures ANOVA gave </w:t>
      </w:r>
      <w:r w:rsidR="00067A29">
        <w:rPr>
          <w:color w:val="000000" w:themeColor="text1"/>
        </w:rPr>
        <w:t>P values of 0.00086, 0.0062 and 0.087 for effect of treatment, K</w:t>
      </w:r>
      <w:r w:rsidR="00067A29" w:rsidRPr="00653E7C">
        <w:rPr>
          <w:color w:val="000000" w:themeColor="text1"/>
          <w:vertAlign w:val="superscript"/>
        </w:rPr>
        <w:t>+</w:t>
      </w:r>
      <w:r w:rsidR="00067A29">
        <w:rPr>
          <w:color w:val="000000" w:themeColor="text1"/>
        </w:rPr>
        <w:t xml:space="preserve"> and treatment x K</w:t>
      </w:r>
      <w:r w:rsidR="00067A29" w:rsidRPr="00653E7C">
        <w:rPr>
          <w:color w:val="000000" w:themeColor="text1"/>
          <w:vertAlign w:val="superscript"/>
        </w:rPr>
        <w:t>+</w:t>
      </w:r>
      <w:r w:rsidR="00067A29">
        <w:rPr>
          <w:color w:val="000000" w:themeColor="text1"/>
        </w:rPr>
        <w:t xml:space="preserve">, respectively. For Panel D, </w:t>
      </w:r>
      <w:r w:rsidR="00732928">
        <w:rPr>
          <w:color w:val="000000" w:themeColor="text1"/>
        </w:rPr>
        <w:t>P values of 0.0</w:t>
      </w:r>
      <w:r w:rsidR="00653E7C">
        <w:rPr>
          <w:color w:val="000000" w:themeColor="text1"/>
        </w:rPr>
        <w:t>57</w:t>
      </w:r>
      <w:r w:rsidR="00732928">
        <w:rPr>
          <w:color w:val="000000" w:themeColor="text1"/>
        </w:rPr>
        <w:t>, 0.</w:t>
      </w:r>
      <w:r w:rsidR="00653E7C">
        <w:rPr>
          <w:color w:val="000000" w:themeColor="text1"/>
        </w:rPr>
        <w:t>019</w:t>
      </w:r>
      <w:r w:rsidR="00732928">
        <w:rPr>
          <w:color w:val="000000" w:themeColor="text1"/>
        </w:rPr>
        <w:t xml:space="preserve"> and 0.8</w:t>
      </w:r>
      <w:r w:rsidR="00653E7C">
        <w:rPr>
          <w:color w:val="000000" w:themeColor="text1"/>
        </w:rPr>
        <w:t>2</w:t>
      </w:r>
      <w:r w:rsidR="00732928">
        <w:rPr>
          <w:color w:val="000000" w:themeColor="text1"/>
        </w:rPr>
        <w:t xml:space="preserve"> for the effects of </w:t>
      </w:r>
      <w:proofErr w:type="spellStart"/>
      <w:r w:rsidR="00732928">
        <w:rPr>
          <w:color w:val="000000" w:themeColor="text1"/>
        </w:rPr>
        <w:t>AEA</w:t>
      </w:r>
      <w:proofErr w:type="spellEnd"/>
      <w:r w:rsidR="00732928">
        <w:rPr>
          <w:color w:val="000000" w:themeColor="text1"/>
        </w:rPr>
        <w:t>, K</w:t>
      </w:r>
      <w:r w:rsidR="00732928" w:rsidRPr="00653E7C">
        <w:rPr>
          <w:color w:val="000000" w:themeColor="text1"/>
          <w:vertAlign w:val="superscript"/>
        </w:rPr>
        <w:t>+</w:t>
      </w:r>
      <w:r w:rsidR="00732928">
        <w:rPr>
          <w:color w:val="000000" w:themeColor="text1"/>
        </w:rPr>
        <w:t xml:space="preserve"> and </w:t>
      </w:r>
      <w:proofErr w:type="spellStart"/>
      <w:r w:rsidR="00732928">
        <w:rPr>
          <w:color w:val="000000" w:themeColor="text1"/>
        </w:rPr>
        <w:t>AEA</w:t>
      </w:r>
      <w:proofErr w:type="spellEnd"/>
      <w:r w:rsidR="00732928">
        <w:rPr>
          <w:color w:val="000000" w:themeColor="text1"/>
        </w:rPr>
        <w:t xml:space="preserve"> x K</w:t>
      </w:r>
      <w:r w:rsidR="00732928" w:rsidRPr="00653E7C">
        <w:rPr>
          <w:color w:val="000000" w:themeColor="text1"/>
          <w:vertAlign w:val="superscript"/>
        </w:rPr>
        <w:t>+</w:t>
      </w:r>
      <w:r w:rsidR="00732928">
        <w:rPr>
          <w:color w:val="000000" w:themeColor="text1"/>
        </w:rPr>
        <w:t>, respectively</w:t>
      </w:r>
      <w:r w:rsidR="00067A29">
        <w:rPr>
          <w:color w:val="000000" w:themeColor="text1"/>
        </w:rPr>
        <w:t>, were found.</w:t>
      </w:r>
      <w:r w:rsidR="0074412A">
        <w:rPr>
          <w:color w:val="000000" w:themeColor="text1"/>
        </w:rPr>
        <w:t xml:space="preserve">  </w:t>
      </w:r>
    </w:p>
    <w:p w:rsidR="009A5C44" w:rsidRPr="00B30251" w:rsidRDefault="009A5C44" w:rsidP="00C20E44">
      <w:pPr>
        <w:rPr>
          <w:color w:val="000000" w:themeColor="text1"/>
        </w:rPr>
      </w:pPr>
    </w:p>
    <w:sectPr w:rsidR="009A5C44" w:rsidRPr="00B30251" w:rsidSect="00EA143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C44"/>
    <w:rsid w:val="00010854"/>
    <w:rsid w:val="00014632"/>
    <w:rsid w:val="00027496"/>
    <w:rsid w:val="00033424"/>
    <w:rsid w:val="000369F5"/>
    <w:rsid w:val="000445F5"/>
    <w:rsid w:val="0005424B"/>
    <w:rsid w:val="000569E2"/>
    <w:rsid w:val="00067A29"/>
    <w:rsid w:val="000808F3"/>
    <w:rsid w:val="000855E1"/>
    <w:rsid w:val="000913A8"/>
    <w:rsid w:val="00092F9F"/>
    <w:rsid w:val="0009411F"/>
    <w:rsid w:val="000967CB"/>
    <w:rsid w:val="000A5002"/>
    <w:rsid w:val="001025C2"/>
    <w:rsid w:val="00102757"/>
    <w:rsid w:val="00114670"/>
    <w:rsid w:val="00117828"/>
    <w:rsid w:val="001318C0"/>
    <w:rsid w:val="0015702C"/>
    <w:rsid w:val="00172E28"/>
    <w:rsid w:val="0017415C"/>
    <w:rsid w:val="001949D2"/>
    <w:rsid w:val="001C7298"/>
    <w:rsid w:val="001E7334"/>
    <w:rsid w:val="001F2CCE"/>
    <w:rsid w:val="001F4BAE"/>
    <w:rsid w:val="00210E75"/>
    <w:rsid w:val="00244C03"/>
    <w:rsid w:val="0024701C"/>
    <w:rsid w:val="00254866"/>
    <w:rsid w:val="0026312E"/>
    <w:rsid w:val="00270CAC"/>
    <w:rsid w:val="00271732"/>
    <w:rsid w:val="002936A7"/>
    <w:rsid w:val="002957DB"/>
    <w:rsid w:val="002B686B"/>
    <w:rsid w:val="002C77E3"/>
    <w:rsid w:val="002D572B"/>
    <w:rsid w:val="002E3F7C"/>
    <w:rsid w:val="002F1C3E"/>
    <w:rsid w:val="00307567"/>
    <w:rsid w:val="0031194C"/>
    <w:rsid w:val="00320C10"/>
    <w:rsid w:val="003333DB"/>
    <w:rsid w:val="003343FC"/>
    <w:rsid w:val="0033543E"/>
    <w:rsid w:val="0033696C"/>
    <w:rsid w:val="00342015"/>
    <w:rsid w:val="0034308B"/>
    <w:rsid w:val="0035236B"/>
    <w:rsid w:val="00365146"/>
    <w:rsid w:val="003844D7"/>
    <w:rsid w:val="003A6B70"/>
    <w:rsid w:val="003B1A5D"/>
    <w:rsid w:val="003B2895"/>
    <w:rsid w:val="003B454E"/>
    <w:rsid w:val="003B7CAC"/>
    <w:rsid w:val="003C28D7"/>
    <w:rsid w:val="003F2736"/>
    <w:rsid w:val="003F6134"/>
    <w:rsid w:val="00420F15"/>
    <w:rsid w:val="00427A05"/>
    <w:rsid w:val="00436824"/>
    <w:rsid w:val="00444404"/>
    <w:rsid w:val="00461D80"/>
    <w:rsid w:val="00471215"/>
    <w:rsid w:val="00475827"/>
    <w:rsid w:val="004A2389"/>
    <w:rsid w:val="004B1FFA"/>
    <w:rsid w:val="004C3FDA"/>
    <w:rsid w:val="004C647B"/>
    <w:rsid w:val="004D1B50"/>
    <w:rsid w:val="004D7F31"/>
    <w:rsid w:val="004F233E"/>
    <w:rsid w:val="004F6003"/>
    <w:rsid w:val="00507A87"/>
    <w:rsid w:val="00515029"/>
    <w:rsid w:val="005275BC"/>
    <w:rsid w:val="00532111"/>
    <w:rsid w:val="00562406"/>
    <w:rsid w:val="00562F4A"/>
    <w:rsid w:val="00576306"/>
    <w:rsid w:val="00576387"/>
    <w:rsid w:val="0058663A"/>
    <w:rsid w:val="005A182C"/>
    <w:rsid w:val="005A266C"/>
    <w:rsid w:val="005C471C"/>
    <w:rsid w:val="005E278F"/>
    <w:rsid w:val="005F3FD1"/>
    <w:rsid w:val="00632571"/>
    <w:rsid w:val="00645D7A"/>
    <w:rsid w:val="00653E7C"/>
    <w:rsid w:val="00694E5B"/>
    <w:rsid w:val="006F0288"/>
    <w:rsid w:val="006F764F"/>
    <w:rsid w:val="0070287C"/>
    <w:rsid w:val="00703FC7"/>
    <w:rsid w:val="00711DDA"/>
    <w:rsid w:val="00716A2E"/>
    <w:rsid w:val="00732928"/>
    <w:rsid w:val="00735B10"/>
    <w:rsid w:val="0074233C"/>
    <w:rsid w:val="00743786"/>
    <w:rsid w:val="0074412A"/>
    <w:rsid w:val="0075462F"/>
    <w:rsid w:val="00770BF0"/>
    <w:rsid w:val="00774B9D"/>
    <w:rsid w:val="007763B6"/>
    <w:rsid w:val="00780376"/>
    <w:rsid w:val="0078538E"/>
    <w:rsid w:val="00797E30"/>
    <w:rsid w:val="007A610F"/>
    <w:rsid w:val="007B5875"/>
    <w:rsid w:val="007B6A3A"/>
    <w:rsid w:val="007D299F"/>
    <w:rsid w:val="007D3719"/>
    <w:rsid w:val="007D428F"/>
    <w:rsid w:val="007D61EB"/>
    <w:rsid w:val="007E1DB8"/>
    <w:rsid w:val="00800934"/>
    <w:rsid w:val="008018F4"/>
    <w:rsid w:val="00813125"/>
    <w:rsid w:val="0086231B"/>
    <w:rsid w:val="00881C28"/>
    <w:rsid w:val="008934A7"/>
    <w:rsid w:val="00895C4D"/>
    <w:rsid w:val="008B15F6"/>
    <w:rsid w:val="008B54A1"/>
    <w:rsid w:val="008C0DB2"/>
    <w:rsid w:val="00902401"/>
    <w:rsid w:val="0093792F"/>
    <w:rsid w:val="0094261C"/>
    <w:rsid w:val="0098088C"/>
    <w:rsid w:val="00981571"/>
    <w:rsid w:val="009816CF"/>
    <w:rsid w:val="0098422A"/>
    <w:rsid w:val="00986994"/>
    <w:rsid w:val="00990219"/>
    <w:rsid w:val="009A24DC"/>
    <w:rsid w:val="009A5C44"/>
    <w:rsid w:val="009B031C"/>
    <w:rsid w:val="009B0E96"/>
    <w:rsid w:val="009B30C3"/>
    <w:rsid w:val="009E2040"/>
    <w:rsid w:val="009F3A6C"/>
    <w:rsid w:val="009F5DE8"/>
    <w:rsid w:val="00A246EB"/>
    <w:rsid w:val="00A267EE"/>
    <w:rsid w:val="00A37B47"/>
    <w:rsid w:val="00A40476"/>
    <w:rsid w:val="00A45734"/>
    <w:rsid w:val="00A51204"/>
    <w:rsid w:val="00A546BA"/>
    <w:rsid w:val="00A54E55"/>
    <w:rsid w:val="00A57A9B"/>
    <w:rsid w:val="00A75112"/>
    <w:rsid w:val="00AA1592"/>
    <w:rsid w:val="00AA64EB"/>
    <w:rsid w:val="00AB5717"/>
    <w:rsid w:val="00AC02D4"/>
    <w:rsid w:val="00AC5B3A"/>
    <w:rsid w:val="00AD1A0A"/>
    <w:rsid w:val="00AE1D96"/>
    <w:rsid w:val="00B047F0"/>
    <w:rsid w:val="00B05C3E"/>
    <w:rsid w:val="00B06CDB"/>
    <w:rsid w:val="00B20263"/>
    <w:rsid w:val="00B30251"/>
    <w:rsid w:val="00B6055D"/>
    <w:rsid w:val="00BA506D"/>
    <w:rsid w:val="00BB7097"/>
    <w:rsid w:val="00BC1EF6"/>
    <w:rsid w:val="00BD3B8C"/>
    <w:rsid w:val="00BF5F9B"/>
    <w:rsid w:val="00C20E44"/>
    <w:rsid w:val="00C211C4"/>
    <w:rsid w:val="00C21753"/>
    <w:rsid w:val="00C2744F"/>
    <w:rsid w:val="00C3443A"/>
    <w:rsid w:val="00C51B21"/>
    <w:rsid w:val="00C75D04"/>
    <w:rsid w:val="00C94E98"/>
    <w:rsid w:val="00CA4BC6"/>
    <w:rsid w:val="00CB7C98"/>
    <w:rsid w:val="00CE5352"/>
    <w:rsid w:val="00CF2AC0"/>
    <w:rsid w:val="00CF6892"/>
    <w:rsid w:val="00D11451"/>
    <w:rsid w:val="00D324AD"/>
    <w:rsid w:val="00D406BF"/>
    <w:rsid w:val="00D5005E"/>
    <w:rsid w:val="00D72F30"/>
    <w:rsid w:val="00D94B55"/>
    <w:rsid w:val="00DA01DD"/>
    <w:rsid w:val="00DB4379"/>
    <w:rsid w:val="00DF4886"/>
    <w:rsid w:val="00E0203A"/>
    <w:rsid w:val="00E04D50"/>
    <w:rsid w:val="00E1476A"/>
    <w:rsid w:val="00E16A63"/>
    <w:rsid w:val="00E17189"/>
    <w:rsid w:val="00E21656"/>
    <w:rsid w:val="00E24473"/>
    <w:rsid w:val="00E24F10"/>
    <w:rsid w:val="00E2722F"/>
    <w:rsid w:val="00E378C8"/>
    <w:rsid w:val="00E4063E"/>
    <w:rsid w:val="00E50094"/>
    <w:rsid w:val="00E81155"/>
    <w:rsid w:val="00E85007"/>
    <w:rsid w:val="00E85C4C"/>
    <w:rsid w:val="00E9518F"/>
    <w:rsid w:val="00EA1432"/>
    <w:rsid w:val="00EB2401"/>
    <w:rsid w:val="00ED0555"/>
    <w:rsid w:val="00ED4628"/>
    <w:rsid w:val="00EE1289"/>
    <w:rsid w:val="00F06C9D"/>
    <w:rsid w:val="00F141B9"/>
    <w:rsid w:val="00F306C6"/>
    <w:rsid w:val="00F4350D"/>
    <w:rsid w:val="00F54A86"/>
    <w:rsid w:val="00F56D4F"/>
    <w:rsid w:val="00F57298"/>
    <w:rsid w:val="00F67D95"/>
    <w:rsid w:val="00F7487E"/>
    <w:rsid w:val="00F82D46"/>
    <w:rsid w:val="00F834BF"/>
    <w:rsid w:val="00F852CE"/>
    <w:rsid w:val="00FB6A1B"/>
    <w:rsid w:val="00FC2901"/>
    <w:rsid w:val="00FC2B2C"/>
    <w:rsid w:val="00FC5A10"/>
    <w:rsid w:val="00FF3D5B"/>
    <w:rsid w:val="00FF64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7F80"/>
  <w14:defaultImageDpi w14:val="32767"/>
  <w15:chartTrackingRefBased/>
  <w15:docId w15:val="{B26C23B5-DD7E-E94B-B6E6-B7AE96D4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A5C44"/>
    <w:rPr>
      <w:rFonts w:ascii="Times New Roman" w:eastAsiaTheme="minorEastAsia" w:hAnsi="Times New Roman"/>
      <w:lang w:val="en-GB"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current-selection">
    <w:name w:val="current-selection"/>
    <w:basedOn w:val="Standardstycketeckensnitt"/>
    <w:rsid w:val="0024701C"/>
  </w:style>
  <w:style w:type="character" w:customStyle="1" w:styleId="a">
    <w:name w:val="_"/>
    <w:basedOn w:val="Standardstycketeckensnitt"/>
    <w:rsid w:val="0024701C"/>
  </w:style>
  <w:style w:type="character" w:customStyle="1" w:styleId="enhanced-reference">
    <w:name w:val="enhanced-reference"/>
    <w:basedOn w:val="Standardstycketeckensnitt"/>
    <w:rsid w:val="0024701C"/>
  </w:style>
  <w:style w:type="paragraph" w:styleId="Ballongtext">
    <w:name w:val="Balloon Text"/>
    <w:basedOn w:val="Normal"/>
    <w:link w:val="BallongtextChar"/>
    <w:uiPriority w:val="99"/>
    <w:semiHidden/>
    <w:unhideWhenUsed/>
    <w:rsid w:val="0070287C"/>
    <w:rPr>
      <w:rFonts w:eastAsiaTheme="minorHAnsi" w:cs="Times New Roman"/>
      <w:sz w:val="18"/>
      <w:szCs w:val="18"/>
      <w:lang w:eastAsia="en-US"/>
    </w:rPr>
  </w:style>
  <w:style w:type="character" w:customStyle="1" w:styleId="BallongtextChar">
    <w:name w:val="Ballongtext Char"/>
    <w:basedOn w:val="Standardstycketeckensnitt"/>
    <w:link w:val="Ballongtext"/>
    <w:uiPriority w:val="99"/>
    <w:semiHidden/>
    <w:rsid w:val="0070287C"/>
    <w:rPr>
      <w:rFonts w:ascii="Times New Roman" w:hAnsi="Times New Roman" w:cs="Times New Roman"/>
      <w:sz w:val="18"/>
      <w:szCs w:val="18"/>
      <w:lang w:val="en-GB"/>
    </w:rPr>
  </w:style>
  <w:style w:type="table" w:styleId="Tabellrutnt">
    <w:name w:val="Table Grid"/>
    <w:basedOn w:val="Normaltabell"/>
    <w:uiPriority w:val="39"/>
    <w:rsid w:val="00F6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472156">
      <w:bodyDiv w:val="1"/>
      <w:marLeft w:val="0"/>
      <w:marRight w:val="0"/>
      <w:marTop w:val="0"/>
      <w:marBottom w:val="0"/>
      <w:divBdr>
        <w:top w:val="none" w:sz="0" w:space="0" w:color="auto"/>
        <w:left w:val="none" w:sz="0" w:space="0" w:color="auto"/>
        <w:bottom w:val="none" w:sz="0" w:space="0" w:color="auto"/>
        <w:right w:val="none" w:sz="0" w:space="0" w:color="auto"/>
      </w:divBdr>
      <w:divsChild>
        <w:div w:id="2101832666">
          <w:marLeft w:val="0"/>
          <w:marRight w:val="0"/>
          <w:marTop w:val="0"/>
          <w:marBottom w:val="0"/>
          <w:divBdr>
            <w:top w:val="none" w:sz="0" w:space="0" w:color="auto"/>
            <w:left w:val="none" w:sz="0" w:space="0" w:color="auto"/>
            <w:bottom w:val="none" w:sz="0" w:space="0" w:color="auto"/>
            <w:right w:val="none" w:sz="0" w:space="0" w:color="auto"/>
          </w:divBdr>
        </w:div>
        <w:div w:id="529296810">
          <w:marLeft w:val="0"/>
          <w:marRight w:val="0"/>
          <w:marTop w:val="0"/>
          <w:marBottom w:val="0"/>
          <w:divBdr>
            <w:top w:val="none" w:sz="0" w:space="0" w:color="auto"/>
            <w:left w:val="none" w:sz="0" w:space="0" w:color="auto"/>
            <w:bottom w:val="none" w:sz="0" w:space="0" w:color="auto"/>
            <w:right w:val="none" w:sz="0" w:space="0" w:color="auto"/>
          </w:divBdr>
        </w:div>
        <w:div w:id="1190997285">
          <w:marLeft w:val="0"/>
          <w:marRight w:val="0"/>
          <w:marTop w:val="0"/>
          <w:marBottom w:val="0"/>
          <w:divBdr>
            <w:top w:val="none" w:sz="0" w:space="0" w:color="auto"/>
            <w:left w:val="none" w:sz="0" w:space="0" w:color="auto"/>
            <w:bottom w:val="none" w:sz="0" w:space="0" w:color="auto"/>
            <w:right w:val="none" w:sz="0" w:space="0" w:color="auto"/>
          </w:divBdr>
        </w:div>
        <w:div w:id="58601454">
          <w:marLeft w:val="0"/>
          <w:marRight w:val="0"/>
          <w:marTop w:val="0"/>
          <w:marBottom w:val="0"/>
          <w:divBdr>
            <w:top w:val="none" w:sz="0" w:space="0" w:color="auto"/>
            <w:left w:val="none" w:sz="0" w:space="0" w:color="auto"/>
            <w:bottom w:val="none" w:sz="0" w:space="0" w:color="auto"/>
            <w:right w:val="none" w:sz="0" w:space="0" w:color="auto"/>
          </w:divBdr>
        </w:div>
        <w:div w:id="1198078222">
          <w:marLeft w:val="0"/>
          <w:marRight w:val="0"/>
          <w:marTop w:val="0"/>
          <w:marBottom w:val="0"/>
          <w:divBdr>
            <w:top w:val="none" w:sz="0" w:space="0" w:color="auto"/>
            <w:left w:val="none" w:sz="0" w:space="0" w:color="auto"/>
            <w:bottom w:val="none" w:sz="0" w:space="0" w:color="auto"/>
            <w:right w:val="none" w:sz="0" w:space="0" w:color="auto"/>
          </w:divBdr>
        </w:div>
        <w:div w:id="1999989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743</Words>
  <Characters>3940</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Office-användare</dc:creator>
  <cp:keywords/>
  <dc:description/>
  <cp:lastModifiedBy>Christopher Fowler</cp:lastModifiedBy>
  <cp:revision>11</cp:revision>
  <cp:lastPrinted>2019-02-19T14:28:00Z</cp:lastPrinted>
  <dcterms:created xsi:type="dcterms:W3CDTF">2019-02-19T14:24:00Z</dcterms:created>
  <dcterms:modified xsi:type="dcterms:W3CDTF">2019-04-25T06:58:00Z</dcterms:modified>
</cp:coreProperties>
</file>