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5119" w14:textId="533CC669" w:rsidR="00135488" w:rsidRDefault="00135488">
      <w:pPr>
        <w:widowControl/>
        <w:jc w:val="left"/>
      </w:pPr>
    </w:p>
    <w:p w14:paraId="34CBCAEA" w14:textId="47D80B9B" w:rsidR="00F57F67" w:rsidRDefault="00E87B6C" w:rsidP="00E87B6C">
      <w:pPr>
        <w:jc w:val="center"/>
      </w:pPr>
      <w:r w:rsidRPr="00E87B6C">
        <w:rPr>
          <w:noProof/>
        </w:rPr>
        <w:drawing>
          <wp:inline distT="0" distB="0" distL="0" distR="0" wp14:anchorId="529A0ACA" wp14:editId="0F0F7B12">
            <wp:extent cx="8863330" cy="47326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3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9EBA4" w14:textId="1C2620DA" w:rsidR="00E728D1" w:rsidRDefault="00E87B6C" w:rsidP="006F0EE5">
      <w:pPr>
        <w:spacing w:line="360" w:lineRule="auto"/>
        <w:rPr>
          <w:rFonts w:ascii="Times New Roman" w:hAnsi="Times New Roman" w:cs="Times New Roman"/>
          <w:sz w:val="24"/>
          <w:szCs w:val="28"/>
        </w:rPr>
        <w:sectPr w:rsidR="00E728D1" w:rsidSect="0013548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Hlk113009345"/>
      <w:r w:rsidRPr="00590267">
        <w:rPr>
          <w:rFonts w:ascii="Times New Roman" w:hAnsi="Times New Roman" w:cs="Times New Roman"/>
          <w:b/>
          <w:bCs/>
          <w:sz w:val="24"/>
          <w:szCs w:val="28"/>
        </w:rPr>
        <w:t>Figure S</w:t>
      </w:r>
      <w:bookmarkEnd w:id="0"/>
      <w:r w:rsidR="001D0021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Pr="00590267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E87B6C">
        <w:rPr>
          <w:rFonts w:ascii="Times New Roman" w:hAnsi="Times New Roman" w:cs="Times New Roman"/>
          <w:sz w:val="24"/>
          <w:szCs w:val="28"/>
        </w:rPr>
        <w:t xml:space="preserve"> Total ion (Base peak) chromatograms of PEFC at positive mode (A) and negative mode (B).</w:t>
      </w:r>
    </w:p>
    <w:p w14:paraId="247C1ECC" w14:textId="53C1BEA5" w:rsidR="00D42C08" w:rsidRDefault="00AA77C2" w:rsidP="00AA77C2">
      <w:pPr>
        <w:spacing w:line="480" w:lineRule="auto"/>
        <w:ind w:firstLineChars="400" w:firstLine="960"/>
        <w:rPr>
          <w:rFonts w:ascii="Times New Roman" w:hAnsi="Times New Roman" w:cs="Times New Roman"/>
          <w:noProof/>
          <w:sz w:val="24"/>
          <w:szCs w:val="28"/>
        </w:rPr>
      </w:pPr>
      <w:r w:rsidRPr="00AA77C2">
        <w:rPr>
          <w:rFonts w:ascii="Times New Roman" w:hAnsi="Times New Roman" w:cs="Times New Roman"/>
          <w:noProof/>
          <w:sz w:val="24"/>
          <w:szCs w:val="28"/>
        </w:rPr>
        <w:lastRenderedPageBreak/>
        <w:t>We subsequently quantitatively analyzed Ligustilide (the most abundant component in PEFC) with high-performance liquid chromatography (HPLC) for quality control. We prepared PEFC stock solutions by dissolving 2.0 g of each analyte in 25 ml of diluted methanol and used the Hypersil GOLDTMC18 chromatographic column (250 mm × 4.6 mm, 5 μm, Thermo scientific, USA) with the following chromatographic separation parameters for quality control: mobile phase: 0.05% (V/V) phosphoric acid (A) + acetonitrile (B) (0~15 min, 20 % B; 15~25 min, 20%~30% B; 25~40 min, 30%~40% B, 40~55 min, 40%~45% B; 55~65 min, 45%~55% B; 65~80 min, 55%~60% B; 80~90 min, 60%~90% B); detection wavelength: 237 nm; column temperature: 35 °C; flow rate: 1.0 ml/min; injection volume: 10 μL.</w:t>
      </w:r>
    </w:p>
    <w:p w14:paraId="4ABBAB8A" w14:textId="02D041EA" w:rsidR="00AA77C2" w:rsidRPr="00AA77C2" w:rsidRDefault="009928EA" w:rsidP="00AA77C2">
      <w:pPr>
        <w:spacing w:line="480" w:lineRule="auto"/>
        <w:ind w:firstLineChars="400" w:firstLine="960"/>
        <w:rPr>
          <w:rFonts w:ascii="Times New Roman" w:hAnsi="Times New Roman" w:cs="Times New Roman"/>
          <w:noProof/>
          <w:sz w:val="24"/>
          <w:szCs w:val="28"/>
        </w:rPr>
      </w:pPr>
      <w:r w:rsidRPr="009928EA">
        <w:rPr>
          <w:rFonts w:ascii="Times New Roman" w:hAnsi="Times New Roman" w:cs="Times New Roman"/>
          <w:noProof/>
          <w:sz w:val="24"/>
          <w:szCs w:val="28"/>
        </w:rPr>
        <w:t xml:space="preserve">The chromatogram of PEFC is shown in </w:t>
      </w:r>
      <w:r w:rsidRPr="009928EA">
        <w:rPr>
          <w:rFonts w:ascii="Times New Roman" w:hAnsi="Times New Roman" w:cs="Times New Roman"/>
          <w:noProof/>
          <w:color w:val="0070C0"/>
          <w:sz w:val="24"/>
          <w:szCs w:val="28"/>
        </w:rPr>
        <w:t>Figure S2</w:t>
      </w:r>
      <w:r>
        <w:rPr>
          <w:rFonts w:ascii="Times New Roman" w:hAnsi="Times New Roman" w:cs="Times New Roman"/>
          <w:noProof/>
          <w:color w:val="0070C0"/>
          <w:sz w:val="24"/>
          <w:szCs w:val="28"/>
        </w:rPr>
        <w:t xml:space="preserve"> (</w:t>
      </w:r>
      <w:r w:rsidRPr="009928EA">
        <w:rPr>
          <w:rFonts w:ascii="Times New Roman" w:hAnsi="Times New Roman" w:cs="Times New Roman"/>
          <w:noProof/>
          <w:color w:val="0070C0"/>
          <w:sz w:val="24"/>
          <w:szCs w:val="28"/>
        </w:rPr>
        <w:t>A</w:t>
      </w:r>
      <w:r>
        <w:rPr>
          <w:rFonts w:ascii="Times New Roman" w:hAnsi="Times New Roman" w:cs="Times New Roman"/>
          <w:noProof/>
          <w:color w:val="0070C0"/>
          <w:sz w:val="24"/>
          <w:szCs w:val="28"/>
        </w:rPr>
        <w:t>)</w:t>
      </w:r>
      <w:r w:rsidRPr="009928EA">
        <w:rPr>
          <w:rFonts w:ascii="Times New Roman" w:hAnsi="Times New Roman" w:cs="Times New Roman"/>
          <w:noProof/>
          <w:sz w:val="24"/>
          <w:szCs w:val="28"/>
        </w:rPr>
        <w:t>: peak 1 represents the characteristic peak of Ligustilide, whose content in 1.0 g of PEFC was 120.31 mg.</w:t>
      </w:r>
    </w:p>
    <w:p w14:paraId="5F050375" w14:textId="7A435B7B" w:rsidR="00E728D1" w:rsidRDefault="00D42C08" w:rsidP="00E728D1">
      <w:pPr>
        <w:rPr>
          <w:rFonts w:ascii="Times New Roman" w:hAnsi="Times New Roman" w:cs="Times New Roman"/>
          <w:sz w:val="24"/>
          <w:szCs w:val="28"/>
        </w:rPr>
      </w:pPr>
      <w:r w:rsidRPr="00D42C08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5888D7DA" wp14:editId="4906E701">
            <wp:extent cx="5274310" cy="49606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97C8B" w14:textId="3FAE62C0" w:rsidR="001D0021" w:rsidRDefault="00D42C08" w:rsidP="006F0EE5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928EA">
        <w:rPr>
          <w:rFonts w:ascii="Times New Roman" w:hAnsi="Times New Roman" w:cs="Times New Roman" w:hint="eastAsia"/>
          <w:b/>
          <w:bCs/>
          <w:sz w:val="24"/>
          <w:szCs w:val="28"/>
        </w:rPr>
        <w:t>Figure</w:t>
      </w:r>
      <w:r w:rsidRPr="009928E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9928EA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1D0021" w:rsidRPr="009928EA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9928EA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9928EA" w:rsidRPr="009928EA">
        <w:rPr>
          <w:rFonts w:ascii="Times New Roman" w:hAnsi="Times New Roman" w:cs="Times New Roman"/>
          <w:sz w:val="24"/>
          <w:szCs w:val="28"/>
        </w:rPr>
        <w:t xml:space="preserve">The quality control map of </w:t>
      </w:r>
      <w:r w:rsidR="009928EA">
        <w:rPr>
          <w:rFonts w:ascii="Times New Roman" w:hAnsi="Times New Roman" w:cs="Times New Roman" w:hint="eastAsia"/>
          <w:sz w:val="24"/>
          <w:szCs w:val="28"/>
        </w:rPr>
        <w:t>PEFC</w:t>
      </w:r>
      <w:r w:rsidR="009928EA">
        <w:rPr>
          <w:rFonts w:ascii="Times New Roman" w:hAnsi="Times New Roman" w:cs="Times New Roman"/>
          <w:sz w:val="24"/>
          <w:szCs w:val="28"/>
        </w:rPr>
        <w:t xml:space="preserve">. (A) </w:t>
      </w:r>
      <w:r w:rsidR="009928EA" w:rsidRPr="009928EA">
        <w:rPr>
          <w:rFonts w:ascii="Times New Roman" w:hAnsi="Times New Roman" w:cs="Times New Roman"/>
          <w:sz w:val="24"/>
          <w:szCs w:val="28"/>
        </w:rPr>
        <w:t>High performance liquid chromatography</w:t>
      </w:r>
      <w:r w:rsidR="009928EA">
        <w:rPr>
          <w:rFonts w:ascii="Times New Roman" w:hAnsi="Times New Roman" w:cs="Times New Roman" w:hint="eastAsia"/>
          <w:sz w:val="24"/>
          <w:szCs w:val="28"/>
        </w:rPr>
        <w:t xml:space="preserve"> (</w:t>
      </w:r>
      <w:r w:rsidR="009928EA" w:rsidRPr="009928EA">
        <w:rPr>
          <w:rFonts w:ascii="Times New Roman" w:hAnsi="Times New Roman" w:cs="Times New Roman"/>
          <w:sz w:val="24"/>
          <w:szCs w:val="28"/>
        </w:rPr>
        <w:t>HPLC</w:t>
      </w:r>
      <w:r w:rsidR="009928EA">
        <w:rPr>
          <w:rFonts w:ascii="Times New Roman" w:hAnsi="Times New Roman" w:cs="Times New Roman"/>
          <w:sz w:val="24"/>
          <w:szCs w:val="28"/>
        </w:rPr>
        <w:t>)</w:t>
      </w:r>
      <w:r w:rsidR="009928EA" w:rsidRPr="009928EA">
        <w:rPr>
          <w:rFonts w:ascii="Times New Roman" w:hAnsi="Times New Roman" w:cs="Times New Roman"/>
          <w:sz w:val="24"/>
          <w:szCs w:val="28"/>
        </w:rPr>
        <w:t xml:space="preserve"> map of XYSEF sample</w:t>
      </w:r>
      <w:r w:rsidR="009928EA">
        <w:rPr>
          <w:rFonts w:ascii="Times New Roman" w:hAnsi="Times New Roman" w:cs="Times New Roman"/>
          <w:sz w:val="24"/>
          <w:szCs w:val="28"/>
        </w:rPr>
        <w:t xml:space="preserve">. </w:t>
      </w:r>
      <w:r w:rsidR="009928EA">
        <w:rPr>
          <w:rFonts w:ascii="Times New Roman" w:hAnsi="Times New Roman" w:cs="Times New Roman"/>
          <w:sz w:val="24"/>
        </w:rPr>
        <w:t>P</w:t>
      </w:r>
      <w:r w:rsidR="009928EA" w:rsidRPr="004510A9">
        <w:rPr>
          <w:rFonts w:ascii="Times New Roman" w:hAnsi="Times New Roman" w:cs="Times New Roman"/>
          <w:sz w:val="24"/>
        </w:rPr>
        <w:t>eak 1</w:t>
      </w:r>
      <w:r w:rsidR="009928EA">
        <w:rPr>
          <w:rFonts w:ascii="Times New Roman" w:hAnsi="Times New Roman" w:cs="Times New Roman"/>
          <w:sz w:val="24"/>
        </w:rPr>
        <w:t xml:space="preserve"> </w:t>
      </w:r>
      <w:r w:rsidR="009928EA" w:rsidRPr="004510A9">
        <w:rPr>
          <w:rFonts w:ascii="Times New Roman" w:hAnsi="Times New Roman" w:cs="Times New Roman"/>
          <w:sz w:val="24"/>
        </w:rPr>
        <w:t xml:space="preserve">represents peak characteristic of </w:t>
      </w:r>
      <w:r w:rsidR="009928EA" w:rsidRPr="00AA77C2">
        <w:rPr>
          <w:rFonts w:ascii="Times New Roman" w:hAnsi="Times New Roman" w:cs="Times New Roman"/>
          <w:noProof/>
          <w:sz w:val="24"/>
          <w:szCs w:val="28"/>
        </w:rPr>
        <w:t>Ligustilide</w:t>
      </w:r>
      <w:r w:rsidR="009928EA">
        <w:rPr>
          <w:rFonts w:ascii="Times New Roman" w:hAnsi="Times New Roman" w:cs="Times New Roman"/>
          <w:noProof/>
          <w:sz w:val="24"/>
          <w:szCs w:val="28"/>
        </w:rPr>
        <w:t>.</w:t>
      </w:r>
      <w:r w:rsidR="009928EA">
        <w:rPr>
          <w:rFonts w:ascii="Times New Roman" w:hAnsi="Times New Roman" w:cs="Times New Roman"/>
          <w:sz w:val="24"/>
          <w:szCs w:val="28"/>
        </w:rPr>
        <w:t xml:space="preserve"> </w:t>
      </w:r>
      <w:r w:rsidR="009928EA" w:rsidRPr="009928EA">
        <w:rPr>
          <w:rFonts w:ascii="Times New Roman" w:hAnsi="Times New Roman" w:cs="Times New Roman"/>
          <w:sz w:val="24"/>
          <w:szCs w:val="28"/>
        </w:rPr>
        <w:t>(</w:t>
      </w:r>
      <w:r w:rsidR="009928EA">
        <w:rPr>
          <w:rFonts w:ascii="Times New Roman" w:hAnsi="Times New Roman" w:cs="Times New Roman" w:hint="eastAsia"/>
          <w:sz w:val="24"/>
          <w:szCs w:val="28"/>
        </w:rPr>
        <w:t>B</w:t>
      </w:r>
      <w:r w:rsidR="009928EA" w:rsidRPr="009928EA">
        <w:rPr>
          <w:rFonts w:ascii="Times New Roman" w:hAnsi="Times New Roman" w:cs="Times New Roman"/>
          <w:sz w:val="24"/>
          <w:szCs w:val="28"/>
        </w:rPr>
        <w:t>) HPLC map of reference substance</w:t>
      </w:r>
      <w:r w:rsidR="009928EA">
        <w:rPr>
          <w:rFonts w:ascii="Times New Roman" w:hAnsi="Times New Roman" w:cs="Times New Roman"/>
          <w:sz w:val="24"/>
          <w:szCs w:val="28"/>
        </w:rPr>
        <w:t xml:space="preserve">, </w:t>
      </w:r>
      <w:r w:rsidR="009928EA">
        <w:rPr>
          <w:rFonts w:ascii="Times New Roman" w:hAnsi="Times New Roman" w:cs="Times New Roman"/>
          <w:sz w:val="24"/>
        </w:rPr>
        <w:t>p</w:t>
      </w:r>
      <w:r w:rsidR="009928EA" w:rsidRPr="004510A9">
        <w:rPr>
          <w:rFonts w:ascii="Times New Roman" w:hAnsi="Times New Roman" w:cs="Times New Roman"/>
          <w:sz w:val="24"/>
        </w:rPr>
        <w:t>eak 1</w:t>
      </w:r>
      <w:r w:rsidR="009928EA">
        <w:rPr>
          <w:rFonts w:ascii="Times New Roman" w:hAnsi="Times New Roman" w:cs="Times New Roman"/>
          <w:sz w:val="24"/>
        </w:rPr>
        <w:t xml:space="preserve"> </w:t>
      </w:r>
      <w:r w:rsidR="009928EA" w:rsidRPr="004510A9">
        <w:rPr>
          <w:rFonts w:ascii="Times New Roman" w:hAnsi="Times New Roman" w:cs="Times New Roman"/>
          <w:sz w:val="24"/>
        </w:rPr>
        <w:t xml:space="preserve">represents peak characteristic of </w:t>
      </w:r>
      <w:r w:rsidR="009928EA" w:rsidRPr="00AA77C2">
        <w:rPr>
          <w:rFonts w:ascii="Times New Roman" w:hAnsi="Times New Roman" w:cs="Times New Roman"/>
          <w:noProof/>
          <w:sz w:val="24"/>
          <w:szCs w:val="28"/>
        </w:rPr>
        <w:t>Ligustilide</w:t>
      </w:r>
      <w:r w:rsidR="009928EA">
        <w:rPr>
          <w:rFonts w:ascii="Times New Roman" w:hAnsi="Times New Roman" w:cs="Times New Roman"/>
          <w:noProof/>
          <w:sz w:val="24"/>
          <w:szCs w:val="28"/>
        </w:rPr>
        <w:t>.</w:t>
      </w:r>
    </w:p>
    <w:p w14:paraId="2AB58CB3" w14:textId="77777777" w:rsidR="001D0021" w:rsidRDefault="001D0021" w:rsidP="009928EA">
      <w:pPr>
        <w:widowControl/>
        <w:spacing w:line="480" w:lineRule="auto"/>
        <w:ind w:firstLineChars="400" w:firstLine="960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3DE010D1" w14:textId="3505442C" w:rsidR="001D0021" w:rsidRDefault="001D0021" w:rsidP="001D0021">
      <w:pPr>
        <w:widowControl/>
        <w:spacing w:line="480" w:lineRule="auto"/>
        <w:ind w:firstLineChars="400" w:firstLine="960"/>
        <w:jc w:val="left"/>
        <w:rPr>
          <w:rFonts w:ascii="Times New Roman" w:hAnsi="Times New Roman" w:cs="Times New Roman"/>
          <w:sz w:val="24"/>
          <w:szCs w:val="24"/>
        </w:rPr>
      </w:pPr>
      <w:r w:rsidRPr="00436B46">
        <w:rPr>
          <w:rFonts w:ascii="Times New Roman" w:hAnsi="Times New Roman" w:cs="Times New Roman"/>
          <w:sz w:val="24"/>
          <w:szCs w:val="24"/>
        </w:rPr>
        <w:lastRenderedPageBreak/>
        <w:t>Behavioral despair depression models, including tail suspension test (TST) and forced swimming test (FST), are well-accepted and commonly used rodent models for antidepressant assessments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36B46">
        <w:rPr>
          <w:rFonts w:ascii="Times New Roman" w:hAnsi="Times New Roman" w:cs="Times New Roman"/>
          <w:sz w:val="24"/>
          <w:szCs w:val="24"/>
        </w:rPr>
        <w:t xml:space="preserve"> </w:t>
      </w:r>
      <w:r w:rsidRPr="00CE6C63">
        <w:rPr>
          <w:rFonts w:ascii="Times New Roman" w:hAnsi="Times New Roman" w:cs="Times New Roman"/>
          <w:sz w:val="24"/>
          <w:szCs w:val="24"/>
        </w:rPr>
        <w:t xml:space="preserve">In our previous study, </w:t>
      </w:r>
      <w:r w:rsidRPr="00436B46">
        <w:rPr>
          <w:rFonts w:ascii="Times New Roman" w:hAnsi="Times New Roman" w:cs="Times New Roman"/>
          <w:sz w:val="24"/>
          <w:szCs w:val="24"/>
        </w:rPr>
        <w:t xml:space="preserve">we used the behavioral despair depression model to initially screen for the effective dose range of the antidepressants in </w:t>
      </w:r>
      <w:r>
        <w:rPr>
          <w:rFonts w:ascii="Times New Roman" w:hAnsi="Times New Roman" w:cs="Times New Roman"/>
          <w:sz w:val="24"/>
          <w:szCs w:val="24"/>
        </w:rPr>
        <w:t xml:space="preserve">PEFC. </w:t>
      </w:r>
      <w:r w:rsidRPr="00436B46">
        <w:rPr>
          <w:rFonts w:ascii="Times New Roman" w:hAnsi="Times New Roman" w:cs="Times New Roman"/>
          <w:sz w:val="24"/>
          <w:szCs w:val="24"/>
        </w:rPr>
        <w:t>Two batches of 5-week-old male ICR mice were used for the TST and FST, respectively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04D3D">
        <w:rPr>
          <w:rFonts w:ascii="Times New Roman" w:hAnsi="Times New Roman" w:cs="Times New Roman"/>
          <w:color w:val="0070C0"/>
          <w:sz w:val="24"/>
          <w:szCs w:val="24"/>
        </w:rPr>
        <w:t>Figure S</w:t>
      </w:r>
      <w:r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704D3D">
        <w:rPr>
          <w:rFonts w:ascii="Times New Roman" w:hAnsi="Times New Roman" w:cs="Times New Roman"/>
          <w:color w:val="0070C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36B46">
        <w:rPr>
          <w:rFonts w:ascii="Times New Roman" w:hAnsi="Times New Roman" w:cs="Times New Roman"/>
          <w:sz w:val="24"/>
          <w:szCs w:val="24"/>
        </w:rPr>
        <w:t>. Mice were housed for a 3-day period of adaptation and then randomly assigned by body weight: control group, fluoxetine group (</w:t>
      </w:r>
      <w:r>
        <w:rPr>
          <w:rFonts w:ascii="Times New Roman" w:hAnsi="Times New Roman" w:cs="Times New Roman"/>
          <w:sz w:val="24"/>
          <w:szCs w:val="24"/>
        </w:rPr>
        <w:t xml:space="preserve">FLX, </w:t>
      </w:r>
      <w:r w:rsidRPr="00436B46">
        <w:rPr>
          <w:rFonts w:ascii="Times New Roman" w:hAnsi="Times New Roman" w:cs="Times New Roman"/>
          <w:sz w:val="24"/>
          <w:szCs w:val="24"/>
        </w:rPr>
        <w:t>13.2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 xml:space="preserve">, i.g.), and </w:t>
      </w:r>
      <w:r>
        <w:rPr>
          <w:rFonts w:ascii="Times New Roman" w:hAnsi="Times New Roman" w:cs="Times New Roman" w:hint="eastAsia"/>
          <w:sz w:val="24"/>
          <w:szCs w:val="24"/>
        </w:rPr>
        <w:t>PEFC</w:t>
      </w:r>
      <w:r w:rsidRPr="00436B4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11.0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33.0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36B4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>, i.g.,</w:t>
      </w:r>
      <w:r w:rsidRPr="00704D3D"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04D3D">
        <w:rPr>
          <w:rFonts w:ascii="Times New Roman" w:hAnsi="Times New Roman" w:cs="Times New Roman"/>
          <w:sz w:val="24"/>
          <w:szCs w:val="24"/>
        </w:rPr>
        <w:t>alculated as a dose of herbal medicine</w:t>
      </w:r>
      <w:r w:rsidRPr="00436B46">
        <w:rPr>
          <w:rFonts w:ascii="Times New Roman" w:hAnsi="Times New Roman" w:cs="Times New Roman"/>
          <w:sz w:val="24"/>
          <w:szCs w:val="24"/>
        </w:rPr>
        <w:t>); eight mice per group.</w:t>
      </w:r>
    </w:p>
    <w:p w14:paraId="57F1F312" w14:textId="10CF6A11" w:rsidR="001D0021" w:rsidRDefault="001D0021" w:rsidP="001D0021">
      <w:pPr>
        <w:widowControl/>
        <w:spacing w:line="480" w:lineRule="auto"/>
        <w:ind w:firstLineChars="400" w:firstLine="960"/>
        <w:jc w:val="left"/>
        <w:rPr>
          <w:rFonts w:ascii="Times New Roman" w:hAnsi="Times New Roman" w:cs="Times New Roman"/>
          <w:sz w:val="24"/>
          <w:szCs w:val="24"/>
        </w:rPr>
      </w:pPr>
      <w:r w:rsidRPr="003256ED">
        <w:rPr>
          <w:rFonts w:ascii="Times New Roman" w:hAnsi="Times New Roman" w:cs="Times New Roman"/>
          <w:sz w:val="24"/>
          <w:szCs w:val="24"/>
        </w:rPr>
        <w:t xml:space="preserve">In the behavioral despair mice model, </w:t>
      </w:r>
      <w:r>
        <w:rPr>
          <w:rFonts w:ascii="Times New Roman" w:hAnsi="Times New Roman" w:cs="Times New Roman"/>
          <w:sz w:val="24"/>
          <w:szCs w:val="24"/>
        </w:rPr>
        <w:t>PEFC</w:t>
      </w:r>
      <w:r w:rsidRPr="003256ED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>11.0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33.0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36B4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3256ED">
        <w:rPr>
          <w:rFonts w:ascii="Times New Roman" w:hAnsi="Times New Roman" w:cs="Times New Roman"/>
          <w:sz w:val="24"/>
          <w:szCs w:val="24"/>
        </w:rPr>
        <w:t xml:space="preserve"> shortened the duration of immobility in the TST and FST at different magnitudes compared to the control group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0481">
        <w:rPr>
          <w:rFonts w:ascii="Times New Roman" w:hAnsi="Times New Roman" w:cs="Times New Roman"/>
          <w:sz w:val="24"/>
          <w:szCs w:val="24"/>
        </w:rPr>
        <w:t>and shows a certain dose-dependence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6ED">
        <w:rPr>
          <w:rFonts w:ascii="Times New Roman" w:hAnsi="Times New Roman" w:cs="Times New Roman"/>
          <w:sz w:val="24"/>
          <w:szCs w:val="24"/>
        </w:rPr>
        <w:t>(</w:t>
      </w:r>
      <w:r w:rsidRPr="003256ED">
        <w:rPr>
          <w:rFonts w:ascii="Times New Roman" w:hAnsi="Times New Roman" w:cs="Times New Roman"/>
          <w:color w:val="0070C0"/>
          <w:sz w:val="24"/>
          <w:szCs w:val="24"/>
        </w:rPr>
        <w:t>Figure S</w:t>
      </w:r>
      <w:r>
        <w:rPr>
          <w:rFonts w:ascii="Times New Roman" w:hAnsi="Times New Roman" w:cs="Times New Roman"/>
          <w:color w:val="0070C0"/>
          <w:sz w:val="24"/>
          <w:szCs w:val="24"/>
        </w:rPr>
        <w:t>4.</w:t>
      </w:r>
      <w:r w:rsidRPr="003256E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256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PEFC</w:t>
      </w:r>
      <w:r w:rsidRPr="003256ED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3256ED">
        <w:rPr>
          <w:rFonts w:ascii="Times New Roman" w:hAnsi="Times New Roman" w:cs="Times New Roman"/>
          <w:sz w:val="24"/>
          <w:szCs w:val="24"/>
        </w:rPr>
        <w:t xml:space="preserve"> exhibited the most potent efficacy, pointing to the existence of a positive dose-effect relationship in the </w:t>
      </w:r>
      <w:r>
        <w:rPr>
          <w:rFonts w:ascii="Times New Roman" w:hAnsi="Times New Roman" w:cs="Times New Roman"/>
          <w:sz w:val="24"/>
          <w:szCs w:val="24"/>
        </w:rPr>
        <w:t>11.0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3256ED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3256ED">
        <w:rPr>
          <w:rFonts w:ascii="Times New Roman" w:hAnsi="Times New Roman" w:cs="Times New Roman"/>
          <w:sz w:val="24"/>
          <w:szCs w:val="24"/>
        </w:rPr>
        <w:t xml:space="preserve"> dose range. Therefore, we selected </w:t>
      </w:r>
      <w:r>
        <w:rPr>
          <w:rFonts w:ascii="Times New Roman" w:hAnsi="Times New Roman" w:cs="Times New Roman"/>
          <w:sz w:val="24"/>
          <w:szCs w:val="24"/>
        </w:rPr>
        <w:t>11.0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B4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3256ED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PEFC</w:t>
      </w:r>
      <w:r w:rsidRPr="003256ED">
        <w:rPr>
          <w:rFonts w:ascii="Times New Roman" w:hAnsi="Times New Roman" w:cs="Times New Roman"/>
          <w:sz w:val="24"/>
          <w:szCs w:val="24"/>
        </w:rPr>
        <w:t xml:space="preserve"> as the herbal drug doses for subsequent CUMS experiments.</w:t>
      </w:r>
    </w:p>
    <w:p w14:paraId="7806EEE0" w14:textId="77777777" w:rsidR="001D0021" w:rsidRDefault="001D0021" w:rsidP="001D002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91B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6E1235" wp14:editId="19BD1CAD">
            <wp:extent cx="5274310" cy="174942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6F273" w14:textId="2AB711BE" w:rsidR="001D0021" w:rsidRDefault="001D0021" w:rsidP="006F0EE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1B61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791B6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91B6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B61">
        <w:rPr>
          <w:rFonts w:ascii="Times New Roman" w:hAnsi="Times New Roman" w:cs="Times New Roman"/>
          <w:sz w:val="24"/>
          <w:szCs w:val="24"/>
        </w:rPr>
        <w:t xml:space="preserve">Experimental protocol for the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91B61">
        <w:rPr>
          <w:rFonts w:ascii="Times New Roman" w:hAnsi="Times New Roman" w:cs="Times New Roman"/>
          <w:sz w:val="24"/>
          <w:szCs w:val="24"/>
        </w:rPr>
        <w:t>ehavioral despair depression model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8FEEFB" w14:textId="77777777" w:rsidR="001D0021" w:rsidRDefault="001D0021" w:rsidP="001D002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01E3C6" wp14:editId="6E8BDBDB">
            <wp:extent cx="5274310" cy="46024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FFEC9" w14:textId="789DF5DF" w:rsidR="001D0021" w:rsidRDefault="001D0021" w:rsidP="006F0EE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5C8F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DB5C8F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B5C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91B61">
        <w:rPr>
          <w:rFonts w:ascii="Times New Roman" w:hAnsi="Times New Roman" w:cs="Times New Roman"/>
          <w:sz w:val="24"/>
          <w:szCs w:val="24"/>
        </w:rPr>
        <w:t xml:space="preserve">Immobility time in the tail suspension test (TST) and forced swimming test (FST) (n = 8). </w:t>
      </w:r>
      <w:r w:rsidRPr="00DB5C8F">
        <w:rPr>
          <w:rFonts w:ascii="Times New Roman" w:hAnsi="Times New Roman" w:cs="Times New Roman"/>
          <w:sz w:val="24"/>
          <w:szCs w:val="24"/>
        </w:rPr>
        <w:t>In the TST performed after day 7 or day 14 of administration, PEFC at doses of</w:t>
      </w:r>
      <w:r>
        <w:rPr>
          <w:rFonts w:ascii="Times New Roman" w:hAnsi="Times New Roman" w:cs="Times New Roman"/>
          <w:sz w:val="24"/>
          <w:szCs w:val="24"/>
        </w:rPr>
        <w:t xml:space="preserve"> 11.0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mg·kg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436B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33.0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36B4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44.0</w:t>
      </w:r>
      <w:r w:rsidRPr="00436B46">
        <w:rPr>
          <w:rFonts w:ascii="Times New Roman" w:hAnsi="Times New Roman" w:cs="Times New Roman"/>
          <w:sz w:val="24"/>
          <w:szCs w:val="24"/>
        </w:rPr>
        <w:t xml:space="preserve"> g·kg</w:t>
      </w:r>
      <w:r w:rsidRPr="00436B46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90267">
        <w:rPr>
          <w:rFonts w:ascii="Times New Roman" w:hAnsi="Times New Roman" w:cs="Times New Roman"/>
          <w:sz w:val="24"/>
          <w:szCs w:val="24"/>
        </w:rPr>
        <w:t xml:space="preserve">were </w:t>
      </w:r>
      <w:r w:rsidRPr="00DB5C8F">
        <w:rPr>
          <w:rFonts w:ascii="Times New Roman" w:hAnsi="Times New Roman" w:cs="Times New Roman"/>
          <w:sz w:val="24"/>
          <w:szCs w:val="24"/>
        </w:rPr>
        <w:t>reduced the immobility time of mice to different degrees and showed a dose-dependent effect</w:t>
      </w:r>
      <w:r>
        <w:rPr>
          <w:rFonts w:ascii="Times New Roman" w:hAnsi="Times New Roman" w:cs="Times New Roman"/>
          <w:sz w:val="24"/>
          <w:szCs w:val="24"/>
        </w:rPr>
        <w:t xml:space="preserve"> (A, B)</w:t>
      </w:r>
      <w:r w:rsidRPr="00DB5C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267">
        <w:rPr>
          <w:rFonts w:ascii="Times New Roman" w:hAnsi="Times New Roman" w:cs="Times New Roman"/>
          <w:sz w:val="24"/>
          <w:szCs w:val="24"/>
        </w:rPr>
        <w:t xml:space="preserve">Similar effects </w:t>
      </w:r>
      <w:r>
        <w:rPr>
          <w:rFonts w:ascii="Times New Roman" w:hAnsi="Times New Roman" w:cs="Times New Roman"/>
          <w:sz w:val="24"/>
          <w:szCs w:val="24"/>
        </w:rPr>
        <w:t xml:space="preserve">of PEFC </w:t>
      </w:r>
      <w:r w:rsidRPr="00590267">
        <w:rPr>
          <w:rFonts w:ascii="Times New Roman" w:hAnsi="Times New Roman" w:cs="Times New Roman"/>
          <w:sz w:val="24"/>
          <w:szCs w:val="24"/>
        </w:rPr>
        <w:t>were observed in FST</w:t>
      </w:r>
      <w:r>
        <w:rPr>
          <w:rFonts w:ascii="Times New Roman" w:hAnsi="Times New Roman" w:cs="Times New Roman"/>
          <w:sz w:val="24"/>
          <w:szCs w:val="24"/>
        </w:rPr>
        <w:t xml:space="preserve"> (C, D). </w:t>
      </w:r>
      <w:r w:rsidRPr="00791B61">
        <w:rPr>
          <w:rFonts w:ascii="Times New Roman" w:hAnsi="Times New Roman" w:cs="Times New Roman"/>
          <w:sz w:val="24"/>
          <w:szCs w:val="24"/>
        </w:rPr>
        <w:t xml:space="preserve">Data were normalized to the control and presented as means ± SEM.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F0EE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91B61"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91B6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6F0EE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91B61"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91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***</w:t>
      </w:r>
      <w:r w:rsidRPr="006F0EE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91B61">
        <w:rPr>
          <w:rFonts w:ascii="Times New Roman" w:hAnsi="Times New Roman" w:cs="Times New Roman"/>
          <w:sz w:val="24"/>
          <w:szCs w:val="24"/>
        </w:rPr>
        <w:t xml:space="preserve"> &lt; 0.001 </w:t>
      </w:r>
      <w:r w:rsidRPr="006F0EE5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Pr="00791B61">
        <w:rPr>
          <w:rFonts w:ascii="Times New Roman" w:hAnsi="Times New Roman" w:cs="Times New Roman"/>
          <w:sz w:val="24"/>
          <w:szCs w:val="24"/>
        </w:rPr>
        <w:t>. control.</w:t>
      </w:r>
    </w:p>
    <w:p w14:paraId="6CD89001" w14:textId="77777777" w:rsidR="00D42C08" w:rsidRPr="00D42C08" w:rsidRDefault="00D42C08" w:rsidP="00E728D1">
      <w:pPr>
        <w:rPr>
          <w:rFonts w:ascii="Times New Roman" w:hAnsi="Times New Roman" w:cs="Times New Roman"/>
          <w:sz w:val="24"/>
          <w:szCs w:val="28"/>
        </w:rPr>
      </w:pPr>
    </w:p>
    <w:sectPr w:rsidR="00D42C08" w:rsidRPr="00D42C08" w:rsidSect="00E728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891E" w14:textId="77777777" w:rsidR="00EB1318" w:rsidRDefault="00EB1318" w:rsidP="00E87B6C">
      <w:r>
        <w:separator/>
      </w:r>
    </w:p>
  </w:endnote>
  <w:endnote w:type="continuationSeparator" w:id="0">
    <w:p w14:paraId="2DC2391E" w14:textId="77777777" w:rsidR="00EB1318" w:rsidRDefault="00EB1318" w:rsidP="00E8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F064" w14:textId="77777777" w:rsidR="00EB1318" w:rsidRDefault="00EB1318" w:rsidP="00E87B6C">
      <w:r>
        <w:separator/>
      </w:r>
    </w:p>
  </w:footnote>
  <w:footnote w:type="continuationSeparator" w:id="0">
    <w:p w14:paraId="5C44373E" w14:textId="77777777" w:rsidR="00EB1318" w:rsidRDefault="00EB1318" w:rsidP="00E87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68"/>
    <w:rsid w:val="0003591B"/>
    <w:rsid w:val="00135488"/>
    <w:rsid w:val="001746E7"/>
    <w:rsid w:val="001D0021"/>
    <w:rsid w:val="003256ED"/>
    <w:rsid w:val="00343768"/>
    <w:rsid w:val="00436B46"/>
    <w:rsid w:val="00587FCD"/>
    <w:rsid w:val="00590267"/>
    <w:rsid w:val="006C2AAA"/>
    <w:rsid w:val="006F0EE5"/>
    <w:rsid w:val="00704D3D"/>
    <w:rsid w:val="0078534C"/>
    <w:rsid w:val="00791B61"/>
    <w:rsid w:val="009928EA"/>
    <w:rsid w:val="00AA469E"/>
    <w:rsid w:val="00AA77C2"/>
    <w:rsid w:val="00C23272"/>
    <w:rsid w:val="00CE6C63"/>
    <w:rsid w:val="00D42C08"/>
    <w:rsid w:val="00D81B8B"/>
    <w:rsid w:val="00DB5C8F"/>
    <w:rsid w:val="00E728D1"/>
    <w:rsid w:val="00E87B6C"/>
    <w:rsid w:val="00EB1318"/>
    <w:rsid w:val="00ED0481"/>
    <w:rsid w:val="00F57F67"/>
    <w:rsid w:val="00FE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D304"/>
  <w15:chartTrackingRefBased/>
  <w15:docId w15:val="{589137D1-3E21-4105-BAFB-A7441E97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7B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7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7B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1EDD6-A3F5-4979-96D5-97660B74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九僧</dc:creator>
  <cp:keywords/>
  <dc:description/>
  <cp:lastModifiedBy>曾 九僧</cp:lastModifiedBy>
  <cp:revision>9</cp:revision>
  <dcterms:created xsi:type="dcterms:W3CDTF">2022-08-23T09:03:00Z</dcterms:created>
  <dcterms:modified xsi:type="dcterms:W3CDTF">2022-09-07T05:30:00Z</dcterms:modified>
</cp:coreProperties>
</file>