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E77" w:rsidRDefault="00B41E77" w:rsidP="00B41E77">
      <w:pPr>
        <w:pStyle w:val="NoSpacing"/>
      </w:pPr>
      <w:r>
        <w:t>Supplemental Table 3: Estimation of the effect of unmeasured confounding on the observed associations between cannabis use and maternal and newborn outcomes</w:t>
      </w:r>
    </w:p>
    <w:tbl>
      <w:tblPr>
        <w:tblStyle w:val="TableGrid"/>
        <w:tblW w:w="4849" w:type="pct"/>
        <w:tblLook w:val="04A0" w:firstRow="1" w:lastRow="0" w:firstColumn="1" w:lastColumn="0" w:noHBand="0" w:noVBand="1"/>
      </w:tblPr>
      <w:tblGrid>
        <w:gridCol w:w="2561"/>
        <w:gridCol w:w="2537"/>
        <w:gridCol w:w="3970"/>
      </w:tblGrid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Maternal and Infant Outcomes</w:t>
            </w:r>
          </w:p>
        </w:tc>
        <w:tc>
          <w:tcPr>
            <w:tcW w:w="1399" w:type="pct"/>
          </w:tcPr>
          <w:p w:rsidR="00B41E77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Cannabis use only</w:t>
            </w:r>
          </w:p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E-value</w:t>
            </w:r>
          </w:p>
        </w:tc>
        <w:tc>
          <w:tcPr>
            <w:tcW w:w="2189" w:type="pct"/>
          </w:tcPr>
          <w:p w:rsidR="00B41E77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All substance use</w:t>
            </w:r>
          </w:p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E-value</w:t>
            </w:r>
          </w:p>
        </w:tc>
      </w:tr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Preterm (&lt;37 weeks)</w:t>
            </w:r>
          </w:p>
        </w:tc>
        <w:tc>
          <w:tcPr>
            <w:tcW w:w="139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3.5(3.5)</w:t>
            </w:r>
          </w:p>
        </w:tc>
        <w:tc>
          <w:tcPr>
            <w:tcW w:w="218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3.1(2.9)</w:t>
            </w:r>
          </w:p>
        </w:tc>
      </w:tr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 xml:space="preserve">  Spontaneous</w:t>
            </w:r>
          </w:p>
        </w:tc>
        <w:tc>
          <w:tcPr>
            <w:tcW w:w="139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3.5(3.0)</w:t>
            </w:r>
          </w:p>
        </w:tc>
        <w:tc>
          <w:tcPr>
            <w:tcW w:w="218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3.0(2.7)</w:t>
            </w:r>
          </w:p>
        </w:tc>
      </w:tr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Medically </w:t>
            </w:r>
            <w:r w:rsidRPr="00577CF3">
              <w:rPr>
                <w:rFonts w:cstheme="minorHAnsi"/>
                <w:sz w:val="16"/>
                <w:szCs w:val="16"/>
              </w:rPr>
              <w:t>Indicated</w:t>
            </w:r>
          </w:p>
        </w:tc>
        <w:tc>
          <w:tcPr>
            <w:tcW w:w="139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3.5(3.0)</w:t>
            </w:r>
          </w:p>
        </w:tc>
        <w:tc>
          <w:tcPr>
            <w:tcW w:w="218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3.3(2.9)</w:t>
            </w:r>
          </w:p>
        </w:tc>
      </w:tr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Very preterm </w:t>
            </w:r>
            <w:r w:rsidRPr="00577CF3">
              <w:rPr>
                <w:rFonts w:cstheme="minorHAnsi"/>
                <w:sz w:val="16"/>
                <w:szCs w:val="16"/>
              </w:rPr>
              <w:t>(&lt;32 weeks)</w:t>
            </w:r>
          </w:p>
        </w:tc>
        <w:tc>
          <w:tcPr>
            <w:tcW w:w="139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3.5(2.5)</w:t>
            </w:r>
          </w:p>
        </w:tc>
        <w:tc>
          <w:tcPr>
            <w:tcW w:w="218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2.9(2.3)</w:t>
            </w:r>
          </w:p>
        </w:tc>
      </w:tr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Low birthweight (&lt;2500g)</w:t>
            </w:r>
          </w:p>
        </w:tc>
        <w:tc>
          <w:tcPr>
            <w:tcW w:w="139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3.2(2.7)</w:t>
            </w:r>
          </w:p>
        </w:tc>
        <w:tc>
          <w:tcPr>
            <w:tcW w:w="218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3.2(3.0)</w:t>
            </w:r>
          </w:p>
        </w:tc>
      </w:tr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SGA (&lt;10</w:t>
            </w:r>
            <w:r w:rsidRPr="00577CF3">
              <w:rPr>
                <w:rFonts w:cstheme="minorHAnsi"/>
                <w:sz w:val="16"/>
                <w:szCs w:val="16"/>
                <w:vertAlign w:val="superscript"/>
              </w:rPr>
              <w:t>th</w:t>
            </w:r>
            <w:r w:rsidRPr="00577CF3">
              <w:rPr>
                <w:rFonts w:cstheme="minorHAnsi"/>
                <w:sz w:val="16"/>
                <w:szCs w:val="16"/>
              </w:rPr>
              <w:t xml:space="preserve"> percentile)</w:t>
            </w:r>
          </w:p>
        </w:tc>
        <w:tc>
          <w:tcPr>
            <w:tcW w:w="139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1.5(1.2)</w:t>
            </w:r>
          </w:p>
        </w:tc>
        <w:tc>
          <w:tcPr>
            <w:tcW w:w="218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1.7(1.6)</w:t>
            </w:r>
          </w:p>
        </w:tc>
      </w:tr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LGA (&gt;90</w:t>
            </w:r>
            <w:r w:rsidRPr="00577CF3">
              <w:rPr>
                <w:rFonts w:cstheme="minorHAnsi"/>
                <w:sz w:val="16"/>
                <w:szCs w:val="16"/>
                <w:vertAlign w:val="superscript"/>
              </w:rPr>
              <w:t>th</w:t>
            </w:r>
            <w:r w:rsidRPr="00577CF3">
              <w:rPr>
                <w:rFonts w:cstheme="minorHAnsi"/>
                <w:sz w:val="16"/>
                <w:szCs w:val="16"/>
              </w:rPr>
              <w:t xml:space="preserve"> percentile)</w:t>
            </w:r>
          </w:p>
        </w:tc>
        <w:tc>
          <w:tcPr>
            <w:tcW w:w="139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1.8(1.5)</w:t>
            </w:r>
          </w:p>
        </w:tc>
        <w:tc>
          <w:tcPr>
            <w:tcW w:w="218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1.3(1.1)</w:t>
            </w:r>
          </w:p>
        </w:tc>
      </w:tr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Stillbirth</w:t>
            </w:r>
          </w:p>
        </w:tc>
        <w:tc>
          <w:tcPr>
            <w:tcW w:w="139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2.1(1.0)</w:t>
            </w:r>
          </w:p>
        </w:tc>
        <w:tc>
          <w:tcPr>
            <w:tcW w:w="218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1.6(1.0)</w:t>
            </w:r>
          </w:p>
        </w:tc>
      </w:tr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Any major congenital anomaly</w:t>
            </w:r>
          </w:p>
        </w:tc>
        <w:tc>
          <w:tcPr>
            <w:tcW w:w="139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2.7(2.0)</w:t>
            </w:r>
          </w:p>
        </w:tc>
        <w:tc>
          <w:tcPr>
            <w:tcW w:w="218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2.8(2.3)</w:t>
            </w:r>
          </w:p>
        </w:tc>
      </w:tr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Caesarean delivery</w:t>
            </w:r>
          </w:p>
        </w:tc>
        <w:tc>
          <w:tcPr>
            <w:tcW w:w="139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1.7(1.6)</w:t>
            </w:r>
          </w:p>
        </w:tc>
        <w:tc>
          <w:tcPr>
            <w:tcW w:w="218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1.5(1.4)</w:t>
            </w:r>
          </w:p>
        </w:tc>
      </w:tr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Gestational diabetes</w:t>
            </w:r>
          </w:p>
        </w:tc>
        <w:tc>
          <w:tcPr>
            <w:tcW w:w="139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2.0(1.7)</w:t>
            </w:r>
          </w:p>
        </w:tc>
        <w:tc>
          <w:tcPr>
            <w:tcW w:w="218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2.0(1.8)</w:t>
            </w:r>
          </w:p>
        </w:tc>
      </w:tr>
      <w:tr w:rsidR="00B41E77" w:rsidRPr="00577CF3" w:rsidTr="00005787">
        <w:tc>
          <w:tcPr>
            <w:tcW w:w="1412" w:type="pct"/>
          </w:tcPr>
          <w:p w:rsidR="00B41E77" w:rsidRPr="00577CF3" w:rsidRDefault="00B41E77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Gestational hypertension</w:t>
            </w:r>
          </w:p>
        </w:tc>
        <w:tc>
          <w:tcPr>
            <w:tcW w:w="139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1.8(1.3)</w:t>
            </w:r>
          </w:p>
        </w:tc>
        <w:tc>
          <w:tcPr>
            <w:tcW w:w="2189" w:type="pct"/>
          </w:tcPr>
          <w:p w:rsidR="00B41E77" w:rsidRPr="00577CF3" w:rsidRDefault="00B41E77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1.4(1.0)</w:t>
            </w:r>
          </w:p>
        </w:tc>
      </w:tr>
    </w:tbl>
    <w:p w:rsidR="00CA7AD2" w:rsidRDefault="00B41E77">
      <w:bookmarkStart w:id="0" w:name="_GoBack"/>
      <w:bookmarkEnd w:id="0"/>
    </w:p>
    <w:sectPr w:rsidR="00CA7A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E77"/>
    <w:rsid w:val="00145660"/>
    <w:rsid w:val="002617EC"/>
    <w:rsid w:val="006C52B9"/>
    <w:rsid w:val="00B41E77"/>
    <w:rsid w:val="00DA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E3539-E79E-499A-8D1C-5DAB554A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1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E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Clinical and Support Services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Luke, Sabrina [PHSA]</dc:creator>
  <cp:keywords/>
  <dc:description/>
  <cp:lastModifiedBy>Luke, Sabrina [PHSA]</cp:lastModifiedBy>
  <cp:revision>1</cp:revision>
  <dcterms:created xsi:type="dcterms:W3CDTF">2021-12-03T19:40:00Z</dcterms:created>
  <dcterms:modified xsi:type="dcterms:W3CDTF">2021-12-03T19:41:00Z</dcterms:modified>
</cp:coreProperties>
</file>