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3D78E" w14:textId="12915467" w:rsidR="006B7323" w:rsidRPr="00025154" w:rsidRDefault="00CC0283" w:rsidP="002A0CB5">
      <w:pPr>
        <w:spacing w:after="0" w:line="276" w:lineRule="auto"/>
        <w:jc w:val="center"/>
        <w:rPr>
          <w:b/>
          <w:bCs/>
          <w:sz w:val="28"/>
          <w:szCs w:val="28"/>
          <w:lang w:val="en-US"/>
        </w:rPr>
      </w:pPr>
      <w:bookmarkStart w:id="0" w:name="_Hlk104279201"/>
      <w:r w:rsidRPr="00025154">
        <w:rPr>
          <w:b/>
          <w:bCs/>
          <w:sz w:val="28"/>
          <w:szCs w:val="28"/>
          <w:lang w:val="en-US"/>
        </w:rPr>
        <w:t xml:space="preserve">Update on </w:t>
      </w:r>
      <w:r w:rsidR="005F296E" w:rsidRPr="00025154">
        <w:rPr>
          <w:b/>
          <w:bCs/>
          <w:sz w:val="28"/>
          <w:szCs w:val="28"/>
          <w:lang w:val="en-US"/>
        </w:rPr>
        <w:t xml:space="preserve">the </w:t>
      </w:r>
      <w:r w:rsidRPr="00025154">
        <w:rPr>
          <w:b/>
          <w:bCs/>
          <w:sz w:val="28"/>
          <w:szCs w:val="28"/>
          <w:lang w:val="en-US"/>
        </w:rPr>
        <w:t xml:space="preserve">controversial identity of cells expressing </w:t>
      </w:r>
      <w:r w:rsidR="003A5B86" w:rsidRPr="00025154">
        <w:rPr>
          <w:b/>
          <w:bCs/>
          <w:i/>
          <w:iCs/>
          <w:sz w:val="28"/>
          <w:szCs w:val="28"/>
          <w:lang w:val="en-US"/>
        </w:rPr>
        <w:t>c</w:t>
      </w:r>
      <w:r w:rsidR="00B64BC2" w:rsidRPr="00025154">
        <w:rPr>
          <w:b/>
          <w:bCs/>
          <w:i/>
          <w:iCs/>
          <w:sz w:val="28"/>
          <w:szCs w:val="28"/>
          <w:lang w:val="en-US"/>
        </w:rPr>
        <w:t>nr</w:t>
      </w:r>
      <w:r w:rsidR="003A5B86" w:rsidRPr="00025154">
        <w:rPr>
          <w:b/>
          <w:bCs/>
          <w:i/>
          <w:iCs/>
          <w:sz w:val="28"/>
          <w:szCs w:val="28"/>
          <w:lang w:val="en-US"/>
        </w:rPr>
        <w:t>2</w:t>
      </w:r>
      <w:r w:rsidR="003A5B86" w:rsidRPr="00025154">
        <w:rPr>
          <w:b/>
          <w:bCs/>
          <w:sz w:val="28"/>
          <w:szCs w:val="28"/>
          <w:lang w:val="en-US"/>
        </w:rPr>
        <w:t xml:space="preserve"> gene </w:t>
      </w:r>
      <w:r w:rsidRPr="00025154">
        <w:rPr>
          <w:b/>
          <w:bCs/>
          <w:sz w:val="28"/>
          <w:szCs w:val="28"/>
          <w:lang w:val="en-US"/>
        </w:rPr>
        <w:t>in the nervous system</w:t>
      </w:r>
    </w:p>
    <w:p w14:paraId="5947AB0A" w14:textId="59C2ABC9" w:rsidR="006B7323" w:rsidRDefault="006B7323" w:rsidP="002A0CB5">
      <w:pPr>
        <w:spacing w:after="0" w:line="276" w:lineRule="auto"/>
        <w:jc w:val="both"/>
        <w:rPr>
          <w:b/>
          <w:bCs/>
          <w:sz w:val="24"/>
          <w:szCs w:val="24"/>
          <w:lang w:val="en-US"/>
        </w:rPr>
      </w:pPr>
    </w:p>
    <w:p w14:paraId="2585587F" w14:textId="77777777" w:rsidR="00016CB7" w:rsidRPr="00F31719" w:rsidRDefault="00016CB7" w:rsidP="00016CB7">
      <w:pPr>
        <w:spacing w:after="0" w:line="276" w:lineRule="auto"/>
        <w:jc w:val="both"/>
        <w:rPr>
          <w:b/>
          <w:bCs/>
          <w:sz w:val="24"/>
          <w:szCs w:val="24"/>
          <w:lang w:val="en-US"/>
        </w:rPr>
      </w:pPr>
      <w:r w:rsidRPr="00F31719">
        <w:rPr>
          <w:b/>
          <w:bCs/>
          <w:sz w:val="24"/>
          <w:szCs w:val="24"/>
          <w:lang w:val="en-US"/>
        </w:rPr>
        <w:t xml:space="preserve">Supplementary Material </w:t>
      </w:r>
    </w:p>
    <w:p w14:paraId="07A0C154" w14:textId="77777777" w:rsidR="00016CB7" w:rsidRPr="00F31719" w:rsidRDefault="00016CB7" w:rsidP="00016CB7">
      <w:pPr>
        <w:spacing w:after="0" w:line="276" w:lineRule="auto"/>
        <w:jc w:val="both"/>
        <w:rPr>
          <w:b/>
          <w:bCs/>
          <w:sz w:val="21"/>
          <w:szCs w:val="21"/>
          <w:lang w:val="en-US"/>
        </w:rPr>
      </w:pPr>
    </w:p>
    <w:p w14:paraId="3D25680A" w14:textId="77777777" w:rsidR="00016CB7" w:rsidRPr="00F31719" w:rsidRDefault="00016CB7" w:rsidP="00016CB7">
      <w:pPr>
        <w:spacing w:after="0" w:line="276" w:lineRule="auto"/>
        <w:jc w:val="both"/>
        <w:rPr>
          <w:b/>
          <w:bCs/>
          <w:sz w:val="21"/>
          <w:szCs w:val="21"/>
          <w:lang w:val="en-US"/>
        </w:rPr>
      </w:pPr>
    </w:p>
    <w:p w14:paraId="5F152E22" w14:textId="77777777" w:rsidR="00016CB7" w:rsidRPr="00F31719" w:rsidRDefault="00016CB7" w:rsidP="00016CB7">
      <w:pPr>
        <w:spacing w:after="0" w:line="276" w:lineRule="auto"/>
        <w:jc w:val="both"/>
        <w:rPr>
          <w:b/>
          <w:bCs/>
          <w:sz w:val="21"/>
          <w:szCs w:val="21"/>
          <w:lang w:val="en-US"/>
        </w:rPr>
      </w:pPr>
      <w:r w:rsidRPr="00F31719">
        <w:rPr>
          <w:b/>
          <w:bCs/>
          <w:sz w:val="21"/>
          <w:szCs w:val="21"/>
          <w:lang w:val="en-US"/>
        </w:rPr>
        <w:t xml:space="preserve">Running title: </w:t>
      </w:r>
      <w:r w:rsidRPr="00F31719">
        <w:rPr>
          <w:sz w:val="21"/>
          <w:szCs w:val="21"/>
          <w:lang w:val="en-US"/>
        </w:rPr>
        <w:t>CB2 receptor in the nervous system</w:t>
      </w:r>
    </w:p>
    <w:p w14:paraId="4A97BAC6" w14:textId="77777777" w:rsidR="00016CB7" w:rsidRPr="00F31719" w:rsidRDefault="00016CB7" w:rsidP="00016CB7">
      <w:pPr>
        <w:spacing w:after="0" w:line="276" w:lineRule="auto"/>
        <w:jc w:val="both"/>
        <w:rPr>
          <w:b/>
          <w:bCs/>
          <w:sz w:val="21"/>
          <w:szCs w:val="21"/>
          <w:lang w:val="en-US"/>
        </w:rPr>
      </w:pPr>
    </w:p>
    <w:p w14:paraId="39E51167" w14:textId="77777777" w:rsidR="00016CB7" w:rsidRPr="00F31719" w:rsidRDefault="00016CB7" w:rsidP="00016CB7">
      <w:pPr>
        <w:spacing w:after="0" w:line="276" w:lineRule="auto"/>
        <w:jc w:val="both"/>
        <w:rPr>
          <w:b/>
          <w:bCs/>
          <w:sz w:val="24"/>
          <w:szCs w:val="24"/>
          <w:lang w:val="en-US"/>
        </w:rPr>
      </w:pPr>
    </w:p>
    <w:p w14:paraId="23D95D3C" w14:textId="77777777" w:rsidR="00016CB7" w:rsidRPr="00F31719" w:rsidRDefault="00016CB7" w:rsidP="00016CB7">
      <w:pPr>
        <w:jc w:val="both"/>
        <w:rPr>
          <w:b/>
          <w:bCs/>
          <w:lang w:val="en-US"/>
        </w:rPr>
      </w:pPr>
      <w:r w:rsidRPr="00F31719">
        <w:rPr>
          <w:b/>
          <w:bCs/>
          <w:lang w:val="en-US"/>
        </w:rPr>
        <w:t xml:space="preserve">Supplementary Table 1. CB2R transcripts and proteins in human, mouse and rat. </w:t>
      </w:r>
    </w:p>
    <w:tbl>
      <w:tblPr>
        <w:tblW w:w="1236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70" w:type="dxa"/>
          <w:right w:w="70" w:type="dxa"/>
        </w:tblCellMar>
        <w:tblLook w:val="04A0" w:firstRow="1" w:lastRow="0" w:firstColumn="1" w:lastColumn="0" w:noHBand="0" w:noVBand="1"/>
      </w:tblPr>
      <w:tblGrid>
        <w:gridCol w:w="798"/>
        <w:gridCol w:w="918"/>
        <w:gridCol w:w="1229"/>
        <w:gridCol w:w="1547"/>
        <w:gridCol w:w="1082"/>
        <w:gridCol w:w="524"/>
        <w:gridCol w:w="808"/>
        <w:gridCol w:w="985"/>
        <w:gridCol w:w="874"/>
        <w:gridCol w:w="851"/>
        <w:gridCol w:w="1400"/>
        <w:gridCol w:w="449"/>
        <w:gridCol w:w="900"/>
      </w:tblGrid>
      <w:tr w:rsidR="00016CB7" w:rsidRPr="00F31719" w14:paraId="4F5C811A" w14:textId="77777777" w:rsidTr="00DC119E">
        <w:trPr>
          <w:trHeight w:val="274"/>
        </w:trPr>
        <w:tc>
          <w:tcPr>
            <w:tcW w:w="798" w:type="dxa"/>
            <w:vMerge w:val="restart"/>
            <w:shd w:val="clear" w:color="auto" w:fill="auto"/>
            <w:vAlign w:val="center"/>
            <w:hideMark/>
          </w:tcPr>
          <w:p w14:paraId="64DA7ED7"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SPECIES</w:t>
            </w:r>
          </w:p>
        </w:tc>
        <w:tc>
          <w:tcPr>
            <w:tcW w:w="918" w:type="dxa"/>
            <w:vMerge w:val="restart"/>
            <w:shd w:val="clear" w:color="auto" w:fill="auto"/>
            <w:vAlign w:val="center"/>
            <w:hideMark/>
          </w:tcPr>
          <w:p w14:paraId="2D40F937"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CHROMO-SOME</w:t>
            </w:r>
          </w:p>
        </w:tc>
        <w:tc>
          <w:tcPr>
            <w:tcW w:w="1229" w:type="dxa"/>
            <w:vMerge w:val="restart"/>
            <w:shd w:val="clear" w:color="auto" w:fill="auto"/>
            <w:vAlign w:val="center"/>
            <w:hideMark/>
          </w:tcPr>
          <w:p w14:paraId="30A5772B"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NC</w:t>
            </w:r>
          </w:p>
        </w:tc>
        <w:tc>
          <w:tcPr>
            <w:tcW w:w="6671" w:type="dxa"/>
            <w:gridSpan w:val="7"/>
            <w:shd w:val="clear" w:color="auto" w:fill="auto"/>
            <w:noWrap/>
            <w:vAlign w:val="center"/>
            <w:hideMark/>
          </w:tcPr>
          <w:p w14:paraId="56D96B56"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TRANSCRIPT</w:t>
            </w:r>
          </w:p>
        </w:tc>
        <w:tc>
          <w:tcPr>
            <w:tcW w:w="2749" w:type="dxa"/>
            <w:gridSpan w:val="3"/>
            <w:shd w:val="clear" w:color="auto" w:fill="auto"/>
            <w:noWrap/>
            <w:vAlign w:val="center"/>
            <w:hideMark/>
          </w:tcPr>
          <w:p w14:paraId="6DF79D5A"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PROTEIN</w:t>
            </w:r>
          </w:p>
        </w:tc>
      </w:tr>
      <w:tr w:rsidR="00016CB7" w:rsidRPr="00F31719" w14:paraId="0D0A7517" w14:textId="77777777" w:rsidTr="00DC119E">
        <w:trPr>
          <w:trHeight w:val="274"/>
        </w:trPr>
        <w:tc>
          <w:tcPr>
            <w:tcW w:w="798" w:type="dxa"/>
            <w:vMerge/>
            <w:vAlign w:val="center"/>
            <w:hideMark/>
          </w:tcPr>
          <w:p w14:paraId="2AD1A294" w14:textId="77777777" w:rsidR="00016CB7" w:rsidRPr="00F31719" w:rsidRDefault="00016CB7" w:rsidP="00DC119E">
            <w:pPr>
              <w:spacing w:after="0" w:line="240" w:lineRule="auto"/>
              <w:rPr>
                <w:rFonts w:ascii="Calibri" w:eastAsia="Times New Roman" w:hAnsi="Calibri" w:cs="Calibri"/>
                <w:b/>
                <w:bCs/>
                <w:color w:val="000000"/>
                <w:sz w:val="16"/>
                <w:szCs w:val="16"/>
                <w:lang w:eastAsia="fr-FR"/>
              </w:rPr>
            </w:pPr>
          </w:p>
        </w:tc>
        <w:tc>
          <w:tcPr>
            <w:tcW w:w="918" w:type="dxa"/>
            <w:vMerge/>
            <w:vAlign w:val="center"/>
            <w:hideMark/>
          </w:tcPr>
          <w:p w14:paraId="4756E354" w14:textId="77777777" w:rsidR="00016CB7" w:rsidRPr="00F31719" w:rsidRDefault="00016CB7" w:rsidP="00DC119E">
            <w:pPr>
              <w:spacing w:after="0" w:line="240" w:lineRule="auto"/>
              <w:rPr>
                <w:rFonts w:ascii="Calibri" w:eastAsia="Times New Roman" w:hAnsi="Calibri" w:cs="Calibri"/>
                <w:b/>
                <w:bCs/>
                <w:color w:val="000000"/>
                <w:sz w:val="16"/>
                <w:szCs w:val="16"/>
                <w:lang w:eastAsia="fr-FR"/>
              </w:rPr>
            </w:pPr>
          </w:p>
        </w:tc>
        <w:tc>
          <w:tcPr>
            <w:tcW w:w="1229" w:type="dxa"/>
            <w:vMerge/>
            <w:vAlign w:val="center"/>
            <w:hideMark/>
          </w:tcPr>
          <w:p w14:paraId="6B5BE601" w14:textId="77777777" w:rsidR="00016CB7" w:rsidRPr="00F31719" w:rsidRDefault="00016CB7" w:rsidP="00DC119E">
            <w:pPr>
              <w:spacing w:after="0" w:line="240" w:lineRule="auto"/>
              <w:rPr>
                <w:rFonts w:ascii="Calibri" w:eastAsia="Times New Roman" w:hAnsi="Calibri" w:cs="Calibri"/>
                <w:b/>
                <w:bCs/>
                <w:color w:val="000000"/>
                <w:sz w:val="16"/>
                <w:szCs w:val="16"/>
                <w:lang w:eastAsia="fr-FR"/>
              </w:rPr>
            </w:pPr>
          </w:p>
        </w:tc>
        <w:tc>
          <w:tcPr>
            <w:tcW w:w="1547" w:type="dxa"/>
            <w:shd w:val="clear" w:color="auto" w:fill="auto"/>
            <w:vAlign w:val="center"/>
            <w:hideMark/>
          </w:tcPr>
          <w:p w14:paraId="3F93A20F"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NM</w:t>
            </w:r>
          </w:p>
        </w:tc>
        <w:tc>
          <w:tcPr>
            <w:tcW w:w="1082" w:type="dxa"/>
            <w:shd w:val="clear" w:color="auto" w:fill="auto"/>
            <w:vAlign w:val="center"/>
            <w:hideMark/>
          </w:tcPr>
          <w:p w14:paraId="1DBCF04B"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 xml:space="preserve">TRANSCRIPT VARIANT </w:t>
            </w:r>
          </w:p>
        </w:tc>
        <w:tc>
          <w:tcPr>
            <w:tcW w:w="524" w:type="dxa"/>
            <w:shd w:val="clear" w:color="auto" w:fill="auto"/>
            <w:vAlign w:val="center"/>
            <w:hideMark/>
          </w:tcPr>
          <w:p w14:paraId="745B34BA"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NT</w:t>
            </w:r>
          </w:p>
        </w:tc>
        <w:tc>
          <w:tcPr>
            <w:tcW w:w="808" w:type="dxa"/>
            <w:shd w:val="clear" w:color="auto" w:fill="auto"/>
            <w:vAlign w:val="center"/>
            <w:hideMark/>
          </w:tcPr>
          <w:p w14:paraId="6A02A859"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EXON 1</w:t>
            </w:r>
          </w:p>
        </w:tc>
        <w:tc>
          <w:tcPr>
            <w:tcW w:w="985" w:type="dxa"/>
            <w:shd w:val="clear" w:color="auto" w:fill="auto"/>
            <w:vAlign w:val="center"/>
            <w:hideMark/>
          </w:tcPr>
          <w:p w14:paraId="03014404"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EXON 2</w:t>
            </w:r>
          </w:p>
        </w:tc>
        <w:tc>
          <w:tcPr>
            <w:tcW w:w="874" w:type="dxa"/>
            <w:shd w:val="clear" w:color="auto" w:fill="auto"/>
            <w:vAlign w:val="center"/>
            <w:hideMark/>
          </w:tcPr>
          <w:p w14:paraId="629AED39"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EXON 3</w:t>
            </w:r>
          </w:p>
        </w:tc>
        <w:tc>
          <w:tcPr>
            <w:tcW w:w="849" w:type="dxa"/>
            <w:shd w:val="clear" w:color="auto" w:fill="auto"/>
            <w:vAlign w:val="center"/>
            <w:hideMark/>
          </w:tcPr>
          <w:p w14:paraId="6C8B7E25"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CDS</w:t>
            </w:r>
          </w:p>
        </w:tc>
        <w:tc>
          <w:tcPr>
            <w:tcW w:w="1400" w:type="dxa"/>
            <w:shd w:val="clear" w:color="auto" w:fill="auto"/>
            <w:vAlign w:val="center"/>
            <w:hideMark/>
          </w:tcPr>
          <w:p w14:paraId="3E734B80"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NP</w:t>
            </w:r>
          </w:p>
        </w:tc>
        <w:tc>
          <w:tcPr>
            <w:tcW w:w="449" w:type="dxa"/>
            <w:shd w:val="clear" w:color="auto" w:fill="auto"/>
            <w:vAlign w:val="center"/>
            <w:hideMark/>
          </w:tcPr>
          <w:p w14:paraId="6824434A"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AA</w:t>
            </w:r>
          </w:p>
        </w:tc>
        <w:tc>
          <w:tcPr>
            <w:tcW w:w="899" w:type="dxa"/>
            <w:shd w:val="clear" w:color="auto" w:fill="auto"/>
            <w:vAlign w:val="center"/>
            <w:hideMark/>
          </w:tcPr>
          <w:p w14:paraId="52366D43"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ISOFORM</w:t>
            </w:r>
          </w:p>
        </w:tc>
      </w:tr>
      <w:tr w:rsidR="00016CB7" w:rsidRPr="00F31719" w14:paraId="26D5F9C3" w14:textId="77777777" w:rsidTr="00DC119E">
        <w:trPr>
          <w:trHeight w:val="274"/>
        </w:trPr>
        <w:tc>
          <w:tcPr>
            <w:tcW w:w="798" w:type="dxa"/>
            <w:shd w:val="clear" w:color="auto" w:fill="FFFFFF" w:themeFill="background1"/>
            <w:vAlign w:val="center"/>
            <w:hideMark/>
          </w:tcPr>
          <w:p w14:paraId="653AAD59"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Human</w:t>
            </w:r>
          </w:p>
        </w:tc>
        <w:tc>
          <w:tcPr>
            <w:tcW w:w="918" w:type="dxa"/>
            <w:shd w:val="clear" w:color="auto" w:fill="auto"/>
            <w:vAlign w:val="center"/>
            <w:hideMark/>
          </w:tcPr>
          <w:p w14:paraId="17191FCD"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w:t>
            </w:r>
          </w:p>
        </w:tc>
        <w:tc>
          <w:tcPr>
            <w:tcW w:w="1229" w:type="dxa"/>
            <w:shd w:val="clear" w:color="auto" w:fill="auto"/>
            <w:vAlign w:val="center"/>
            <w:hideMark/>
          </w:tcPr>
          <w:p w14:paraId="39E5C79A"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NC_000001.11</w:t>
            </w:r>
          </w:p>
        </w:tc>
        <w:tc>
          <w:tcPr>
            <w:tcW w:w="1547" w:type="dxa"/>
            <w:shd w:val="clear" w:color="auto" w:fill="auto"/>
            <w:vAlign w:val="center"/>
            <w:hideMark/>
          </w:tcPr>
          <w:p w14:paraId="3F272767"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NM_001841.3</w:t>
            </w:r>
          </w:p>
        </w:tc>
        <w:tc>
          <w:tcPr>
            <w:tcW w:w="1082" w:type="dxa"/>
            <w:shd w:val="clear" w:color="000000" w:fill="D9D9D9"/>
            <w:vAlign w:val="center"/>
            <w:hideMark/>
          </w:tcPr>
          <w:p w14:paraId="5C1F66B2"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c>
          <w:tcPr>
            <w:tcW w:w="524" w:type="dxa"/>
            <w:shd w:val="clear" w:color="auto" w:fill="auto"/>
            <w:vAlign w:val="center"/>
            <w:hideMark/>
          </w:tcPr>
          <w:p w14:paraId="3BB3910F"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5265</w:t>
            </w:r>
          </w:p>
        </w:tc>
        <w:tc>
          <w:tcPr>
            <w:tcW w:w="808" w:type="dxa"/>
            <w:shd w:val="clear" w:color="auto" w:fill="auto"/>
            <w:vAlign w:val="center"/>
            <w:hideMark/>
          </w:tcPr>
          <w:p w14:paraId="72D0B07B"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1-117</w:t>
            </w:r>
          </w:p>
        </w:tc>
        <w:tc>
          <w:tcPr>
            <w:tcW w:w="985" w:type="dxa"/>
            <w:shd w:val="clear" w:color="auto" w:fill="auto"/>
            <w:vAlign w:val="center"/>
            <w:hideMark/>
          </w:tcPr>
          <w:p w14:paraId="4B0F5C30"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118-5265</w:t>
            </w:r>
          </w:p>
        </w:tc>
        <w:tc>
          <w:tcPr>
            <w:tcW w:w="874" w:type="dxa"/>
            <w:shd w:val="clear" w:color="000000" w:fill="D9D9D9"/>
            <w:vAlign w:val="center"/>
            <w:hideMark/>
          </w:tcPr>
          <w:p w14:paraId="275080DF"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c>
          <w:tcPr>
            <w:tcW w:w="849" w:type="dxa"/>
            <w:shd w:val="clear" w:color="auto" w:fill="auto"/>
            <w:vAlign w:val="center"/>
            <w:hideMark/>
          </w:tcPr>
          <w:p w14:paraId="566C9FE9"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163-1245</w:t>
            </w:r>
          </w:p>
        </w:tc>
        <w:tc>
          <w:tcPr>
            <w:tcW w:w="1400" w:type="dxa"/>
            <w:shd w:val="clear" w:color="auto" w:fill="auto"/>
            <w:vAlign w:val="center"/>
            <w:hideMark/>
          </w:tcPr>
          <w:p w14:paraId="203F90A1"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NP_001832</w:t>
            </w:r>
          </w:p>
        </w:tc>
        <w:tc>
          <w:tcPr>
            <w:tcW w:w="449" w:type="dxa"/>
            <w:shd w:val="clear" w:color="auto" w:fill="auto"/>
            <w:vAlign w:val="center"/>
            <w:hideMark/>
          </w:tcPr>
          <w:p w14:paraId="419C21F1"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360</w:t>
            </w:r>
          </w:p>
        </w:tc>
        <w:tc>
          <w:tcPr>
            <w:tcW w:w="899" w:type="dxa"/>
            <w:shd w:val="clear" w:color="000000" w:fill="D9D9D9"/>
            <w:vAlign w:val="center"/>
            <w:hideMark/>
          </w:tcPr>
          <w:p w14:paraId="1DCEEFE6"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r>
      <w:tr w:rsidR="00016CB7" w:rsidRPr="00F31719" w14:paraId="62332E91" w14:textId="77777777" w:rsidTr="00DC119E">
        <w:trPr>
          <w:trHeight w:val="258"/>
        </w:trPr>
        <w:tc>
          <w:tcPr>
            <w:tcW w:w="798" w:type="dxa"/>
            <w:vMerge w:val="restart"/>
            <w:shd w:val="clear" w:color="auto" w:fill="FFFFFF" w:themeFill="background1"/>
            <w:vAlign w:val="center"/>
            <w:hideMark/>
          </w:tcPr>
          <w:p w14:paraId="79DB71F2"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Mouse</w:t>
            </w:r>
          </w:p>
        </w:tc>
        <w:tc>
          <w:tcPr>
            <w:tcW w:w="918" w:type="dxa"/>
            <w:vMerge w:val="restart"/>
            <w:shd w:val="clear" w:color="auto" w:fill="auto"/>
            <w:vAlign w:val="center"/>
            <w:hideMark/>
          </w:tcPr>
          <w:p w14:paraId="72AF5562"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4</w:t>
            </w:r>
          </w:p>
        </w:tc>
        <w:tc>
          <w:tcPr>
            <w:tcW w:w="1229" w:type="dxa"/>
            <w:vMerge w:val="restart"/>
            <w:shd w:val="clear" w:color="auto" w:fill="auto"/>
            <w:vAlign w:val="center"/>
            <w:hideMark/>
          </w:tcPr>
          <w:p w14:paraId="4B6B9633"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NC_000070.7</w:t>
            </w:r>
          </w:p>
        </w:tc>
        <w:tc>
          <w:tcPr>
            <w:tcW w:w="1547" w:type="dxa"/>
            <w:shd w:val="clear" w:color="auto" w:fill="auto"/>
            <w:vAlign w:val="center"/>
            <w:hideMark/>
          </w:tcPr>
          <w:p w14:paraId="796DF745"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NM_009924.4</w:t>
            </w:r>
          </w:p>
        </w:tc>
        <w:tc>
          <w:tcPr>
            <w:tcW w:w="1082" w:type="dxa"/>
            <w:shd w:val="clear" w:color="auto" w:fill="auto"/>
            <w:vAlign w:val="center"/>
            <w:hideMark/>
          </w:tcPr>
          <w:p w14:paraId="0AB3FC9E"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Variant 1</w:t>
            </w:r>
          </w:p>
        </w:tc>
        <w:tc>
          <w:tcPr>
            <w:tcW w:w="524" w:type="dxa"/>
            <w:shd w:val="clear" w:color="auto" w:fill="auto"/>
            <w:vAlign w:val="center"/>
            <w:hideMark/>
          </w:tcPr>
          <w:p w14:paraId="35EEF844"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4084</w:t>
            </w:r>
          </w:p>
        </w:tc>
        <w:tc>
          <w:tcPr>
            <w:tcW w:w="808" w:type="dxa"/>
            <w:shd w:val="clear" w:color="auto" w:fill="auto"/>
            <w:vAlign w:val="center"/>
            <w:hideMark/>
          </w:tcPr>
          <w:p w14:paraId="2BB70B64"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1-431</w:t>
            </w:r>
          </w:p>
        </w:tc>
        <w:tc>
          <w:tcPr>
            <w:tcW w:w="985" w:type="dxa"/>
            <w:shd w:val="clear" w:color="auto" w:fill="auto"/>
            <w:vAlign w:val="center"/>
            <w:hideMark/>
          </w:tcPr>
          <w:p w14:paraId="283CC822"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432-4084</w:t>
            </w:r>
          </w:p>
        </w:tc>
        <w:tc>
          <w:tcPr>
            <w:tcW w:w="874" w:type="dxa"/>
            <w:shd w:val="clear" w:color="000000" w:fill="D9D9D9"/>
            <w:vAlign w:val="center"/>
            <w:hideMark/>
          </w:tcPr>
          <w:p w14:paraId="3ED67ACC"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c>
          <w:tcPr>
            <w:tcW w:w="849" w:type="dxa"/>
            <w:shd w:val="clear" w:color="auto" w:fill="auto"/>
            <w:vAlign w:val="center"/>
            <w:hideMark/>
          </w:tcPr>
          <w:p w14:paraId="4531B1A9"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478-1521</w:t>
            </w:r>
          </w:p>
        </w:tc>
        <w:tc>
          <w:tcPr>
            <w:tcW w:w="1400" w:type="dxa"/>
            <w:shd w:val="clear" w:color="auto" w:fill="auto"/>
            <w:vAlign w:val="center"/>
            <w:hideMark/>
          </w:tcPr>
          <w:p w14:paraId="1E797A29"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NP_034054.3</w:t>
            </w:r>
          </w:p>
        </w:tc>
        <w:tc>
          <w:tcPr>
            <w:tcW w:w="449" w:type="dxa"/>
            <w:vMerge w:val="restart"/>
            <w:shd w:val="clear" w:color="auto" w:fill="auto"/>
            <w:vAlign w:val="center"/>
            <w:hideMark/>
          </w:tcPr>
          <w:p w14:paraId="35504199"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347</w:t>
            </w:r>
          </w:p>
        </w:tc>
        <w:tc>
          <w:tcPr>
            <w:tcW w:w="899" w:type="dxa"/>
            <w:vMerge w:val="restart"/>
            <w:shd w:val="clear" w:color="000000" w:fill="D9D9D9"/>
            <w:vAlign w:val="center"/>
            <w:hideMark/>
          </w:tcPr>
          <w:p w14:paraId="62F16817"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r>
      <w:tr w:rsidR="00016CB7" w:rsidRPr="00F31719" w14:paraId="64F7B00E" w14:textId="77777777" w:rsidTr="00DC119E">
        <w:trPr>
          <w:trHeight w:val="258"/>
        </w:trPr>
        <w:tc>
          <w:tcPr>
            <w:tcW w:w="798" w:type="dxa"/>
            <w:vMerge/>
            <w:shd w:val="clear" w:color="auto" w:fill="FFFFFF" w:themeFill="background1"/>
            <w:vAlign w:val="center"/>
            <w:hideMark/>
          </w:tcPr>
          <w:p w14:paraId="608E6650" w14:textId="77777777" w:rsidR="00016CB7" w:rsidRPr="00F31719" w:rsidRDefault="00016CB7" w:rsidP="00DC119E">
            <w:pPr>
              <w:spacing w:after="0" w:line="240" w:lineRule="auto"/>
              <w:rPr>
                <w:rFonts w:ascii="Calibri" w:eastAsia="Times New Roman" w:hAnsi="Calibri" w:cs="Calibri"/>
                <w:b/>
                <w:bCs/>
                <w:color w:val="000000"/>
                <w:sz w:val="16"/>
                <w:szCs w:val="16"/>
                <w:lang w:eastAsia="fr-FR"/>
              </w:rPr>
            </w:pPr>
          </w:p>
        </w:tc>
        <w:tc>
          <w:tcPr>
            <w:tcW w:w="918" w:type="dxa"/>
            <w:vMerge/>
            <w:vAlign w:val="center"/>
            <w:hideMark/>
          </w:tcPr>
          <w:p w14:paraId="51F7EBA5" w14:textId="77777777" w:rsidR="00016CB7" w:rsidRPr="00F31719" w:rsidRDefault="00016CB7" w:rsidP="00DC119E">
            <w:pPr>
              <w:spacing w:after="0" w:line="240" w:lineRule="auto"/>
              <w:rPr>
                <w:rFonts w:ascii="Calibri" w:eastAsia="Times New Roman" w:hAnsi="Calibri" w:cs="Calibri"/>
                <w:color w:val="000000"/>
                <w:sz w:val="16"/>
                <w:szCs w:val="16"/>
                <w:lang w:eastAsia="fr-FR"/>
              </w:rPr>
            </w:pPr>
          </w:p>
        </w:tc>
        <w:tc>
          <w:tcPr>
            <w:tcW w:w="1229" w:type="dxa"/>
            <w:vMerge/>
            <w:vAlign w:val="center"/>
            <w:hideMark/>
          </w:tcPr>
          <w:p w14:paraId="2F17F7F4" w14:textId="77777777" w:rsidR="00016CB7" w:rsidRPr="00F31719" w:rsidRDefault="00016CB7" w:rsidP="00DC119E">
            <w:pPr>
              <w:spacing w:after="0" w:line="240" w:lineRule="auto"/>
              <w:rPr>
                <w:rFonts w:ascii="Calibri" w:eastAsia="Times New Roman" w:hAnsi="Calibri" w:cs="Calibri"/>
                <w:color w:val="000000"/>
                <w:sz w:val="16"/>
                <w:szCs w:val="16"/>
                <w:lang w:eastAsia="fr-FR"/>
              </w:rPr>
            </w:pPr>
          </w:p>
        </w:tc>
        <w:tc>
          <w:tcPr>
            <w:tcW w:w="1547" w:type="dxa"/>
            <w:shd w:val="clear" w:color="auto" w:fill="auto"/>
            <w:vAlign w:val="center"/>
            <w:hideMark/>
          </w:tcPr>
          <w:p w14:paraId="45900B68"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NM_001305278.1</w:t>
            </w:r>
          </w:p>
        </w:tc>
        <w:tc>
          <w:tcPr>
            <w:tcW w:w="1082" w:type="dxa"/>
            <w:shd w:val="clear" w:color="auto" w:fill="auto"/>
            <w:vAlign w:val="center"/>
            <w:hideMark/>
          </w:tcPr>
          <w:p w14:paraId="42125E5C"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Variant 2</w:t>
            </w:r>
          </w:p>
        </w:tc>
        <w:tc>
          <w:tcPr>
            <w:tcW w:w="524" w:type="dxa"/>
            <w:shd w:val="clear" w:color="auto" w:fill="auto"/>
            <w:vAlign w:val="center"/>
            <w:hideMark/>
          </w:tcPr>
          <w:p w14:paraId="55BAD77F"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3906</w:t>
            </w:r>
          </w:p>
        </w:tc>
        <w:tc>
          <w:tcPr>
            <w:tcW w:w="808" w:type="dxa"/>
            <w:shd w:val="clear" w:color="auto" w:fill="auto"/>
            <w:vAlign w:val="center"/>
            <w:hideMark/>
          </w:tcPr>
          <w:p w14:paraId="7BEA0870"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1-253</w:t>
            </w:r>
          </w:p>
        </w:tc>
        <w:tc>
          <w:tcPr>
            <w:tcW w:w="985" w:type="dxa"/>
            <w:shd w:val="clear" w:color="auto" w:fill="auto"/>
            <w:vAlign w:val="center"/>
            <w:hideMark/>
          </w:tcPr>
          <w:p w14:paraId="5C52A0B4"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254-3906</w:t>
            </w:r>
          </w:p>
        </w:tc>
        <w:tc>
          <w:tcPr>
            <w:tcW w:w="874" w:type="dxa"/>
            <w:shd w:val="clear" w:color="000000" w:fill="D9D9D9"/>
            <w:vAlign w:val="center"/>
            <w:hideMark/>
          </w:tcPr>
          <w:p w14:paraId="68EC0882"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c>
          <w:tcPr>
            <w:tcW w:w="849" w:type="dxa"/>
            <w:shd w:val="clear" w:color="auto" w:fill="auto"/>
            <w:vAlign w:val="center"/>
            <w:hideMark/>
          </w:tcPr>
          <w:p w14:paraId="420F4B61"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300-1343</w:t>
            </w:r>
          </w:p>
        </w:tc>
        <w:tc>
          <w:tcPr>
            <w:tcW w:w="1400" w:type="dxa"/>
            <w:shd w:val="clear" w:color="auto" w:fill="auto"/>
            <w:vAlign w:val="center"/>
            <w:hideMark/>
          </w:tcPr>
          <w:p w14:paraId="5FCB8E25"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NP_001292207.1</w:t>
            </w:r>
          </w:p>
        </w:tc>
        <w:tc>
          <w:tcPr>
            <w:tcW w:w="449" w:type="dxa"/>
            <w:vMerge/>
            <w:vAlign w:val="center"/>
            <w:hideMark/>
          </w:tcPr>
          <w:p w14:paraId="1F190D57" w14:textId="77777777" w:rsidR="00016CB7" w:rsidRPr="00F31719" w:rsidRDefault="00016CB7" w:rsidP="00DC119E">
            <w:pPr>
              <w:spacing w:after="0" w:line="240" w:lineRule="auto"/>
              <w:rPr>
                <w:rFonts w:ascii="Calibri" w:eastAsia="Times New Roman" w:hAnsi="Calibri" w:cs="Calibri"/>
                <w:color w:val="000000"/>
                <w:sz w:val="16"/>
                <w:szCs w:val="16"/>
                <w:lang w:eastAsia="fr-FR"/>
              </w:rPr>
            </w:pPr>
          </w:p>
        </w:tc>
        <w:tc>
          <w:tcPr>
            <w:tcW w:w="899" w:type="dxa"/>
            <w:vMerge/>
            <w:vAlign w:val="center"/>
            <w:hideMark/>
          </w:tcPr>
          <w:p w14:paraId="1F218BAA" w14:textId="77777777" w:rsidR="00016CB7" w:rsidRPr="00F31719" w:rsidRDefault="00016CB7" w:rsidP="00DC119E">
            <w:pPr>
              <w:spacing w:after="0" w:line="240" w:lineRule="auto"/>
              <w:rPr>
                <w:rFonts w:ascii="Calibri" w:eastAsia="Times New Roman" w:hAnsi="Calibri" w:cs="Calibri"/>
                <w:color w:val="000000"/>
                <w:sz w:val="16"/>
                <w:szCs w:val="16"/>
                <w:lang w:eastAsia="fr-FR"/>
              </w:rPr>
            </w:pPr>
          </w:p>
        </w:tc>
      </w:tr>
      <w:tr w:rsidR="00016CB7" w:rsidRPr="00F31719" w14:paraId="334A020F" w14:textId="77777777" w:rsidTr="00DC119E">
        <w:trPr>
          <w:trHeight w:val="258"/>
        </w:trPr>
        <w:tc>
          <w:tcPr>
            <w:tcW w:w="798" w:type="dxa"/>
            <w:vMerge w:val="restart"/>
            <w:shd w:val="clear" w:color="auto" w:fill="FFFFFF" w:themeFill="background1"/>
            <w:vAlign w:val="center"/>
            <w:hideMark/>
          </w:tcPr>
          <w:p w14:paraId="0D29E4E0"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Rat</w:t>
            </w:r>
          </w:p>
        </w:tc>
        <w:tc>
          <w:tcPr>
            <w:tcW w:w="918" w:type="dxa"/>
            <w:vMerge w:val="restart"/>
            <w:shd w:val="clear" w:color="auto" w:fill="auto"/>
            <w:vAlign w:val="center"/>
            <w:hideMark/>
          </w:tcPr>
          <w:p w14:paraId="1B3E2C69"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5</w:t>
            </w:r>
          </w:p>
        </w:tc>
        <w:tc>
          <w:tcPr>
            <w:tcW w:w="1229" w:type="dxa"/>
            <w:vMerge w:val="restart"/>
            <w:shd w:val="clear" w:color="auto" w:fill="auto"/>
            <w:vAlign w:val="center"/>
            <w:hideMark/>
          </w:tcPr>
          <w:p w14:paraId="3B3A731D"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NC_051340.1</w:t>
            </w:r>
          </w:p>
        </w:tc>
        <w:tc>
          <w:tcPr>
            <w:tcW w:w="1547" w:type="dxa"/>
            <w:shd w:val="clear" w:color="auto" w:fill="auto"/>
            <w:vAlign w:val="center"/>
            <w:hideMark/>
          </w:tcPr>
          <w:p w14:paraId="4C5EF780"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NM_001164143.3</w:t>
            </w:r>
          </w:p>
        </w:tc>
        <w:tc>
          <w:tcPr>
            <w:tcW w:w="1082" w:type="dxa"/>
            <w:shd w:val="clear" w:color="auto" w:fill="auto"/>
            <w:vAlign w:val="center"/>
            <w:hideMark/>
          </w:tcPr>
          <w:p w14:paraId="7249CCC7"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Variant 1</w:t>
            </w:r>
          </w:p>
        </w:tc>
        <w:tc>
          <w:tcPr>
            <w:tcW w:w="524" w:type="dxa"/>
            <w:shd w:val="clear" w:color="auto" w:fill="auto"/>
            <w:vAlign w:val="center"/>
            <w:hideMark/>
          </w:tcPr>
          <w:p w14:paraId="1441E1FC"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3300</w:t>
            </w:r>
          </w:p>
        </w:tc>
        <w:tc>
          <w:tcPr>
            <w:tcW w:w="808" w:type="dxa"/>
            <w:shd w:val="clear" w:color="auto" w:fill="auto"/>
            <w:vAlign w:val="center"/>
            <w:hideMark/>
          </w:tcPr>
          <w:p w14:paraId="3E874568"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1-220</w:t>
            </w:r>
          </w:p>
        </w:tc>
        <w:tc>
          <w:tcPr>
            <w:tcW w:w="985" w:type="dxa"/>
            <w:shd w:val="clear" w:color="auto" w:fill="auto"/>
            <w:vAlign w:val="center"/>
            <w:hideMark/>
          </w:tcPr>
          <w:p w14:paraId="667E7DD9"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221-3330</w:t>
            </w:r>
          </w:p>
        </w:tc>
        <w:tc>
          <w:tcPr>
            <w:tcW w:w="874" w:type="dxa"/>
            <w:shd w:val="clear" w:color="000000" w:fill="D9D9D9"/>
            <w:vAlign w:val="center"/>
            <w:hideMark/>
          </w:tcPr>
          <w:p w14:paraId="1DAECA39"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c>
          <w:tcPr>
            <w:tcW w:w="849" w:type="dxa"/>
            <w:shd w:val="clear" w:color="auto" w:fill="auto"/>
            <w:vAlign w:val="center"/>
            <w:hideMark/>
          </w:tcPr>
          <w:p w14:paraId="55909EC2"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271-1353</w:t>
            </w:r>
          </w:p>
        </w:tc>
        <w:tc>
          <w:tcPr>
            <w:tcW w:w="1400" w:type="dxa"/>
            <w:shd w:val="clear" w:color="auto" w:fill="auto"/>
            <w:vAlign w:val="center"/>
            <w:hideMark/>
          </w:tcPr>
          <w:p w14:paraId="28275F34"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NP_001157615.1</w:t>
            </w:r>
          </w:p>
        </w:tc>
        <w:tc>
          <w:tcPr>
            <w:tcW w:w="449" w:type="dxa"/>
            <w:vMerge w:val="restart"/>
            <w:shd w:val="clear" w:color="auto" w:fill="auto"/>
            <w:vAlign w:val="center"/>
            <w:hideMark/>
          </w:tcPr>
          <w:p w14:paraId="097C28DB"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360</w:t>
            </w:r>
          </w:p>
        </w:tc>
        <w:tc>
          <w:tcPr>
            <w:tcW w:w="899" w:type="dxa"/>
            <w:vMerge w:val="restart"/>
            <w:shd w:val="clear" w:color="auto" w:fill="auto"/>
            <w:vAlign w:val="center"/>
            <w:hideMark/>
          </w:tcPr>
          <w:p w14:paraId="7B3820AA"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w:t>
            </w:r>
          </w:p>
        </w:tc>
      </w:tr>
      <w:tr w:rsidR="00016CB7" w:rsidRPr="00F31719" w14:paraId="1069777F" w14:textId="77777777" w:rsidTr="00DC119E">
        <w:trPr>
          <w:trHeight w:val="258"/>
        </w:trPr>
        <w:tc>
          <w:tcPr>
            <w:tcW w:w="798" w:type="dxa"/>
            <w:vMerge/>
            <w:shd w:val="clear" w:color="auto" w:fill="FFFFFF" w:themeFill="background1"/>
            <w:vAlign w:val="center"/>
            <w:hideMark/>
          </w:tcPr>
          <w:p w14:paraId="393DCD4B" w14:textId="77777777" w:rsidR="00016CB7" w:rsidRPr="00F31719" w:rsidRDefault="00016CB7" w:rsidP="00DC119E">
            <w:pPr>
              <w:spacing w:after="0" w:line="240" w:lineRule="auto"/>
              <w:rPr>
                <w:rFonts w:ascii="Calibri" w:eastAsia="Times New Roman" w:hAnsi="Calibri" w:cs="Calibri"/>
                <w:b/>
                <w:bCs/>
                <w:color w:val="000000"/>
                <w:sz w:val="16"/>
                <w:szCs w:val="16"/>
                <w:lang w:eastAsia="fr-FR"/>
              </w:rPr>
            </w:pPr>
          </w:p>
        </w:tc>
        <w:tc>
          <w:tcPr>
            <w:tcW w:w="918" w:type="dxa"/>
            <w:vMerge/>
            <w:vAlign w:val="center"/>
            <w:hideMark/>
          </w:tcPr>
          <w:p w14:paraId="12F999E7" w14:textId="77777777" w:rsidR="00016CB7" w:rsidRPr="00F31719" w:rsidRDefault="00016CB7" w:rsidP="00DC119E">
            <w:pPr>
              <w:spacing w:after="0" w:line="240" w:lineRule="auto"/>
              <w:rPr>
                <w:rFonts w:ascii="Calibri" w:eastAsia="Times New Roman" w:hAnsi="Calibri" w:cs="Calibri"/>
                <w:color w:val="000000"/>
                <w:sz w:val="16"/>
                <w:szCs w:val="16"/>
                <w:lang w:eastAsia="fr-FR"/>
              </w:rPr>
            </w:pPr>
          </w:p>
        </w:tc>
        <w:tc>
          <w:tcPr>
            <w:tcW w:w="1229" w:type="dxa"/>
            <w:vMerge/>
            <w:vAlign w:val="center"/>
            <w:hideMark/>
          </w:tcPr>
          <w:p w14:paraId="0C91FCBA" w14:textId="77777777" w:rsidR="00016CB7" w:rsidRPr="00F31719" w:rsidRDefault="00016CB7" w:rsidP="00DC119E">
            <w:pPr>
              <w:spacing w:after="0" w:line="240" w:lineRule="auto"/>
              <w:rPr>
                <w:rFonts w:ascii="Calibri" w:eastAsia="Times New Roman" w:hAnsi="Calibri" w:cs="Calibri"/>
                <w:color w:val="000000"/>
                <w:sz w:val="16"/>
                <w:szCs w:val="16"/>
                <w:lang w:eastAsia="fr-FR"/>
              </w:rPr>
            </w:pPr>
          </w:p>
        </w:tc>
        <w:tc>
          <w:tcPr>
            <w:tcW w:w="1547" w:type="dxa"/>
            <w:shd w:val="clear" w:color="auto" w:fill="auto"/>
            <w:vAlign w:val="center"/>
            <w:hideMark/>
          </w:tcPr>
          <w:p w14:paraId="57991BD3"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NM_001164142.3</w:t>
            </w:r>
          </w:p>
        </w:tc>
        <w:tc>
          <w:tcPr>
            <w:tcW w:w="1082" w:type="dxa"/>
            <w:shd w:val="clear" w:color="auto" w:fill="auto"/>
            <w:vAlign w:val="center"/>
            <w:hideMark/>
          </w:tcPr>
          <w:p w14:paraId="27CD4698"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Variant 2</w:t>
            </w:r>
          </w:p>
        </w:tc>
        <w:tc>
          <w:tcPr>
            <w:tcW w:w="524" w:type="dxa"/>
            <w:shd w:val="clear" w:color="auto" w:fill="auto"/>
            <w:vAlign w:val="center"/>
            <w:hideMark/>
          </w:tcPr>
          <w:p w14:paraId="091A0000"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3198</w:t>
            </w:r>
          </w:p>
        </w:tc>
        <w:tc>
          <w:tcPr>
            <w:tcW w:w="808" w:type="dxa"/>
            <w:shd w:val="clear" w:color="auto" w:fill="auto"/>
            <w:vAlign w:val="center"/>
            <w:hideMark/>
          </w:tcPr>
          <w:p w14:paraId="457EBE1E"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1-118</w:t>
            </w:r>
          </w:p>
        </w:tc>
        <w:tc>
          <w:tcPr>
            <w:tcW w:w="985" w:type="dxa"/>
            <w:shd w:val="clear" w:color="auto" w:fill="auto"/>
            <w:vAlign w:val="center"/>
            <w:hideMark/>
          </w:tcPr>
          <w:p w14:paraId="2A504EA1"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119-3198</w:t>
            </w:r>
          </w:p>
        </w:tc>
        <w:tc>
          <w:tcPr>
            <w:tcW w:w="874" w:type="dxa"/>
            <w:shd w:val="clear" w:color="000000" w:fill="D9D9D9"/>
            <w:vAlign w:val="center"/>
            <w:hideMark/>
          </w:tcPr>
          <w:p w14:paraId="65E54623"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c>
          <w:tcPr>
            <w:tcW w:w="849" w:type="dxa"/>
            <w:shd w:val="clear" w:color="auto" w:fill="auto"/>
            <w:vAlign w:val="center"/>
            <w:hideMark/>
          </w:tcPr>
          <w:p w14:paraId="27C089C7"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169-1251</w:t>
            </w:r>
          </w:p>
        </w:tc>
        <w:tc>
          <w:tcPr>
            <w:tcW w:w="1400" w:type="dxa"/>
            <w:shd w:val="clear" w:color="auto" w:fill="auto"/>
            <w:vAlign w:val="center"/>
            <w:hideMark/>
          </w:tcPr>
          <w:p w14:paraId="207261B3"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NP_001157614.1</w:t>
            </w:r>
          </w:p>
        </w:tc>
        <w:tc>
          <w:tcPr>
            <w:tcW w:w="449" w:type="dxa"/>
            <w:vMerge/>
            <w:vAlign w:val="center"/>
            <w:hideMark/>
          </w:tcPr>
          <w:p w14:paraId="5F1AD1AA" w14:textId="77777777" w:rsidR="00016CB7" w:rsidRPr="00F31719" w:rsidRDefault="00016CB7" w:rsidP="00DC119E">
            <w:pPr>
              <w:spacing w:after="0" w:line="240" w:lineRule="auto"/>
              <w:rPr>
                <w:rFonts w:ascii="Calibri" w:eastAsia="Times New Roman" w:hAnsi="Calibri" w:cs="Calibri"/>
                <w:color w:val="000000"/>
                <w:sz w:val="16"/>
                <w:szCs w:val="16"/>
                <w:lang w:eastAsia="fr-FR"/>
              </w:rPr>
            </w:pPr>
          </w:p>
        </w:tc>
        <w:tc>
          <w:tcPr>
            <w:tcW w:w="899" w:type="dxa"/>
            <w:vMerge/>
            <w:vAlign w:val="center"/>
            <w:hideMark/>
          </w:tcPr>
          <w:p w14:paraId="22EA4518" w14:textId="77777777" w:rsidR="00016CB7" w:rsidRPr="00F31719" w:rsidRDefault="00016CB7" w:rsidP="00DC119E">
            <w:pPr>
              <w:spacing w:after="0" w:line="240" w:lineRule="auto"/>
              <w:rPr>
                <w:rFonts w:ascii="Calibri" w:eastAsia="Times New Roman" w:hAnsi="Calibri" w:cs="Calibri"/>
                <w:color w:val="000000"/>
                <w:sz w:val="16"/>
                <w:szCs w:val="16"/>
                <w:lang w:eastAsia="fr-FR"/>
              </w:rPr>
            </w:pPr>
          </w:p>
        </w:tc>
      </w:tr>
      <w:tr w:rsidR="00016CB7" w:rsidRPr="00F31719" w14:paraId="65BC806B" w14:textId="77777777" w:rsidTr="00DC119E">
        <w:trPr>
          <w:trHeight w:val="274"/>
        </w:trPr>
        <w:tc>
          <w:tcPr>
            <w:tcW w:w="798" w:type="dxa"/>
            <w:vMerge/>
            <w:shd w:val="clear" w:color="auto" w:fill="FFFFFF" w:themeFill="background1"/>
            <w:vAlign w:val="center"/>
            <w:hideMark/>
          </w:tcPr>
          <w:p w14:paraId="391A0B71" w14:textId="77777777" w:rsidR="00016CB7" w:rsidRPr="00F31719" w:rsidRDefault="00016CB7" w:rsidP="00DC119E">
            <w:pPr>
              <w:spacing w:after="0" w:line="240" w:lineRule="auto"/>
              <w:rPr>
                <w:rFonts w:ascii="Calibri" w:eastAsia="Times New Roman" w:hAnsi="Calibri" w:cs="Calibri"/>
                <w:b/>
                <w:bCs/>
                <w:color w:val="000000"/>
                <w:sz w:val="16"/>
                <w:szCs w:val="16"/>
                <w:lang w:eastAsia="fr-FR"/>
              </w:rPr>
            </w:pPr>
          </w:p>
        </w:tc>
        <w:tc>
          <w:tcPr>
            <w:tcW w:w="918" w:type="dxa"/>
            <w:vMerge/>
            <w:vAlign w:val="center"/>
            <w:hideMark/>
          </w:tcPr>
          <w:p w14:paraId="3735D2C1" w14:textId="77777777" w:rsidR="00016CB7" w:rsidRPr="00F31719" w:rsidRDefault="00016CB7" w:rsidP="00DC119E">
            <w:pPr>
              <w:spacing w:after="0" w:line="240" w:lineRule="auto"/>
              <w:rPr>
                <w:rFonts w:ascii="Calibri" w:eastAsia="Times New Roman" w:hAnsi="Calibri" w:cs="Calibri"/>
                <w:color w:val="000000"/>
                <w:sz w:val="16"/>
                <w:szCs w:val="16"/>
                <w:lang w:eastAsia="fr-FR"/>
              </w:rPr>
            </w:pPr>
          </w:p>
        </w:tc>
        <w:tc>
          <w:tcPr>
            <w:tcW w:w="1229" w:type="dxa"/>
            <w:vMerge/>
            <w:vAlign w:val="center"/>
            <w:hideMark/>
          </w:tcPr>
          <w:p w14:paraId="26E314C0" w14:textId="77777777" w:rsidR="00016CB7" w:rsidRPr="00F31719" w:rsidRDefault="00016CB7" w:rsidP="00DC119E">
            <w:pPr>
              <w:spacing w:after="0" w:line="240" w:lineRule="auto"/>
              <w:rPr>
                <w:rFonts w:ascii="Calibri" w:eastAsia="Times New Roman" w:hAnsi="Calibri" w:cs="Calibri"/>
                <w:color w:val="000000"/>
                <w:sz w:val="16"/>
                <w:szCs w:val="16"/>
                <w:lang w:eastAsia="fr-FR"/>
              </w:rPr>
            </w:pPr>
          </w:p>
        </w:tc>
        <w:tc>
          <w:tcPr>
            <w:tcW w:w="1547" w:type="dxa"/>
            <w:shd w:val="clear" w:color="auto" w:fill="auto"/>
            <w:vAlign w:val="center"/>
            <w:hideMark/>
          </w:tcPr>
          <w:p w14:paraId="709FCD08"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NM_020543.4</w:t>
            </w:r>
          </w:p>
        </w:tc>
        <w:tc>
          <w:tcPr>
            <w:tcW w:w="1082" w:type="dxa"/>
            <w:shd w:val="clear" w:color="auto" w:fill="auto"/>
            <w:vAlign w:val="center"/>
            <w:hideMark/>
          </w:tcPr>
          <w:p w14:paraId="3D89B074"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Variant 3</w:t>
            </w:r>
          </w:p>
        </w:tc>
        <w:tc>
          <w:tcPr>
            <w:tcW w:w="524" w:type="dxa"/>
            <w:shd w:val="clear" w:color="auto" w:fill="auto"/>
            <w:vAlign w:val="center"/>
            <w:hideMark/>
          </w:tcPr>
          <w:p w14:paraId="6643386A"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1728</w:t>
            </w:r>
          </w:p>
        </w:tc>
        <w:tc>
          <w:tcPr>
            <w:tcW w:w="808" w:type="dxa"/>
            <w:shd w:val="clear" w:color="auto" w:fill="auto"/>
            <w:vAlign w:val="center"/>
            <w:hideMark/>
          </w:tcPr>
          <w:p w14:paraId="3BD83863"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1-1029</w:t>
            </w:r>
          </w:p>
        </w:tc>
        <w:tc>
          <w:tcPr>
            <w:tcW w:w="985" w:type="dxa"/>
            <w:shd w:val="clear" w:color="auto" w:fill="auto"/>
            <w:vAlign w:val="center"/>
            <w:hideMark/>
          </w:tcPr>
          <w:p w14:paraId="70F80DCC"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1030-1114</w:t>
            </w:r>
          </w:p>
        </w:tc>
        <w:tc>
          <w:tcPr>
            <w:tcW w:w="874" w:type="dxa"/>
            <w:shd w:val="clear" w:color="auto" w:fill="auto"/>
            <w:vAlign w:val="center"/>
            <w:hideMark/>
          </w:tcPr>
          <w:p w14:paraId="77363129"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1115-1728</w:t>
            </w:r>
          </w:p>
        </w:tc>
        <w:tc>
          <w:tcPr>
            <w:tcW w:w="849" w:type="dxa"/>
            <w:shd w:val="clear" w:color="auto" w:fill="auto"/>
            <w:vAlign w:val="center"/>
            <w:hideMark/>
          </w:tcPr>
          <w:p w14:paraId="7508DB04"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1-1233</w:t>
            </w:r>
          </w:p>
        </w:tc>
        <w:tc>
          <w:tcPr>
            <w:tcW w:w="1400" w:type="dxa"/>
            <w:shd w:val="clear" w:color="auto" w:fill="auto"/>
            <w:vAlign w:val="center"/>
            <w:hideMark/>
          </w:tcPr>
          <w:p w14:paraId="6FC722A9"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NP_065418.3</w:t>
            </w:r>
          </w:p>
        </w:tc>
        <w:tc>
          <w:tcPr>
            <w:tcW w:w="449" w:type="dxa"/>
            <w:shd w:val="clear" w:color="auto" w:fill="auto"/>
            <w:vAlign w:val="center"/>
            <w:hideMark/>
          </w:tcPr>
          <w:p w14:paraId="45899120"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410</w:t>
            </w:r>
          </w:p>
        </w:tc>
        <w:tc>
          <w:tcPr>
            <w:tcW w:w="899" w:type="dxa"/>
            <w:shd w:val="clear" w:color="auto" w:fill="auto"/>
            <w:vAlign w:val="center"/>
            <w:hideMark/>
          </w:tcPr>
          <w:p w14:paraId="49914979" w14:textId="77777777" w:rsidR="00016CB7" w:rsidRPr="00F31719" w:rsidRDefault="00016CB7" w:rsidP="00DC119E">
            <w:pPr>
              <w:spacing w:after="0" w:line="240" w:lineRule="auto"/>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2</w:t>
            </w:r>
          </w:p>
        </w:tc>
      </w:tr>
    </w:tbl>
    <w:p w14:paraId="0B97846E" w14:textId="77777777" w:rsidR="00016CB7" w:rsidRPr="00F31719" w:rsidRDefault="00016CB7" w:rsidP="00016CB7">
      <w:pPr>
        <w:rPr>
          <w:sz w:val="18"/>
          <w:szCs w:val="18"/>
          <w:lang w:val="en-US"/>
        </w:rPr>
      </w:pPr>
    </w:p>
    <w:p w14:paraId="4EC03798" w14:textId="77777777" w:rsidR="00016CB7" w:rsidRPr="00F31719" w:rsidRDefault="00016CB7" w:rsidP="00016CB7">
      <w:pPr>
        <w:rPr>
          <w:sz w:val="18"/>
          <w:szCs w:val="18"/>
          <w:lang w:val="en-US"/>
        </w:rPr>
      </w:pPr>
      <w:r w:rsidRPr="00F31719">
        <w:rPr>
          <w:sz w:val="18"/>
          <w:szCs w:val="18"/>
          <w:lang w:val="en-US"/>
        </w:rPr>
        <w:t>Abbreviations: AA, amino-acids; CDS, coding sequence; NT, nucleotides.</w:t>
      </w:r>
    </w:p>
    <w:p w14:paraId="3F218E92" w14:textId="77777777" w:rsidR="00016CB7" w:rsidRPr="00F31719" w:rsidRDefault="00016CB7" w:rsidP="00016CB7">
      <w:pPr>
        <w:rPr>
          <w:sz w:val="18"/>
          <w:szCs w:val="18"/>
          <w:lang w:val="en-US"/>
        </w:rPr>
      </w:pPr>
    </w:p>
    <w:p w14:paraId="05675467" w14:textId="77777777" w:rsidR="00016CB7" w:rsidRPr="00F31719" w:rsidRDefault="00016CB7" w:rsidP="00016CB7">
      <w:pPr>
        <w:rPr>
          <w:sz w:val="18"/>
          <w:szCs w:val="18"/>
          <w:lang w:val="en-US"/>
        </w:rPr>
      </w:pPr>
    </w:p>
    <w:p w14:paraId="681DB354" w14:textId="77777777" w:rsidR="00016CB7" w:rsidRPr="00F31719" w:rsidRDefault="00016CB7" w:rsidP="00016CB7">
      <w:pPr>
        <w:rPr>
          <w:b/>
          <w:bCs/>
          <w:lang w:val="en-US"/>
        </w:rPr>
      </w:pPr>
    </w:p>
    <w:p w14:paraId="56759B65" w14:textId="77777777" w:rsidR="00016CB7" w:rsidRPr="00F31719" w:rsidRDefault="00016CB7" w:rsidP="00016CB7">
      <w:pPr>
        <w:rPr>
          <w:b/>
          <w:bCs/>
          <w:lang w:val="en-US"/>
        </w:rPr>
      </w:pPr>
      <w:r w:rsidRPr="00F31719">
        <w:rPr>
          <w:b/>
          <w:bCs/>
          <w:lang w:val="en-US"/>
        </w:rPr>
        <w:br w:type="page"/>
      </w:r>
    </w:p>
    <w:p w14:paraId="78D75186" w14:textId="77777777" w:rsidR="00016CB7" w:rsidRPr="00F31719" w:rsidRDefault="00016CB7" w:rsidP="00016CB7">
      <w:pPr>
        <w:rPr>
          <w:rFonts w:cstheme="minorHAnsi"/>
          <w:b/>
          <w:bCs/>
          <w:lang w:val="en-US"/>
        </w:rPr>
        <w:sectPr w:rsidR="00016CB7" w:rsidRPr="00F31719" w:rsidSect="00080227">
          <w:footerReference w:type="even" r:id="rId8"/>
          <w:footerReference w:type="default" r:id="rId9"/>
          <w:pgSz w:w="16838" w:h="11906" w:orient="landscape"/>
          <w:pgMar w:top="1417" w:right="1417" w:bottom="1417" w:left="1417" w:header="708" w:footer="708" w:gutter="0"/>
          <w:cols w:space="708"/>
          <w:docGrid w:linePitch="360"/>
        </w:sectPr>
      </w:pPr>
    </w:p>
    <w:p w14:paraId="775F67BB" w14:textId="77777777" w:rsidR="00016CB7" w:rsidRPr="00F31719" w:rsidRDefault="00016CB7" w:rsidP="00016CB7">
      <w:pPr>
        <w:rPr>
          <w:rFonts w:cstheme="minorHAnsi"/>
          <w:b/>
          <w:bCs/>
          <w:lang w:val="en-US"/>
        </w:rPr>
      </w:pPr>
      <w:r w:rsidRPr="00F31719">
        <w:rPr>
          <w:rFonts w:cstheme="minorHAnsi"/>
          <w:b/>
          <w:bCs/>
          <w:lang w:val="en-US"/>
        </w:rPr>
        <w:t xml:space="preserve">Supplementary Table 2: </w:t>
      </w:r>
      <w:r w:rsidRPr="00F31719">
        <w:rPr>
          <w:b/>
          <w:bCs/>
          <w:lang w:val="en-US"/>
        </w:rPr>
        <w:t>Brain regions where both CB2R mRNA and protein were detected</w:t>
      </w:r>
      <w:r w:rsidRPr="00F31719">
        <w:rPr>
          <w:rFonts w:cstheme="minorHAnsi"/>
          <w:b/>
          <w:bCs/>
          <w:lang w:val="en-US"/>
        </w:rPr>
        <w:t xml:space="preserve">, using unvalidated antibodies.  </w:t>
      </w:r>
    </w:p>
    <w:tbl>
      <w:tblPr>
        <w:tblpPr w:leftFromText="141" w:rightFromText="141" w:horzAnchor="margin" w:tblpY="420"/>
        <w:tblW w:w="1417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46"/>
        <w:gridCol w:w="1276"/>
        <w:gridCol w:w="3685"/>
        <w:gridCol w:w="3686"/>
        <w:gridCol w:w="2409"/>
        <w:gridCol w:w="2268"/>
      </w:tblGrid>
      <w:tr w:rsidR="00016CB7" w:rsidRPr="00F31719" w14:paraId="4C3BBE98" w14:textId="77777777" w:rsidTr="00DC119E">
        <w:trPr>
          <w:trHeight w:val="499"/>
        </w:trPr>
        <w:tc>
          <w:tcPr>
            <w:tcW w:w="2122" w:type="dxa"/>
            <w:gridSpan w:val="2"/>
            <w:vMerge w:val="restart"/>
            <w:shd w:val="clear" w:color="auto" w:fill="auto"/>
            <w:vAlign w:val="center"/>
            <w:hideMark/>
          </w:tcPr>
          <w:p w14:paraId="221B5A0F"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 xml:space="preserve">REGIONS </w:t>
            </w:r>
          </w:p>
        </w:tc>
        <w:tc>
          <w:tcPr>
            <w:tcW w:w="3685" w:type="dxa"/>
            <w:vMerge w:val="restart"/>
            <w:shd w:val="clear" w:color="auto" w:fill="auto"/>
            <w:vAlign w:val="center"/>
            <w:hideMark/>
          </w:tcPr>
          <w:p w14:paraId="0E5AC54C"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NEURONS</w:t>
            </w:r>
          </w:p>
        </w:tc>
        <w:tc>
          <w:tcPr>
            <w:tcW w:w="3686" w:type="dxa"/>
            <w:vMerge w:val="restart"/>
            <w:shd w:val="clear" w:color="auto" w:fill="auto"/>
            <w:vAlign w:val="center"/>
            <w:hideMark/>
          </w:tcPr>
          <w:p w14:paraId="4B4FB1E6"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MICROGLIA</w:t>
            </w:r>
          </w:p>
        </w:tc>
        <w:tc>
          <w:tcPr>
            <w:tcW w:w="2409" w:type="dxa"/>
            <w:vMerge w:val="restart"/>
            <w:shd w:val="clear" w:color="auto" w:fill="auto"/>
            <w:vAlign w:val="center"/>
            <w:hideMark/>
          </w:tcPr>
          <w:p w14:paraId="4B68B4B9"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ASTROCYTES</w:t>
            </w:r>
          </w:p>
        </w:tc>
        <w:tc>
          <w:tcPr>
            <w:tcW w:w="2268" w:type="dxa"/>
            <w:vMerge w:val="restart"/>
            <w:shd w:val="clear" w:color="auto" w:fill="auto"/>
            <w:vAlign w:val="center"/>
            <w:hideMark/>
          </w:tcPr>
          <w:p w14:paraId="0AE9F3D4"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OTHER CELLS</w:t>
            </w:r>
          </w:p>
        </w:tc>
      </w:tr>
      <w:tr w:rsidR="00016CB7" w:rsidRPr="00F31719" w14:paraId="48BC19B2" w14:textId="77777777" w:rsidTr="00DC119E">
        <w:trPr>
          <w:trHeight w:val="458"/>
        </w:trPr>
        <w:tc>
          <w:tcPr>
            <w:tcW w:w="2122" w:type="dxa"/>
            <w:gridSpan w:val="2"/>
            <w:vMerge/>
            <w:vAlign w:val="center"/>
            <w:hideMark/>
          </w:tcPr>
          <w:p w14:paraId="2B0B9800" w14:textId="77777777" w:rsidR="00016CB7" w:rsidRPr="00F31719" w:rsidRDefault="00016CB7" w:rsidP="00DC119E">
            <w:pPr>
              <w:spacing w:after="0" w:line="240" w:lineRule="auto"/>
              <w:rPr>
                <w:rFonts w:ascii="Calibri" w:eastAsia="Times New Roman" w:hAnsi="Calibri" w:cs="Calibri"/>
                <w:b/>
                <w:bCs/>
                <w:color w:val="000000"/>
                <w:sz w:val="12"/>
                <w:szCs w:val="12"/>
                <w:lang w:eastAsia="fr-FR"/>
              </w:rPr>
            </w:pPr>
          </w:p>
        </w:tc>
        <w:tc>
          <w:tcPr>
            <w:tcW w:w="3685" w:type="dxa"/>
            <w:vMerge/>
            <w:vAlign w:val="center"/>
            <w:hideMark/>
          </w:tcPr>
          <w:p w14:paraId="76D2F61D" w14:textId="77777777" w:rsidR="00016CB7" w:rsidRPr="00F31719" w:rsidRDefault="00016CB7" w:rsidP="00DC119E">
            <w:pPr>
              <w:spacing w:after="0" w:line="240" w:lineRule="auto"/>
              <w:rPr>
                <w:rFonts w:ascii="Calibri" w:eastAsia="Times New Roman" w:hAnsi="Calibri" w:cs="Calibri"/>
                <w:b/>
                <w:bCs/>
                <w:color w:val="000000"/>
                <w:sz w:val="12"/>
                <w:szCs w:val="12"/>
                <w:lang w:eastAsia="fr-FR"/>
              </w:rPr>
            </w:pPr>
          </w:p>
        </w:tc>
        <w:tc>
          <w:tcPr>
            <w:tcW w:w="3686" w:type="dxa"/>
            <w:vMerge/>
            <w:vAlign w:val="center"/>
            <w:hideMark/>
          </w:tcPr>
          <w:p w14:paraId="1638A6A1" w14:textId="77777777" w:rsidR="00016CB7" w:rsidRPr="00F31719" w:rsidRDefault="00016CB7" w:rsidP="00DC119E">
            <w:pPr>
              <w:spacing w:after="0" w:line="240" w:lineRule="auto"/>
              <w:rPr>
                <w:rFonts w:ascii="Calibri" w:eastAsia="Times New Roman" w:hAnsi="Calibri" w:cs="Calibri"/>
                <w:b/>
                <w:bCs/>
                <w:color w:val="000000"/>
                <w:sz w:val="12"/>
                <w:szCs w:val="12"/>
                <w:lang w:eastAsia="fr-FR"/>
              </w:rPr>
            </w:pPr>
          </w:p>
        </w:tc>
        <w:tc>
          <w:tcPr>
            <w:tcW w:w="2409" w:type="dxa"/>
            <w:vMerge/>
            <w:vAlign w:val="center"/>
            <w:hideMark/>
          </w:tcPr>
          <w:p w14:paraId="165D3E24" w14:textId="77777777" w:rsidR="00016CB7" w:rsidRPr="00F31719" w:rsidRDefault="00016CB7" w:rsidP="00DC119E">
            <w:pPr>
              <w:spacing w:after="0" w:line="240" w:lineRule="auto"/>
              <w:rPr>
                <w:rFonts w:ascii="Calibri" w:eastAsia="Times New Roman" w:hAnsi="Calibri" w:cs="Calibri"/>
                <w:b/>
                <w:bCs/>
                <w:color w:val="000000"/>
                <w:sz w:val="12"/>
                <w:szCs w:val="12"/>
                <w:lang w:eastAsia="fr-FR"/>
              </w:rPr>
            </w:pPr>
          </w:p>
        </w:tc>
        <w:tc>
          <w:tcPr>
            <w:tcW w:w="2268" w:type="dxa"/>
            <w:vMerge/>
            <w:vAlign w:val="center"/>
            <w:hideMark/>
          </w:tcPr>
          <w:p w14:paraId="1225A1C7" w14:textId="77777777" w:rsidR="00016CB7" w:rsidRPr="00F31719" w:rsidRDefault="00016CB7" w:rsidP="00DC119E">
            <w:pPr>
              <w:spacing w:after="0" w:line="240" w:lineRule="auto"/>
              <w:rPr>
                <w:rFonts w:ascii="Calibri" w:eastAsia="Times New Roman" w:hAnsi="Calibri" w:cs="Calibri"/>
                <w:b/>
                <w:bCs/>
                <w:color w:val="000000"/>
                <w:sz w:val="12"/>
                <w:szCs w:val="12"/>
                <w:lang w:eastAsia="fr-FR"/>
              </w:rPr>
            </w:pPr>
          </w:p>
        </w:tc>
      </w:tr>
      <w:tr w:rsidR="00016CB7" w:rsidRPr="00B845EF" w14:paraId="08610C9C" w14:textId="77777777" w:rsidTr="00DC119E">
        <w:trPr>
          <w:trHeight w:val="1148"/>
        </w:trPr>
        <w:tc>
          <w:tcPr>
            <w:tcW w:w="846" w:type="dxa"/>
            <w:vMerge w:val="restart"/>
            <w:shd w:val="clear" w:color="auto" w:fill="auto"/>
            <w:vAlign w:val="center"/>
            <w:hideMark/>
          </w:tcPr>
          <w:p w14:paraId="7332A9A9"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1. Regions where CB2R was also detected with validated antibodies</w:t>
            </w:r>
          </w:p>
        </w:tc>
        <w:tc>
          <w:tcPr>
            <w:tcW w:w="1276" w:type="dxa"/>
            <w:shd w:val="clear" w:color="auto" w:fill="auto"/>
            <w:vAlign w:val="center"/>
            <w:hideMark/>
          </w:tcPr>
          <w:p w14:paraId="79A3BD17"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eastAsia="fr-FR"/>
              </w:rPr>
            </w:pPr>
            <w:r w:rsidRPr="00F31719">
              <w:rPr>
                <w:rFonts w:ascii="Calibri" w:eastAsia="Times New Roman" w:hAnsi="Calibri" w:cs="Calibri"/>
                <w:b/>
                <w:bCs/>
                <w:color w:val="000000"/>
                <w:sz w:val="15"/>
                <w:szCs w:val="15"/>
                <w:lang w:eastAsia="fr-FR"/>
              </w:rPr>
              <w:t>HIPPOCAMPUS</w:t>
            </w:r>
          </w:p>
        </w:tc>
        <w:tc>
          <w:tcPr>
            <w:tcW w:w="3685" w:type="dxa"/>
            <w:shd w:val="clear" w:color="auto" w:fill="auto"/>
            <w:vAlign w:val="center"/>
            <w:hideMark/>
          </w:tcPr>
          <w:p w14:paraId="199A0F92"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Neuron Specific Enolase-positive pyramidal neurons in CA2 and CA3, and, to a lesser extent, in the subiculum in rats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{"citationID":"iqVaC6N0","properties":{"formattedCitation":"\\super 41\\nosupersub{}","plainCitation":"41","noteIndex":0},"citationItems":[{"id":362,"uris":["http://zotero.org/users/5359331/items/NGAS7VQY"],"itemData":{"id":362,"type":"article-journal","abstract":"Brain expression of CB2 cannabinoid receptors has been much less well established and characterized in comparison to the expression of brain CB1 receptors. Since CB2 receptors are intensely expressed in peripheral and immune tissues, expression in brain microglia has been anticipated. Nevertheless, we now describe expression of CB2-receptor-like immunoreactivity in brain in neuronal patterns that support broader CNS roles for this receptor. Two anti-CB2 affinity purified polyclonal antibodies were raised in rabbits immunized with peptide conjugates that corresponded to amino acids 1–33 and 20–33. Western blot analyses revealed specific bands that were identified using these sera and were absent when the sera were preadsorbed with 8.3 μg/ml of the immunizing peptides. These studies, and initial RT-PCR analyses of brain CB1 and CB2 mRNAs, also support the expression of brain CB2 receptor transcripts at levels much lower than those of CB1 receptors. CB2 cannabinoid receptor mRNA was clearly expressed in the cerebellum of wild type but not in CB2 knockout mice. CB2 immunostaining was detected in the interpolar part of spinal 5th nucleus of wild type but not in CB2 knockout mice, using a mouse C-terminal CB2 receptor antibody. Immunohistochemical analyses revealed abundant immunostaining for CB2 receptors in apparent neuronal and glial processes in a number of rat brain areas. Cerebellar Purkinje cells and hippocampal pyramidal cells revealed substantial immunoreactivity that was absent when sections were stained with preadsorbed sera. CB2 immunoreactivity was also observed in olfactory tubercle, islands of Calleja, cerebral cortex, striatum, thalamic nuclei, hippocampus, amygdala, substantia nigra, periaqueductal gray, paratrochlear nucleus, paralemniscal nucleus, red nucleus, pontine nuclei, inferior colliculus and the parvocellular portion of the medial vestibular nucleus. In-vitro, CB2 immunoreactivity was also present in hippocampal cell cultures. The multifocal expression of CB2 immunoreactivity in glial and neuronal patterns in a number of brain regions suggests reevaluation of the possible roles that CB2 receptors may play in the brain.","container-title":"Brain Research","DOI":"10.1016/j.brainres.2005.11.035","ISSN":"00068993","issue":"1","journalAbbreviation":"Brain Research","language":"en","page":"10-23","source":"DOI.org (Crossref)","title":"Cannabinoid CB2 receptors: Immunohistochemical localization in rat brain","title-short":"Cannabinoid CB2 receptors","volume":"1071","author":[{"family":"Gong","given":"Jian-Ping"},{"family":"Onaivi","given":"Emmanuel S."},{"family":"Ishiguro","given":"Hiroki"},{"family":"Liu","given":"Qing-Rong"},{"family":"Tagliaferro","given":"Patricia A."},{"family":"Brusco","given":"Alicia"},{"family":"Uhl","given":"George R."}],"issued":{"date-parts":[["2006",2]]}}}],"schema":"https://github.com/citation-style-language/schema/raw/master/csl-citation.json"}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41</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Antibodies A and u. </w:t>
            </w:r>
            <w:proofErr w:type="spellStart"/>
            <w:r w:rsidRPr="00F31719">
              <w:rPr>
                <w:rFonts w:ascii="Calibri" w:eastAsia="Times New Roman" w:hAnsi="Calibri" w:cs="Calibri"/>
                <w:color w:val="000000"/>
                <w:sz w:val="12"/>
                <w:szCs w:val="12"/>
                <w:lang w:val="en-US" w:eastAsia="fr-FR"/>
              </w:rPr>
              <w:t>NeuN</w:t>
            </w:r>
            <w:proofErr w:type="spellEnd"/>
            <w:r w:rsidRPr="00F31719">
              <w:rPr>
                <w:rFonts w:ascii="Calibri" w:eastAsia="Times New Roman" w:hAnsi="Calibri" w:cs="Calibri"/>
                <w:color w:val="000000"/>
                <w:sz w:val="12"/>
                <w:szCs w:val="12"/>
                <w:lang w:val="en-US" w:eastAsia="fr-FR"/>
              </w:rPr>
              <w:t>-positive neurons in CA3</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{"citationID":"bEA1AMhE","properties":{"formattedCitation":"\\super 35,44,91\\nosupersub{}","plainCitation":"35,44,91","noteIndex":0},"citationItems":[{"id":401,"uris":["http://zotero.org/users/5359331/items/GE5LJBCP"],"itemData":{"id":401,"type":"article-journal","abstract":"The question of whether cannabinoid CB2 receptors are expressed on neurons in the brain and under what circumstances they are expressed is controversial in cannabinoid neuropharmacology. While some studies have reported that CB2 receptors are not detectable on neurons under normal circumstances, other studies have reported abundant neuronal expression. One reason for these apparent discrepancies is the reliance on incompletely validated CB2 receptor antibodies and immunohistochemical procedures. In this study, we demonstrate some of the methodological problems encountered using three different commercial CB2 receptor antibodies. We show that (1) the commonly used antibodies that were conﬁrmed by many of the tests used for antibody validation still failed when examined using the knockout control test; (2) the coherence between the labeling patterns provided by two antibodies for the same protein at different epitopes may be misleading and must be validated using both low- and high-magniﬁcation microscopy; and (3) although CB2 receptor antibodies may label neurons in the brain, the protein that the antibodies are labeling is not necessarily CB2. These results showed that great caution needs to be exercised when interpreting the results of brain immunohistochemistry using CB2 receptor antibodies and that, in general, none of the tests for antibody validity that have been proposed, apart from the knockout control test, are reliable.","container-title":"Journal of Neuroscience Methods","DOI":"10.1016/j.jneumeth.2013.03.021","ISSN":"01650270","issue":"2","journalAbbreviation":"Journal of Neuroscience Methods","language":"en","page":"87-95","source":"DOI.org (Crossref)","title":"Antibody testing for brain immunohistochemistry: Brain immunolabeling for the cannabinoid CB2 receptor","title-short":"Antibody testing for brain immunohistochemistry","volume":"216","author":[{"family":"Baek","given":"Jean-Ha"},{"family":"Darlington","given":"Cynthia L."},{"family":"Smith","given":"Paul F."},{"family":"Ashton","given":"John C."}],"issued":{"date-parts":[["2013",6]]}}},{"id":481,"uris":["http://zotero.org/users/5359331/items/4X8PHSD6"],"itemData":{"id":481,"type":"article-journal","abstract":"Objective\nTo investigate the spatiotemporal expression of cannabinoid receptor type 2 (CB2R) in the hippocampus of pilocarpine-treated rats experiencing a status epilepticus (SE).\nMethods\nA total of 112 male Sprague-Dawley rats at three weeks of age, weighing 43 g–68.5 g, were used for this study. Rats were randomly divided into a control group (n = 16) and an epilepsy a SE group. The epilepsy SE group was further divided into 6 sub-groups (2 h, 1, 3, 7, 14, and 21 days after status epilepticus (SE)). A SE model was induced with lithium chloride and pilocarpine by intraperitoneal injection. Hematoxylin-Eosin staining (H&amp;E staining) and TdT-mediated dUTP nick end labeling (TUNEL staining) were used to observe neuronal necrosis and apoptosis pyroptosis in the hippocampus. Double-label immunofluorescence and Western blotting were used to detect the distribution and expression of CB2R in the rat hippocampus exposed to SE.\nResults\nAccording to the Racine scale, nearly 15% of the pilocarpine-induced rats showed Racine stages 1 and 2 in the epilepsy group, almost 74% of the rats showed Racine stages 3 to 5, and 11% of the rats died in the SE or post SE. Morphologically, compared with control group, the number of neurons remarkably decreased while apoptotic pyroptotic neurons in number significantly increased in the CA1, CA3 and DG regions from 2 h to 3 days post SE by H&amp;E and TUNEL staining, respectively (p &lt; 0.05). Double immunofluorescence staining revealed that CB2R was mainly expressed in the CA1, CA3 and DG neuronal regions of the hippocampus and the number of CB2R-positive neurons significantly increased within these regions post SE as compared with the control group, particularly in the DG region. Furthermore, the protein expression of CB2R began to be elevated from 2 h post SE (p &lt; 0.05) and peaked at 1, 3 and 7 days (p &lt; 0.01), respectively peaked at 1 day and high levels were maintained at 3 and 7 days (p &lt; 0.01 for all of them). After that, the protein expression of CB2R gradually declined with by time interval.\nConclusions\nWe demonstrate that CB2R is expressed in hippocampal neurons and time-dependently expressed changed post SE, suggesting that the role of CB2R is mainly through hippocampal neurons at the early stage of pilocarpine-induced SE. CB2R may play a role at the early stage of pilocarpine-induced SE and its role is mainly through the hippocampal neurons.","container-title":"Epilepsy Research","DOI":"10.1016/j.eplepsyres.2018.10.002","ISSN":"0920-1211","journalAbbreviation":"Epilepsy Research","page":"8-16","source":"ScienceDirect","title":"The spatiotemporal expression changes of CB2R in the hippocampus of rats following pilocarpine-induced status epilepticus","volume":"148","author":[{"family":"Wu","given":"Qiong"},{"family":"Wang","given":"Hua"}],"issued":{"date-parts":[["2018",12,1]]}}},{"id":89,"uris":["http://zotero.org/users/5359331/items/649VT3RN"],"itemData":{"id":89,"type":"article-journal","abstract":"Neuronal loss and gliosis are the major pathological changes after status epilepticus (SE). The authors' previous study revealed the time-dependent changes of cannabinoid receptor type 2 (CB2R) in hippocampal neurons of developing rats after SE, which were accompanied by a decrease in the number of neurons. Meanwhile, growing evidence indicates that CB2R stimulation exerts anti-convulsant properties in seizure models. However, the activation of CB2R in neuronal repair in response to the damage after SE is still unclear. In this experiment, a highly-selective CB2R agonist JWH133 and antagonist AM630 were administered to determine the activity of CB2R in neuronal autophagy and apoptosis of the post-SE repair in developing rats. The present results revealed that activation of CB2R by JWH133, not only obviously lowered the success rate, 24-h death rate and the Racine stage in the model, but also extended the latency period to SE. In addition, compared with the vehicle control group, CB2R activation increased neuronal autophagy and the expression of phosphorylated-mammalian target of rapamycin (p-mTOR)/mTOR, Beclin-1, and LC3II/LC3I while decreasing the expression of p-Unc-51-like autophagy-activating kinase 1 (ULK-1)/ULK1, p62, and cleaved caspase-3. These results were dose-dependent and were especially evident in the high-dose group, and interestingly the opposite results were obtained in the AM630 group. Thus, CB2R orchestrates neuronal autophagy through regulation of the mTOR signaling pathway in the hippocampus of developing rats with SE. These findings might provide an important basis for further investigation of the therapeutic role of CB2R in ameliorating epilepsy-related neuronal damage.","container-title":"International Journal of Molecular Medicine","DOI":"10.3892/ijmm.2019.4439","ISSN":"1107-3756","issue":"2","journalAbbreviation":"Int J Mol Med","note":"PMID: 31894322\nPMCID: PMC6984801","page":"475-484","source":"PubMed Central","title":"CB2R orchestrates neuronal autophagy through regulation of the mTOR signaling pathway in the hippocampus of developing rats with status epilepticus","volume":"45","author":[{"family":"Wu","given":"Qiong"},{"family":"Zhang","given":"Miao"},{"family":"Liu","given":"Xueyan"},{"family":"Zhang","given":"Junmei"},{"family":"Wang","given":"Hua"}],"issued":{"date-parts":[["2020",2]]}}}],"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35,44,91</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CA1 and DG</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{"citationID":"RM9qcyHi","properties":{"formattedCitation":"\\super 44,91\\nosupersub{}","plainCitation":"44,91","noteIndex":0},"citationItems":[{"id":481,"uris":["http://zotero.org/users/5359331/items/4X8PHSD6"],"itemData":{"id":481,"type":"article-journal","abstract":"Objective\nTo investigate the spatiotemporal expression of cannabinoid receptor type 2 (CB2R) in the hippocampus of pilocarpine-treated rats experiencing a status epilepticus (SE).\nMethods\nA total of 112 male Sprague-Dawley rats at three weeks of age, weighing 43 g–68.5 g, were used for this study. Rats were randomly divided into a control group (n = 16) and an epilepsy a SE group. The epilepsy SE group was further divided into 6 sub-groups (2 h, 1, 3, 7, 14, and 21 days after status epilepticus (SE)). A SE model was induced with lithium chloride and pilocarpine by intraperitoneal injection. Hematoxylin-Eosin staining (H&amp;E staining) and TdT-mediated dUTP nick end labeling (TUNEL staining) were used to observe neuronal necrosis and apoptosis pyroptosis in the hippocampus. Double-label immunofluorescence and Western blotting were used to detect the distribution and expression of CB2R in the rat hippocampus exposed to SE.\nResults\nAccording to the Racine scale, nearly 15% of the pilocarpine-induced rats showed Racine stages 1 and 2 in the epilepsy group, almost 74% of the rats showed Racine stages 3 to 5, and 11% of the rats died in the SE or post SE. Morphologically, compared with control group, the number of neurons remarkably decreased while apoptotic pyroptotic neurons in number significantly increased in the CA1, CA3 and DG regions from 2 h to 3 days post SE by H&amp;E and TUNEL staining, respectively (p &lt; 0.05). Double immunofluorescence staining revealed that CB2R was mainly expressed in the CA1, CA3 and DG neuronal regions of the hippocampus and the number of CB2R-positive neurons significantly increased within these regions post SE as compared with the control group, particularly in the DG region. Furthermore, the protein expression of CB2R began to be elevated from 2 h post SE (p &lt; 0.05) and peaked at 1, 3 and 7 days (p &lt; 0.01), respectively peaked at 1 day and high levels were maintained at 3 and 7 days (p &lt; 0.01 for all of them). After that, the protein expression of CB2R gradually declined with by time interval.\nConclusions\nWe demonstrate that CB2R is expressed in hippocampal neurons and time-dependently expressed changed post SE, suggesting that the role of CB2R is mainly through hippocampal neurons at the early stage of pilocarpine-induced SE. CB2R may play a role at the early stage of pilocarpine-induced SE and its role is mainly through the hippocampal neurons.","container-title":"Epilepsy Research","DOI":"10.1016/j.eplepsyres.2018.10.002","ISSN":"0920-1211","journalAbbreviation":"Epilepsy Research","page":"8-16","source":"ScienceDirect","title":"The spatiotemporal expression changes of CB2R in the hippocampus of rats following pilocarpine-induced status epilepticus","volume":"148","author":[{"family":"Wu","given":"Qiong"},{"family":"Wang","given":"Hua"}],"issued":{"date-parts":[["2018",12,1]]}}},{"id":89,"uris":["http://zotero.org/users/5359331/items/649VT3RN"],"itemData":{"id":89,"type":"article-journal","abstract":"Neuronal loss and gliosis are the major pathological changes after status epilepticus (SE). The authors' previous study revealed the time-dependent changes of cannabinoid receptor type 2 (CB2R) in hippocampal neurons of developing rats after SE, which were accompanied by a decrease in the number of neurons. Meanwhile, growing evidence indicates that CB2R stimulation exerts anti-convulsant properties in seizure models. However, the activation of CB2R in neuronal repair in response to the damage after SE is still unclear. In this experiment, a highly-selective CB2R agonist JWH133 and antagonist AM630 were administered to determine the activity of CB2R in neuronal autophagy and apoptosis of the post-SE repair in developing rats. The present results revealed that activation of CB2R by JWH133, not only obviously lowered the success rate, 24-h death rate and the Racine stage in the model, but also extended the latency period to SE. In addition, compared with the vehicle control group, CB2R activation increased neuronal autophagy and the expression of phosphorylated-mammalian target of rapamycin (p-mTOR)/mTOR, Beclin-1, and LC3II/LC3I while decreasing the expression of p-Unc-51-like autophagy-activating kinase 1 (ULK-1)/ULK1, p62, and cleaved caspase-3. These results were dose-dependent and were especially evident in the high-dose group, and interestingly the opposite results were obtained in the AM630 group. Thus, CB2R orchestrates neuronal autophagy through regulation of the mTOR signaling pathway in the hippocampus of developing rats with SE. These findings might provide an important basis for further investigation of the therapeutic role of CB2R in ameliorating epilepsy-related neuronal damage.","container-title":"International Journal of Molecular Medicine","DOI":"10.3892/ijmm.2019.4439","ISSN":"1107-3756","issue":"2","journalAbbreviation":"Int J Mol Med","note":"PMID: 31894322\nPMCID: PMC6984801","page":"475-484","source":"PubMed Central","title":"CB2R orchestrates neuronal autophagy through regulation of the mTOR signaling pathway in the hippocampus of developing rats with status epilepticus","volume":"45","author":[{"family":"Wu","given":"Qiong"},{"family":"Zhang","given":"Miao"},{"family":"Liu","given":"Xueyan"},{"family":"Zhang","given":"Junmei"},{"family":"Wang","given":"Hua"}],"issued":{"date-parts":[["2020",2]]}}}],"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44,91</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with antibody B. Neuronal like-cells in CA2</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{"citationID":"HPZ5bYOw","properties":{"formattedCitation":"\\super 92\\nosupersub{}","plainCitation":"92","dontUpdate":true,"noteIndex":0},"citationItems":[{"id":314,"uris":["http://zotero.org/users/5359331/items/JAWG7CBW"],"itemData":{"id":314,"type":"article-journal","container-title":"Brain Structure and Function","DOI":"10.1007/s00429-016-1195-z","ISSN":"1863-2653, 1863-2661","issue":"9","journalAbbreviation":"Brain Struct Funct","language":"en","page":"4663-4689","source":"DOI.org (Crossref)","title":"Microarray analysis of transcripts with elevated expressions in the rat medial or lateral habenula suggest fast GABAergic excitation in the medial habenula and habenular involvement in the regulation of feeding and energy balance","volume":"221","author":[{"family":"Wagner","given":"Franziska"},{"family":"Bernard","given":"René"},{"family":"Derst","given":"Christian"},{"family":"French","given":"Leon"},{"family":"Veh","given":"Rüdiger W."}],"issued":{"date-parts":[["2016",12]]}}}],"schema":"https://github.com/citation-style-language/schema/raw/master/csl-citation.json"}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41,85</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M. Cultured mouse hippocampal cells with antibody v</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{"citationID":"Ch1CUqVL","properties":{"formattedCitation":"\\super 66\\nosupersub{}","plainCitation":"66","noteIndex":0},"citationItems":[{"id":168,"uris":["http://zotero.org/users/5359331/items/I8TRVQZV"],"itemData":{"id":168,"type":"article-journal","container-title":"Neuropsychobiology","DOI":"10.1159/000100778","ISSN":"1423-0224, 0302-282X","issue":"4","journalAbbreviation":"Neuropsychobiology","language":"en","page":"231-246","source":"DOI.org (Crossref)","title":"Neuropsychobiological Evidence for the Functional Presence and Expression of Cannabinoid CB2 Receptors in the Brain","volume":"54","author":[{"family":"Onaivi","given":"Emmanuel S."}],"issued":{"date-parts":[["2006"]]}}}],"schema":"https://github.com/citation-style-language/schema/raw/master/csl-citation.json"}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66</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t>
            </w: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rat model of TLE, </w:t>
            </w:r>
            <w:proofErr w:type="spellStart"/>
            <w:r w:rsidRPr="00F31719">
              <w:rPr>
                <w:rFonts w:ascii="Calibri" w:eastAsia="Times New Roman" w:hAnsi="Calibri" w:cs="Calibri"/>
                <w:color w:val="000000"/>
                <w:sz w:val="12"/>
                <w:szCs w:val="12"/>
                <w:lang w:val="en-US" w:eastAsia="fr-FR"/>
              </w:rPr>
              <w:t>NeuN</w:t>
            </w:r>
            <w:proofErr w:type="spellEnd"/>
            <w:r w:rsidRPr="00F31719">
              <w:rPr>
                <w:rFonts w:ascii="Calibri" w:eastAsia="Times New Roman" w:hAnsi="Calibri" w:cs="Calibri"/>
                <w:color w:val="000000"/>
                <w:sz w:val="12"/>
                <w:szCs w:val="12"/>
                <w:lang w:val="en-US" w:eastAsia="fr-FR"/>
              </w:rPr>
              <w:t>-positive cells in CA1, CA3 and DG 1h to 7 days following lithium pilocarpine-induced status epilepticus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{"citationID":"qd9JuXji","properties":{"formattedCitation":"\\super 44,91,93\\nosupersub{}","plainCitation":"44,91,93","noteIndex":0},"citationItems":[{"id":1399,"uris":["http://zotero.org/users/5359331/items/4Y287UKC"],"itemData":{"id":1399,"type":"article-journal","abstract":"Background and purpose Epilepsy is a pivotal neurological disorder characterized by the synchronous discharging of neurons to induce momentary brain dysfunction. Temporal lobe epilepsy is the most common type of epilepsy, with seizures originating from the mesial temporal lobe. The hippocampus forms part of the mesial temporal lobe and plays a significant role in epileptogenesis; it also has a vital influence on the mental development of children. In this study, we aimed to explore the effects of CB2 receptor (CB2R) activation on ERK and p38 signaling in nerve cells of a rat epilepsy model. Materials and methods We treated Sprague-Dawley rats with pilocarpine to induce an epilepsy model and treated such animals with a CB2R agonist (JWH133) alone or with a CB2R antagonist (AM630). Nissl’s stain showed the neuron conditon in different groups. Western blot analyzed the level of p-ERK and p-p38.Results JWH133 can increase the latent period of first seizure attack and decrease the Grades IV–V magnitude ratio after the termination of SE. Nissl’s stain showed JWH133 protected neurons in the hippocampus while AM630 inhibited the functioning of CB2R in neurons. Western blot analysis showed that JWH133 decreased levels of p-ERK and p-p38, which is found at increased levels in the hippocampus of our epilepsy model. In contrast, AM630 inhibited the protective function of JWH133 and also enhanced levels of p-ERK and p-p38.Conclusions CB2R activation can induce neurons proliferation and survival through activation of ERK and p38 signaling pathways.","container-title":"International Journal of Neuroscience","DOI":"10.1080/00207454.2020.1796661","ISSN":"0020-7454","issue":"8","note":"publisher: Taylor &amp; Francis\n_eprint: https://doi.org/10.1080/00207454.2020.1796661\nPMID: 32715907","page":"735-744","source":"Taylor and Francis+NEJM","title":"CB2R induces a protective response against epileptic seizures through ERK and p38 signaling pathways","volume":"131","author":[{"family":"Cao","given":"Qingjun"},{"family":"Yang","given":"Fenghua"},{"family":"Wang","given":"Hua"}],"issued":{"date-parts":[["2021",8,3]]}}},{"id":481,"uris":["http://zotero.org/users/5359331/items/4X8PHSD6"],"itemData":{"id":481,"type":"article-journal","abstract":"Objective\nTo investigate the spatiotemporal expression of cannabinoid receptor type 2 (CB2R) in the hippocampus of pilocarpine-treated rats experiencing a status epilepticus (SE).\nMethods\nA total of 112 male Sprague-Dawley rats at three weeks of age, weighing 43 g–68.5 g, were used for this study. Rats were randomly divided into a control group (n = 16) and an epilepsy a SE group. The epilepsy SE group was further divided into 6 sub-groups (2 h, 1, 3, 7, 14, and 21 days after status epilepticus (SE)). A SE model was induced with lithium chloride and pilocarpine by intraperitoneal injection. Hematoxylin-Eosin staining (H&amp;E staining) and TdT-mediated dUTP nick end labeling (TUNEL staining) were used to observe neuronal necrosis and apoptosis pyroptosis in the hippocampus. Double-label immunofluorescence and Western blotting were used to detect the distribution and expression of CB2R in the rat hippocampus exposed to SE.\nResults\nAccording to the Racine scale, nearly 15% of the pilocarpine-induced rats showed Racine stages 1 and 2 in the epilepsy group, almost 74% of the rats showed Racine stages 3 to 5, and 11% of the rats died in the SE or post SE. Morphologically, compared with control group, the number of neurons remarkably decreased while apoptotic pyroptotic neurons in number significantly increased in the CA1, CA3 and DG regions from 2 h to 3 days post SE by H&amp;E and TUNEL staining, respectively (p &lt; 0.05). Double immunofluorescence staining revealed that CB2R was mainly expressed in the CA1, CA3 and DG neuronal regions of the hippocampus and the number of CB2R-positive neurons significantly increased within these regions post SE as compared with the control group, particularly in the DG region. Furthermore, the protein expression of CB2R began to be elevated from 2 h post SE (p &lt; 0.05) and peaked at 1, 3 and 7 days (p &lt; 0.01), respectively peaked at 1 day and high levels were maintained at 3 and 7 days (p &lt; 0.01 for all of them). After that, the protein expression of CB2R gradually declined with by time interval.\nConclusions\nWe demonstrate that CB2R is expressed in hippocampal neurons and time-dependently expressed changed post SE, suggesting that the role of CB2R is mainly through hippocampal neurons at the early stage of pilocarpine-induced SE. CB2R may play a role at the early stage of pilocarpine-induced SE and its role is mainly through the hippocampal neurons.","container-title":"Epilepsy Research","DOI":"10.1016/j.eplepsyres.2018.10.002","ISSN":"0920-1211","journalAbbreviation":"Epilepsy Research","page":"8-16","source":"ScienceDirect","title":"The spatiotemporal expression changes of CB2R in the hippocampus of rats following pilocarpine-induced status epilepticus","volume":"148","author":[{"family":"Wu","given":"Qiong"},{"family":"Wang","given":"Hua"}],"issued":{"date-parts":[["2018",12,1]]}}},{"id":89,"uris":["http://zotero.org/users/5359331/items/649VT3RN"],"itemData":{"id":89,"type":"article-journal","abstract":"Neuronal loss and gliosis are the major pathological changes after status epilepticus (SE). The authors' previous study revealed the time-dependent changes of cannabinoid receptor type 2 (CB2R) in hippocampal neurons of developing rats after SE, which were accompanied by a decrease in the number of neurons. Meanwhile, growing evidence indicates that CB2R stimulation exerts anti-convulsant properties in seizure models. However, the activation of CB2R in neuronal repair in response to the damage after SE is still unclear. In this experiment, a highly-selective CB2R agonist JWH133 and antagonist AM630 were administered to determine the activity of CB2R in neuronal autophagy and apoptosis of the post-SE repair in developing rats. The present results revealed that activation of CB2R by JWH133, not only obviously lowered the success rate, 24-h death rate and the Racine stage in the model, but also extended the latency period to SE. In addition, compared with the vehicle control group, CB2R activation increased neuronal autophagy and the expression of phosphorylated-mammalian target of rapamycin (p-mTOR)/mTOR, Beclin-1, and LC3II/LC3I while decreasing the expression of p-Unc-51-like autophagy-activating kinase 1 (ULK-1)/ULK1, p62, and cleaved caspase-3. These results were dose-dependent and were especially evident in the high-dose group, and interestingly the opposite results were obtained in the AM630 group. Thus, CB2R orchestrates neuronal autophagy through regulation of the mTOR signaling pathway in the hippocampus of developing rats with SE. These findings might provide an important basis for further investigation of the therapeutic role of CB2R in ameliorating epilepsy-related neuronal damage.","container-title":"International Journal of Molecular Medicine","DOI":"10.3892/ijmm.2019.4439","ISSN":"1107-3756","issue":"2","journalAbbreviation":"Int J Mol Med","note":"PMID: 31894322\nPMCID: PMC6984801","page":"475-484","source":"PubMed Central","title":"CB2R orchestrates neuronal autophagy through regulation of the mTOR signaling pathway in the hippocampus of developing rats with status epilepticus","volume":"45","author":[{"family":"Wu","given":"Qiong"},{"family":"Zhang","given":"Miao"},{"family":"Liu","given":"Xueyan"},{"family":"Zhang","given":"Junmei"},{"family":"Wang","given":"Hua"}],"issued":{"date-parts":[["2020",2]]}}}],"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44,91,93</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B. </w:t>
            </w:r>
          </w:p>
        </w:tc>
        <w:tc>
          <w:tcPr>
            <w:tcW w:w="3686" w:type="dxa"/>
            <w:shd w:val="clear" w:color="auto" w:fill="auto"/>
            <w:vAlign w:val="center"/>
            <w:hideMark/>
          </w:tcPr>
          <w:p w14:paraId="46542363"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Rat parenchymal</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{"citationID":"p5gn0G6J","properties":{"formattedCitation":"\\super 44\\nosupersub{}","plainCitation":"44","noteIndex":0},"citationItems":[{"id":481,"uris":["http://zotero.org/users/5359331/items/4X8PHSD6"],"itemData":{"id":481,"type":"article-journal","abstract":"Objective\nTo investigate the spatiotemporal expression of cannabinoid receptor type 2 (CB2R) in the hippocampus of pilocarpine-treated rats experiencing a status epilepticus (SE).\nMethods\nA total of 112 male Sprague-Dawley rats at three weeks of age, weighing 43 g–68.5 g, were used for this study. Rats were randomly divided into a control group (n = 16) and an epilepsy a SE group. The epilepsy SE group was further divided into 6 sub-groups (2 h, 1, 3, 7, 14, and 21 days after status epilepticus (SE)). A SE model was induced with lithium chloride and pilocarpine by intraperitoneal injection. Hematoxylin-Eosin staining (H&amp;E staining) and TdT-mediated dUTP nick end labeling (TUNEL staining) were used to observe neuronal necrosis and apoptosis pyroptosis in the hippocampus. Double-label immunofluorescence and Western blotting were used to detect the distribution and expression of CB2R in the rat hippocampus exposed to SE.\nResults\nAccording to the Racine scale, nearly 15% of the pilocarpine-induced rats showed Racine stages 1 and 2 in the epilepsy group, almost 74% of the rats showed Racine stages 3 to 5, and 11% of the rats died in the SE or post SE. Morphologically, compared with control group, the number of neurons remarkably decreased while apoptotic pyroptotic neurons in number significantly increased in the CA1, CA3 and DG regions from 2 h to 3 days post SE by H&amp;E and TUNEL staining, respectively (p &lt; 0.05). Double immunofluorescence staining revealed that CB2R was mainly expressed in the CA1, CA3 and DG neuronal regions of the hippocampus and the number of CB2R-positive neurons significantly increased within these regions post SE as compared with the control group, particularly in the DG region. Furthermore, the protein expression of CB2R began to be elevated from 2 h post SE (p &lt; 0.05) and peaked at 1, 3 and 7 days (p &lt; 0.01), respectively peaked at 1 day and high levels were maintained at 3 and 7 days (p &lt; 0.01 for all of them). After that, the protein expression of CB2R gradually declined with by time interval.\nConclusions\nWe demonstrate that CB2R is expressed in hippocampal neurons and time-dependently expressed changed post SE, suggesting that the role of CB2R is mainly through hippocampal neurons at the early stage of pilocarpine-induced SE. CB2R may play a role at the early stage of pilocarpine-induced SE and its role is mainly through the hippocampal neurons.","container-title":"Epilepsy Research","DOI":"10.1016/j.eplepsyres.2018.10.002","ISSN":"0920-1211","journalAbbreviation":"Epilepsy Research","page":"8-16","source":"ScienceDirect","title":"The spatiotemporal expression changes of CB2R in the hippocampus of rats following pilocarpine-induced status epilepticus","volume":"148","author":[{"family":"Wu","given":"Qiong"},{"family":"Wang","given":"Hua"}],"issued":{"date-parts":[["2018",12,1]]}}}],"schema":"https://github.com/citation-style-language/schema/raw/master/csl-citation.json"}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44</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Iba1-positive cells with antibody B. Mouse perivascular Iba1-positive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{"citationID":"KxO6rXH5","properties":{"formattedCitation":"\\super 38\\nosupersub{}","plainCitation":"38","noteIndex":0},"citationItems":[{"id":411,"uris":["http://zotero.org/users/5359331/items/5SABF7BS"],"itemData":{"id":411,"type":"article-journal","abstract":"Background: Activated microglial cells have been implicated in a number of neurodegenerative disorders, including Alzheimer's disease (AD), multiple sclerosis (MS), and HIV dementia. It is well known that inflammatory mediators such as nitric oxide (NO), cytokines, and chemokines play an important role in microglial cell-associated neuron cell damage. Our previous studies have shown that CD40 signaling is involved in pathological activation of microglial cells. Many data reveal that cannabinoids mediate suppression of inflammation in vitro and in vivo through stimulation of cannabinoid receptor 2 (CB2).","container-title":"Journal of Neuroinflammation","DOI":"10.1186/1742-2094-2-29","ISSN":"17422094","issue":"1","journalAbbreviation":"J Neuroinflammation","language":"en","page":"29","source":"DOI.org (Crossref)","title":"[No title found]","volume":"2","author":[{"family":"Ehrhart","given":"Jared"},{"family":"Obregon","given":"Demian"},{"family":"Mori","given":"Takashi"},{"family":"Hou","given":"Huayan"},{"family":"Sun","given":"Nan"},{"family":"Bai","given":"Yun"},{"family":"Klein","given":"Thomas"},{"family":"Fernandez","given":"Francisco"},{"family":"Tan","given":"Jun"},{"family":"Shytle","given":"R"}],"issued":{"date-parts":[["2005"]]}}}],"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38</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Q. </w:t>
            </w: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Rat model of TLE, Iba1 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{"citationID":"U3osEtz3","properties":{"formattedCitation":"\\super 44\\nosupersub{}","plainCitation":"44","noteIndex":0},"citationItems":[{"id":481,"uris":["http://zotero.org/users/5359331/items/4X8PHSD6"],"itemData":{"id":481,"type":"article-journal","abstract":"Objective\nTo investigate the spatiotemporal expression of cannabinoid receptor type 2 (CB2R) in the hippocampus of pilocarpine-treated rats experiencing a status epilepticus (SE).\nMethods\nA total of 112 male Sprague-Dawley rats at three weeks of age, weighing 43 g–68.5 g, were used for this study. Rats were randomly divided into a control group (n = 16) and an epilepsy a SE group. The epilepsy SE group was further divided into 6 sub-groups (2 h, 1, 3, 7, 14, and 21 days after status epilepticus (SE)). A SE model was induced with lithium chloride and pilocarpine by intraperitoneal injection. Hematoxylin-Eosin staining (H&amp;E staining) and TdT-mediated dUTP nick end labeling (TUNEL staining) were used to observe neuronal necrosis and apoptosis pyroptosis in the hippocampus. Double-label immunofluorescence and Western blotting were used to detect the distribution and expression of CB2R in the rat hippocampus exposed to SE.\nResults\nAccording to the Racine scale, nearly 15% of the pilocarpine-induced rats showed Racine stages 1 and 2 in the epilepsy group, almost 74% of the rats showed Racine stages 3 to 5, and 11% of the rats died in the SE or post SE. Morphologically, compared with control group, the number of neurons remarkably decreased while apoptotic pyroptotic neurons in number significantly increased in the CA1, CA3 and DG regions from 2 h to 3 days post SE by H&amp;E and TUNEL staining, respectively (p &lt; 0.05). Double immunofluorescence staining revealed that CB2R was mainly expressed in the CA1, CA3 and DG neuronal regions of the hippocampus and the number of CB2R-positive neurons significantly increased within these regions post SE as compared with the control group, particularly in the DG region. Furthermore, the protein expression of CB2R began to be elevated from 2 h post SE (p &lt; 0.05) and peaked at 1, 3 and 7 days (p &lt; 0.01), respectively peaked at 1 day and high levels were maintained at 3 and 7 days (p &lt; 0.01 for all of them). After that, the protein expression of CB2R gradually declined with by time interval.\nConclusions\nWe demonstrate that CB2R is expressed in hippocampal neurons and time-dependently expressed changed post SE, suggesting that the role of CB2R is mainly through hippocampal neurons at the early stage of pilocarpine-induced SE. CB2R may play a role at the early stage of pilocarpine-induced SE and its role is mainly through the hippocampal neurons.","container-title":"Epilepsy Research","DOI":"10.1016/j.eplepsyres.2018.10.002","ISSN":"0920-1211","journalAbbreviation":"Epilepsy Research","page":"8-16","source":"ScienceDirect","title":"The spatiotemporal expression changes of CB2R in the hippocampus of rats following pilocarpine-induced status epilepticus","volume":"148","author":[{"family":"Wu","given":"Qiong"},{"family":"Wang","given":"Hua"}],"issued":{"date-parts":[["2018",12,1]]}}}],"schema":"https://github.com/citation-style-language/schema/raw/master/csl-citation.json"}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44</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B. Stroke rat model, CD45-positive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{"citationID":"pPe1wTab","properties":{"formattedCitation":"\\super 45\\nosupersub{}","plainCitation":"45","noteIndex":0},"citationItems":[{"id":355,"uris":["http://zotero.org/users/5359331/items/WTLAJIMZ"],"itemData":{"id":355,"type":"article-journal","abstract":"Until recently the cannabinoid CB2 receptor was believed to be absent from the central nervous system. In this study we have identiﬁed CB2 expressing cells that appear in the rat brain following stroke and hypoxic-ischemia. At 3 days following surgery CB2-positive macrophages, deriving from resident microglia and/or invading monocytes appear on the lesioned side of the brain. By day 7, a mixed population of CB2-positive cells is present. Microglia-derived macrophages are the key cells in the ﬁrst stages of brain inﬂammation, and a pivotal step in the neurodegeneration that follows the acute stage of injury. Thus, CB2 may be important in the brain during injury, and in inﬂammatory neurodegenerative disorders. The presence of CB2-positive cells in the brain following stroke may provide a novel strategy for cannabinoid-mediated intervention into stroke induced neurodegeneration without the psychoactive effects of CB1 receptor stimulation.","container-title":"Neuroscience Letters","DOI":"10.1016/j.neulet.2006.10.053","ISSN":"03043940","issue":"2","journalAbbreviation":"Neuroscience Letters","language":"en","page":"114-117","source":"DOI.org (Crossref)","title":"Cerebral hypoxia-ischemia and middle cerebral artery occlusion induce expression of the cannabinoid CB2 receptor in the brain","volume":"412","author":[{"family":"Ashton","given":"John C."},{"family":"Rahman","given":"Rosanna M.A."},{"family":"Nair","given":"Shiva M."},{"family":"Sutherland","given":"Brad A."},{"family":"Glass","given":"Michelle"},{"family":"Appleton","given":"Ian"}],"issued":{"date-parts":[["2007",1]]}}}],"schema":"https://github.com/citation-style-language/schema/raw/master/csl-citation.json"}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45</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antibodies O and Q. Mouse model of AD, Iba1-positive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{"citationID":"mVfH5vkD","properties":{"formattedCitation":"\\super 40\\nosupersub{}","plainCitation":"40","noteIndex":0},"citationItems":[{"id":100,"uris":["http://zotero.org/users/5359331/items/3K2PH59N"],"itemData":{"id":100,"type":"article-journal","container-title":"Journal of Pharmacology and Experimental Therapeutics","DOI":"10.1124/jpet.107.121566","ISSN":"0022-3565, 1521-0103","issue":"3","journalAbbreviation":"J Pharmacol Exp Ther","language":"en","page":"1144-1152","source":"DOI.org (Crossref)","title":"Opposing Control of Cannabinoid Receptor Stimulation on Amyloid-β-Induced Reactive Gliosis: In Vitro and in Vivo Evidence","title-short":"Opposing Control of Cannabinoid Receptor Stimulation on Amyloid-β-Induced Reactive Gliosis","volume":"322","author":[{"family":"Esposito","given":"Giuseppe"},{"family":"Iuvone","given":"Teresa"},{"family":"Savani","given":"Claudia"},{"family":"Scuderi","given":"Caterina"},{"family":"De Filippis","given":"Daniele"},{"family":"Papa","given":"Michele"},{"family":"Di Marzo","given":"Vincenzo"},{"family":"Steardo","given":"Luca"}],"issued":{"date-parts":[["2007",9]]}}}],"schema":"https://github.com/citation-style-language/schema/raw/master/csl-citation.json"}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40</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M. </w:t>
            </w:r>
          </w:p>
        </w:tc>
        <w:tc>
          <w:tcPr>
            <w:tcW w:w="2409" w:type="dxa"/>
            <w:shd w:val="clear" w:color="auto" w:fill="auto"/>
            <w:vAlign w:val="center"/>
            <w:hideMark/>
          </w:tcPr>
          <w:p w14:paraId="24DE7485"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c>
          <w:tcPr>
            <w:tcW w:w="2268" w:type="dxa"/>
            <w:shd w:val="clear" w:color="auto" w:fill="auto"/>
            <w:vAlign w:val="center"/>
            <w:hideMark/>
          </w:tcPr>
          <w:p w14:paraId="0528C6D8"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r>
      <w:tr w:rsidR="00016CB7" w:rsidRPr="00016CB7" w14:paraId="7FAAFEB1" w14:textId="77777777" w:rsidTr="00DC119E">
        <w:trPr>
          <w:trHeight w:val="417"/>
        </w:trPr>
        <w:tc>
          <w:tcPr>
            <w:tcW w:w="846" w:type="dxa"/>
            <w:vMerge/>
            <w:shd w:val="clear" w:color="auto" w:fill="auto"/>
            <w:vAlign w:val="center"/>
          </w:tcPr>
          <w:p w14:paraId="0E2D82BC"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p>
        </w:tc>
        <w:tc>
          <w:tcPr>
            <w:tcW w:w="1276" w:type="dxa"/>
            <w:shd w:val="clear" w:color="auto" w:fill="auto"/>
            <w:vAlign w:val="center"/>
          </w:tcPr>
          <w:p w14:paraId="02FD1368"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eastAsia="fr-FR"/>
              </w:rPr>
            </w:pPr>
            <w:r w:rsidRPr="00F31719">
              <w:rPr>
                <w:rFonts w:ascii="Calibri" w:eastAsia="Times New Roman" w:hAnsi="Calibri" w:cs="Calibri"/>
                <w:b/>
                <w:bCs/>
                <w:color w:val="000000"/>
                <w:sz w:val="15"/>
                <w:szCs w:val="15"/>
                <w:lang w:eastAsia="fr-FR"/>
              </w:rPr>
              <w:t>VTA</w:t>
            </w:r>
          </w:p>
        </w:tc>
        <w:tc>
          <w:tcPr>
            <w:tcW w:w="3685" w:type="dxa"/>
            <w:shd w:val="clear" w:color="auto" w:fill="auto"/>
            <w:vAlign w:val="center"/>
          </w:tcPr>
          <w:p w14:paraId="41DE3D98" w14:textId="77777777" w:rsidR="00016CB7" w:rsidRPr="00F31719" w:rsidRDefault="00016CB7" w:rsidP="00DC119E">
            <w:pPr>
              <w:spacing w:after="0" w:line="240" w:lineRule="auto"/>
              <w:jc w:val="center"/>
              <w:rPr>
                <w:rFonts w:ascii="Calibri" w:eastAsia="Times New Roman" w:hAnsi="Calibri" w:cs="Calibri"/>
                <w:b/>
                <w:bCs/>
                <w:color w:val="00B05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TH-positive neurons</w:t>
            </w:r>
            <w:r w:rsidRPr="00F31719">
              <w:rPr>
                <w:rFonts w:ascii="Calibri" w:eastAsia="Times New Roman" w:hAnsi="Calibri" w:cs="Calibri"/>
                <w:color w:val="000000"/>
                <w:sz w:val="12"/>
                <w:szCs w:val="12"/>
                <w:lang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{"citationID":"jtaIArKZ","properties":{"formattedCitation":"\\super 29,90\\nosupersub{}","plainCitation":"29,90","noteIndex":0},"citationItems":[{"id":191,"uris":["http://zotero.org/users/5359331/items/GTE6LEFF"],"itemData":{"id":191,"type":"article-journal","abstract":"The potential involvement of the cannabinoid CB2 receptors (CB2r) in the adaptive responses induced by cocaine was studied in transgenic mice overexpressing the CB2r (CB2xP) and in wild-type (WT) littermates. For this purpose, the acute and sensitized locomotor responses to cocaine, conditioned place preference, and cocaine intravenous self-administration were evaluated. In addition, we assessed whether CB2r were localized in neurons and/or astrocytes, and whether they colocalized with dopamine D1 and D2 receptors (D1Dr and D2Dr). Dopamine (DA) extracellular levels in the nucleus accumbens (NAcc), and gene expression of tyrosine hydroxylase (TH) and DA transporter (DAT) in the ventral tegmental area (VTA), and μ-opioid and cannabinoid CB1 receptors in the NAcc were also studied in both genotypes. CB2xP mice showed decreased motor response to acute administration of cocaine (10–20 mg/kg) and cocaine-induced motor sensitization compared with WT mice. CB2xP mice presented cocaine-induced conditioned place aversion and self-administered less cocaine than WT mice. CB2r were found in neurons and astrocytes and colocalized with D2Dr in the VTA and NAcc. No significant differences in extracellular DA levels in the NAcc were observed between genotypes after cocaine administration. Under baseline conditions, TH and DAT gene expression was higher and μ-opioid receptor gene expression was lower in CB2xP than in WT mice. However, both genotypes showed similar changes in TH and μ-opioid receptor gene expression after cocaine challenge independently of the pretreatment received. Importantly, the cocaine challenge decreased DAT gene expression to a lesser extent in cocaine-pretreated CB2xP than in cocaine-pretreated WT mice. These results revealed that CB2r are involved in cocaine motor responses and cocaine self-administration, suggesting that this receptor could represent a promising target to develop novel treatments for cocaine addiction.","container-title":"Neuropsychopharmacology","DOI":"10.1038/npp.2012.22","ISSN":"0893-133X","issue":"7","journalAbbreviation":"Neuropsychopharmacology","note":"PMID: 22414816\nPMCID: PMC3358745","page":"1749-1763","source":"PubMed Central","title":"Decreased Cocaine Motor Sensitization and Self-Administration in Mice Overexpressing Cannabinoid CB2 Receptors","volume":"37","author":[{"family":"Aracil-Fernández","given":"Auxiliadora"},{"family":"Trigo","given":"José M"},{"family":"García-Gutiérrez","given":"María S"},{"family":"Ortega-Álvaro","given":"Antonio"},{"family":"Ternianov","given":"Alexander"},{"family":"Navarro","given":"Daniela"},{"family":"Robledo","given":"Patricia"},{"family":"Berbel","given":"Pere"},{"family":"Maldonado","given":"Rafael"},{"family":"Manzanares","given":"Jorge"}],"issued":{"date-parts":[["2012",6]]}}},{"id":333,"uris":["http://zotero.org/users/5359331/items/HGMV86PS"],"itemData":{"id":333,"type":"article-journal","abstract":"Although early studies suggested that cannabinoid CB2 receptors (CB2Rs) are absent in the brain, this view has been challenged by recent findings of significant brain CB2R involvement in several dopamine (DA)-related CNS disorders. The cellular mechanisms underlying these actions are unclear, however. Using multiple approaches, we found that CB2R genes and receptors are expressed in midbrain DA neurons, and that activation of CB2Rs inhibits DA neuronal firing and i.v. cocaine self-administration. These findings not only challenge the long-held view that brain CB2Rs are not expressed in neurons, but also suggest that neuronal CB2Rs modulate DA neuronal activity and DA-regulated behavior. Thus, brain CB2Rs may constitute a new therapeutic target in medication development for treatment of a number of CNS disorders., Cannabinoid CB2 receptors (CB2Rs) have been recently reported to modulate brain dopamine (DA)-related behaviors; however, the cellular mechanisms underlying these actions are unclear. Here we report that CB2Rs are expressed in ventral tegmental area (VTA) DA neurons and functionally modulate DA neuronal excitability and DA-related behavior. In situ hybridization and immunohistochemical assays detected CB2 mRNA and CB2R immunostaining in VTA DA neurons. Electrophysiological studies demonstrated that activation of CB2Rs by JWH133 or other CB2R agonists inhibited VTA DA neuronal firing in vivo and ex vivo, whereas microinjections of JWH133 into the VTA inhibited cocaine self-administration. Importantly, all of the above findings observed in WT or CB1−/− mice are blocked by CB2R antagonist and absent in CB2−/− mice. These data suggest that CB2R-mediated reduction of VTA DA neuronal activity may underlie JWH133's modulation of DA-regulated behaviors.","container-title":"Proceedings of the National Academy of Sciences of the United States of America","DOI":"10.1073/pnas.1413210111","ISSN":"0027-8424","issue":"46","journalAbbreviation":"Proc Natl Acad Sci U S A","note":"PMID: 25368177\nPMCID: PMC4246322","page":"E5007-E5015","source":"PubMed Central","title":"Cannabinoid CB2 receptors modulate midbrain dopamine neuronal activity and dopamine-related behavior in mice","volume":"111","author":[{"family":"Zhang","given":"Hai-Ying"},{"family":"Gao","given":"Ming"},{"family":"Liu","given":"Qing-Rong"},{"family":"Bi","given":"Guo-Hua"},{"family":"Li","given":"Xia"},{"family":"Yang","given":"Hong-Ju"},{"family":"Gardner","given":"Eliot L."},{"family":"Wu","given":"Jie"},{"family":"Xi","given":"Zheng-Xiong"}],"issued":{"date-parts":[["2014",11,18]]}}}],"schema":"https://github.com/citation-style-language/schema/raw/master/csl-citation.json"} </w:instrText>
            </w:r>
            <w:r w:rsidRPr="00F31719">
              <w:rPr>
                <w:rFonts w:ascii="Calibri" w:eastAsia="Times New Roman" w:hAnsi="Calibri" w:cs="Calibri"/>
                <w:color w:val="000000"/>
                <w:sz w:val="12"/>
                <w:szCs w:val="12"/>
                <w:lang w:eastAsia="fr-FR"/>
              </w:rPr>
              <w:fldChar w:fldCharType="separate"/>
            </w:r>
            <w:r w:rsidRPr="00F31719">
              <w:rPr>
                <w:rFonts w:ascii="Calibri" w:hAnsi="Calibri" w:cs="Calibri"/>
                <w:color w:val="000000"/>
                <w:sz w:val="12"/>
                <w:vertAlign w:val="superscript"/>
              </w:rPr>
              <w:t>29,90</w:t>
            </w:r>
            <w:r w:rsidRPr="00F31719">
              <w:rPr>
                <w:rFonts w:ascii="Calibri" w:eastAsia="Times New Roman" w:hAnsi="Calibri" w:cs="Calibri"/>
                <w:color w:val="000000"/>
                <w:sz w:val="12"/>
                <w:szCs w:val="12"/>
                <w:lang w:eastAsia="fr-FR"/>
              </w:rPr>
              <w:fldChar w:fldCharType="end"/>
            </w:r>
            <w:r w:rsidRPr="00F31719">
              <w:rPr>
                <w:rFonts w:ascii="Calibri" w:eastAsia="Times New Roman" w:hAnsi="Calibri" w:cs="Calibri"/>
                <w:color w:val="000000"/>
                <w:sz w:val="12"/>
                <w:szCs w:val="12"/>
                <w:lang w:val="en-US" w:eastAsia="fr-FR"/>
              </w:rPr>
              <w:t xml:space="preserve"> with antibodies A and B</w:t>
            </w:r>
          </w:p>
        </w:tc>
        <w:tc>
          <w:tcPr>
            <w:tcW w:w="3686" w:type="dxa"/>
            <w:shd w:val="clear" w:color="auto" w:fill="auto"/>
            <w:vAlign w:val="center"/>
          </w:tcPr>
          <w:p w14:paraId="05EDCEA2" w14:textId="77777777" w:rsidR="00016CB7" w:rsidRPr="00F31719" w:rsidRDefault="00016CB7" w:rsidP="00DC119E">
            <w:pPr>
              <w:spacing w:after="0" w:line="240" w:lineRule="auto"/>
              <w:jc w:val="center"/>
              <w:rPr>
                <w:rFonts w:ascii="Calibri" w:eastAsia="Times New Roman" w:hAnsi="Calibri" w:cs="Calibri"/>
                <w:b/>
                <w:bCs/>
                <w:color w:val="00B050"/>
                <w:sz w:val="12"/>
                <w:szCs w:val="12"/>
                <w:lang w:val="en-US" w:eastAsia="fr-FR"/>
              </w:rPr>
            </w:pPr>
            <w:r w:rsidRPr="00F31719">
              <w:rPr>
                <w:rFonts w:ascii="Calibri" w:eastAsia="Times New Roman" w:hAnsi="Calibri" w:cs="Calibri"/>
                <w:color w:val="000000"/>
                <w:sz w:val="12"/>
                <w:szCs w:val="12"/>
                <w:lang w:val="en-US" w:eastAsia="fr-FR"/>
              </w:rPr>
              <w:t> </w:t>
            </w:r>
          </w:p>
        </w:tc>
        <w:tc>
          <w:tcPr>
            <w:tcW w:w="2409" w:type="dxa"/>
            <w:shd w:val="clear" w:color="auto" w:fill="auto"/>
            <w:vAlign w:val="center"/>
          </w:tcPr>
          <w:p w14:paraId="0F1CE23D"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Astrocytes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{"citationID":"DrH36ZoY","properties":{"formattedCitation":"\\super 90\\nosupersub{}","plainCitation":"90","noteIndex":0},"citationItems":[{"id":191,"uris":["http://zotero.org/users/5359331/items/GTE6LEFF"],"itemData":{"id":191,"type":"article-journal","abstract":"The potential involvement of the cannabinoid CB2 receptors (CB2r) in the adaptive responses induced by cocaine was studied in transgenic mice overexpressing the CB2r (CB2xP) and in wild-type (WT) littermates. For this purpose, the acute and sensitized locomotor responses to cocaine, conditioned place preference, and cocaine intravenous self-administration were evaluated. In addition, we assessed whether CB2r were localized in neurons and/or astrocytes, and whether they colocalized with dopamine D1 and D2 receptors (D1Dr and D2Dr). Dopamine (DA) extracellular levels in the nucleus accumbens (NAcc), and gene expression of tyrosine hydroxylase (TH) and DA transporter (DAT) in the ventral tegmental area (VTA), and μ-opioid and cannabinoid CB1 receptors in the NAcc were also studied in both genotypes. CB2xP mice showed decreased motor response to acute administration of cocaine (10–20 mg/kg) and cocaine-induced motor sensitization compared with WT mice. CB2xP mice presented cocaine-induced conditioned place aversion and self-administered less cocaine than WT mice. CB2r were found in neurons and astrocytes and colocalized with D2Dr in the VTA and NAcc. No significant differences in extracellular DA levels in the NAcc were observed between genotypes after cocaine administration. Under baseline conditions, TH and DAT gene expression was higher and μ-opioid receptor gene expression was lower in CB2xP than in WT mice. However, both genotypes showed similar changes in TH and μ-opioid receptor gene expression after cocaine challenge independently of the pretreatment received. Importantly, the cocaine challenge decreased DAT gene expression to a lesser extent in cocaine-pretreated CB2xP than in cocaine-pretreated WT mice. These results revealed that CB2r are involved in cocaine motor responses and cocaine self-administration, suggesting that this receptor could represent a promising target to develop novel treatments for cocaine addiction.","container-title":"Neuropsychopharmacology","DOI":"10.1038/npp.2012.22","ISSN":"0893-133X","issue":"7","journalAbbreviation":"Neuropsychopharmacology","note":"PMID: 22414816\nPMCID: PMC3358745","page":"1749-1763","source":"PubMed Central","title":"Decreased Cocaine Motor Sensitization and Self-Administration in Mice Overexpressing Cannabinoid CB2 Receptors","volume":"37","author":[{"family":"Aracil-Fernández","given":"Auxiliadora"},{"family":"Trigo","given":"José M"},{"family":"García-Gutiérrez","given":"María S"},{"family":"Ortega-Álvaro","given":"Antonio"},{"family":"Ternianov","given":"Alexander"},{"family":"Navarro","given":"Daniela"},{"family":"Robledo","given":"Patricia"},{"family":"Berbel","given":"Pere"},{"family":"Maldonado","given":"Rafael"},{"family":"Manzanares","given":"Jorge"}],"issued":{"date-parts":[["2012",6]]}}}],"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90</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antibodies A and B. </w:t>
            </w:r>
          </w:p>
        </w:tc>
        <w:tc>
          <w:tcPr>
            <w:tcW w:w="2268" w:type="dxa"/>
            <w:shd w:val="clear" w:color="auto" w:fill="auto"/>
            <w:vAlign w:val="center"/>
          </w:tcPr>
          <w:p w14:paraId="621FF947"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r>
      <w:tr w:rsidR="00016CB7" w:rsidRPr="00B845EF" w14:paraId="54181638" w14:textId="77777777" w:rsidTr="00DC119E">
        <w:trPr>
          <w:trHeight w:val="254"/>
        </w:trPr>
        <w:tc>
          <w:tcPr>
            <w:tcW w:w="846" w:type="dxa"/>
            <w:vMerge/>
            <w:vAlign w:val="center"/>
            <w:hideMark/>
          </w:tcPr>
          <w:p w14:paraId="5DF9CDB3" w14:textId="77777777" w:rsidR="00016CB7" w:rsidRPr="00F31719" w:rsidRDefault="00016CB7" w:rsidP="00DC119E">
            <w:pPr>
              <w:spacing w:after="0" w:line="240" w:lineRule="auto"/>
              <w:rPr>
                <w:rFonts w:ascii="Calibri" w:eastAsia="Times New Roman" w:hAnsi="Calibri" w:cs="Calibri"/>
                <w:b/>
                <w:bCs/>
                <w:color w:val="000000"/>
                <w:sz w:val="15"/>
                <w:szCs w:val="15"/>
                <w:lang w:val="en-US" w:eastAsia="fr-FR"/>
              </w:rPr>
            </w:pPr>
          </w:p>
        </w:tc>
        <w:tc>
          <w:tcPr>
            <w:tcW w:w="1276" w:type="dxa"/>
            <w:shd w:val="clear" w:color="auto" w:fill="auto"/>
            <w:vAlign w:val="center"/>
            <w:hideMark/>
          </w:tcPr>
          <w:p w14:paraId="5355408A"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RED NUCLEUS</w:t>
            </w:r>
          </w:p>
        </w:tc>
        <w:tc>
          <w:tcPr>
            <w:tcW w:w="3685" w:type="dxa"/>
            <w:shd w:val="clear" w:color="auto" w:fill="auto"/>
            <w:vAlign w:val="center"/>
            <w:hideMark/>
          </w:tcPr>
          <w:p w14:paraId="0899D949"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Magnocellular neurons with antibody B</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{"citationID":"fG0FNROt","properties":{"formattedCitation":"\\super 33\\nosupersub{}","plainCitation":"33","noteIndex":0},"citationItems":[{"id":1416,"uris":["http://zotero.org/users/5359331/items/VC92BZ7S"],"itemData":{"id":1416,"type":"article-journal","abstract":"Cannabinoids produce a number of central nervous system effects via the CB2 receptor (CB2R), including analgesia, antianxiety, anti-reward, hypoactivity and attenuation of opioid-induced respiratory depression. However, the cellular distributions of the CB2Rs in the brain remain unclear. We have reported that CB2Rs are expressed in midbrain dopamine (DA) neurons and functionally regulate DA-mediated behavior(s). Unexpectedly, high densities of CB2-like signaling were also found in a neighboring motor structure – the red nucleus (RN) of the midbrain. In the present study, we systematically explored CB2R expression and function in the RN. Immunohistochemistry and in situ hybridization assays showed high densities of CB2R-immunostaining and mRNA signal in RN magnocellular glutamate neurons in wildtype and CB1-knockout, but not CB2-knockout, mice. Ex vivo electrophysiological recordings in midbrain slices demonstrated that CB2R activation by JWH133 dose-dependently inhibited firing rates of RN magnocellular neurons in wildtype, but not CB2-knockout, mice, while having no effect on RN GABA neurons in transgenic GAD67-GFP reporter mice, suggesting CB2-mediated effects on glutamatergic neurons. In addition, microinjection of JWH133 into the RN produced robust ipsilateral rotations in wildtype, but not CB2-knockout mice, which was blocked by pretreatment with either a CB2 or DA D1 or D2 receptor antagonist, suggesting a DA-dependent effect. Finally, fluorescent tract tracing revealed glutamatergic projections from the RN to multiple brain areas including the ventral tegmental area, thalamus, and cerebellum. These findings suggest that CB2Rs in RN glutamate neurons functionally modulate motor activity, and therefore, constitute a new target in cannabis-based medication development for motor disorders.","container-title":"Neuropharmacology","DOI":"10.1016/j.neuropharm.2021.108538","ISSN":"0028-3908","journalAbbreviation":"Neuropharmacology","language":"en","page":"108538","source":"ScienceDirect","title":"Cannabinoid CB2 receptors are expressed in glutamate neurons in the red nucleus and functionally modulate motor behavior in mice","volume":"189","author":[{"family":"Zhang","given":"Hai-Ying"},{"family":"Shen","given":"Hui"},{"family":"Gao","given":"Ming"},{"family":"Ma","given":"Zegang"},{"family":"Hempel","given":"Briana J."},{"family":"Bi","given":"Guo-Hua"},{"family":"Gardner","given":"Eliot L."},{"family":"Wu","given":"Jie"},{"family":"Xi","given":"Zheng-Xiong"}],"issued":{"date-parts":[["2021",5,15]]}}}],"schema":"https://github.com/citation-style-language/schema/raw/master/csl-citation.json"}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33</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t>
            </w:r>
          </w:p>
        </w:tc>
        <w:tc>
          <w:tcPr>
            <w:tcW w:w="3686" w:type="dxa"/>
            <w:shd w:val="clear" w:color="auto" w:fill="auto"/>
            <w:vAlign w:val="center"/>
            <w:hideMark/>
          </w:tcPr>
          <w:p w14:paraId="11316F42"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c>
          <w:tcPr>
            <w:tcW w:w="2409" w:type="dxa"/>
            <w:shd w:val="clear" w:color="auto" w:fill="auto"/>
            <w:vAlign w:val="center"/>
            <w:hideMark/>
          </w:tcPr>
          <w:p w14:paraId="3085F11F"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c>
          <w:tcPr>
            <w:tcW w:w="2268" w:type="dxa"/>
            <w:shd w:val="clear" w:color="auto" w:fill="auto"/>
            <w:vAlign w:val="center"/>
            <w:hideMark/>
          </w:tcPr>
          <w:p w14:paraId="1D800A4E"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r>
      <w:tr w:rsidR="00016CB7" w:rsidRPr="00F31719" w14:paraId="181CC5A1" w14:textId="77777777" w:rsidTr="00DC119E">
        <w:trPr>
          <w:trHeight w:val="416"/>
        </w:trPr>
        <w:tc>
          <w:tcPr>
            <w:tcW w:w="846" w:type="dxa"/>
            <w:vMerge/>
            <w:vAlign w:val="center"/>
            <w:hideMark/>
          </w:tcPr>
          <w:p w14:paraId="3B1951EA" w14:textId="77777777" w:rsidR="00016CB7" w:rsidRPr="00F31719" w:rsidRDefault="00016CB7" w:rsidP="00DC119E">
            <w:pPr>
              <w:spacing w:after="0" w:line="240" w:lineRule="auto"/>
              <w:rPr>
                <w:rFonts w:ascii="Calibri" w:eastAsia="Times New Roman" w:hAnsi="Calibri" w:cs="Calibri"/>
                <w:b/>
                <w:bCs/>
                <w:color w:val="000000"/>
                <w:sz w:val="15"/>
                <w:szCs w:val="15"/>
                <w:lang w:val="en-US" w:eastAsia="fr-FR"/>
              </w:rPr>
            </w:pPr>
          </w:p>
        </w:tc>
        <w:tc>
          <w:tcPr>
            <w:tcW w:w="1276" w:type="dxa"/>
            <w:shd w:val="clear" w:color="auto" w:fill="auto"/>
            <w:vAlign w:val="center"/>
            <w:hideMark/>
          </w:tcPr>
          <w:p w14:paraId="5568433E"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eastAsia="fr-FR"/>
              </w:rPr>
            </w:pPr>
            <w:r w:rsidRPr="00F31719">
              <w:rPr>
                <w:rFonts w:ascii="Calibri" w:eastAsia="Times New Roman" w:hAnsi="Calibri" w:cs="Calibri"/>
                <w:b/>
                <w:bCs/>
                <w:color w:val="000000"/>
                <w:sz w:val="15"/>
                <w:szCs w:val="15"/>
                <w:lang w:val="en-US" w:eastAsia="fr-FR"/>
              </w:rPr>
              <w:t>RETINA</w:t>
            </w:r>
          </w:p>
        </w:tc>
        <w:tc>
          <w:tcPr>
            <w:tcW w:w="3685" w:type="dxa"/>
            <w:shd w:val="clear" w:color="auto" w:fill="auto"/>
            <w:vAlign w:val="center"/>
            <w:hideMark/>
          </w:tcPr>
          <w:p w14:paraId="1BE87512"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Inner segment of photoreceptors, in the inner nuclear layer and in the ganglion cell in rats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{"citationID":"q9NGFdHP","properties":{"formattedCitation":"\\super 42\\nosupersub{}","plainCitation":"42","noteIndex":0},"citationItems":[{"id":315,"uris":["http://zotero.org/users/5359331/items/9L2N9BRB"],"itemData":{"id":315,"type":"article-journal","abstract":"Experimental studies demonstrated that saffron (Crocus sativus) given as a dietary supplement counteracts the effects of bright continuous light (BCL) exposure in the albino rat retina, preserving both morphology and function and probably acting as a regulator of programmed cell death []. The purpose of this study was to ascertain whether the neuroprotective effect of saffron on rat retina exposed to BCL is associated with a modulation of the endocannabinoid system (ECS). To this aim, we used eight experimental groups of Sprague-Dawley rats, of which six were exposed to BCL for 24 hours. Following retinal function evaluation, retinas were quickly removed for biochemical and morphological analyses. Rats were either saffron-prefed or intravitreally injected with selective type-1 (CB1) or type-2 (CB2) cannabinoid receptor antagonists before BCL. Prefeeding and intravitreally injections were combined in two experimental groups before BCL. BCL exposure led to enhanced gene and protein expression of retinal CB1 and CB2 without affecting the other ECS elements. This effect of BCL on CB1 and CB2 was reversed by saffron treatment. Selective CB1 and CB2 antagonists reduced photoreceptor death, preserved morphology and visual function of retina, and mitigated the outer nuclear layer (ONL) damage due to BCL. Of interest, CB2-dependent neuroprotection was more pronounced than that conferred by CB1. These data suggest that BCL modulates only distinct ECS elements like CB1 and CB2, and that saffron and cannabinoid receptors could share the same mechanism in order to afford retinal protection.","container-title":"PLoS ONE","DOI":"10.1371/journal.pone.0166827","ISSN":"1932-6203","issue":"11","journalAbbreviation":"PLoS One","note":"PMID: 27861558\nPMCID: PMC5115823","source":"PubMed Central","title":"Modulation of Type-1 and Type-2 Cannabinoid Receptors by Saffron in a Rat Model of Retinal Neurodegeneration","URL":"https://www.ncbi.nlm.nih.gov/pmc/articles/PMC5115823/","volume":"11","author":[{"family":"Maccarone","given":"Rita"},{"family":"Rapino","given":"Cinzia"},{"family":"Zerti","given":"Darin"},{"family":"Tommaso","given":"Monia","non-dropping-particle":"di"},{"family":"Battista","given":"Natalia"},{"family":"Di Marco","given":"Stefano"},{"family":"Bisti","given":"Silvia"},{"family":"Maccarrone","given":"Mauro"}],"accessed":{"date-parts":[["2020",4,21]]},"issued":{"date-parts":[["2016",11,18]]}}}],"schema":"https://github.com/citation-style-language/schema/raw/master/csl-citation.json"}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42</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B. Glutamine synthetase-positive cells i.e. Muller cells in NHP</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{"citationID":"C8WHr3Tg","properties":{"formattedCitation":"\\super 60\\nosupersub{}","plainCitation":"60","noteIndex":0},"citationItems":[{"id":312,"uris":["http://zotero.org/users/5359331/items/S7NULSI4"],"itemData":{"id":312,"type":"article-journal","abstract":"The presence of the cannabinoid receptor type 1 (CB1R) has been largely documented in the rodent and primate retinae in recent years. There is, however, some controversy concerning the presence of the CB2 receptor (CB2R) within the central nervous system. Only recently, CB2R has been found in the rodent retina, but its presence in the primate retina has not yet been demonstrated. The aim of this study was twofold: 1) to characterize the distribution patterns of CB2R in the monkey retina and compare this distribution with that previously reported for CB1R and 2) to resolve the controversy on the presence of CB2R in the neural component of the retina. We therefore thoroughly examined the cellular localization of CB2R in the vervet monkey (Chlorocebus sabeus) retina, using confocal microscopy. Our results demonstrate that CB2R, like CB1R, is present throughout the retinal layers, but with striking dissimilarities. Double labeling of CB2R and glutamine synthetase shows that CB2R is restricted to Müller cell processes, extending from the internal limiting membrane, with very low staining, to the external limiting membrane, with heavy labeling. We conclude that CB2R is indeed present in the retina but exclusively in the retinal glia, whereas CB1R is expressed only in the neuroretina. These results extend our knowledge on the expression and distribution of cannabinoid receptors in the monkey retina, although further experiments are still needed to clarify their role in retinal functions. J. Comp. Neurol. J. Comp. Neurol. 521:2399–2415, 2013. © 2013 Wiley Periodicals, Inc.","container-title":"Journal of Comparative Neurology","DOI":"10.1002/cne.23333","ISSN":"1096-9861","issue":"11","language":"en","note":"_eprint: https://onlinelibrary.wiley.com/doi/pdf/10.1002/cne.23333","page":"2399-2415","source":"Wiley Online Library","title":"Müller cells express the cannabinoid CB2 receptor in the vervet monkey retina","volume":"521","author":[{"family":"Bouskila","given":"Joseph"},{"family":"Javadi","given":"Pasha"},{"family":"Casanova","given":"Christian"},{"family":"Ptito","given":"Maurice"},{"family":"Bouchard","given":"Jean-François"}],"issued":{"date-parts":[["2013"]]}}}],"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60</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A. </w:t>
            </w:r>
          </w:p>
        </w:tc>
        <w:tc>
          <w:tcPr>
            <w:tcW w:w="3686" w:type="dxa"/>
            <w:shd w:val="clear" w:color="auto" w:fill="auto"/>
            <w:vAlign w:val="center"/>
            <w:hideMark/>
          </w:tcPr>
          <w:p w14:paraId="3FDFFB52"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c>
          <w:tcPr>
            <w:tcW w:w="2409" w:type="dxa"/>
            <w:shd w:val="clear" w:color="auto" w:fill="auto"/>
            <w:vAlign w:val="center"/>
            <w:hideMark/>
          </w:tcPr>
          <w:p w14:paraId="0EB95315"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c>
          <w:tcPr>
            <w:tcW w:w="2268" w:type="dxa"/>
            <w:shd w:val="clear" w:color="auto" w:fill="auto"/>
            <w:vAlign w:val="center"/>
            <w:hideMark/>
          </w:tcPr>
          <w:p w14:paraId="76B4FB62"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r>
      <w:tr w:rsidR="00016CB7" w:rsidRPr="00F31719" w14:paraId="1891D04C" w14:textId="77777777" w:rsidTr="00DC119E">
        <w:trPr>
          <w:trHeight w:val="319"/>
        </w:trPr>
        <w:tc>
          <w:tcPr>
            <w:tcW w:w="846" w:type="dxa"/>
            <w:vMerge w:val="restart"/>
            <w:shd w:val="clear" w:color="auto" w:fill="auto"/>
            <w:vAlign w:val="center"/>
          </w:tcPr>
          <w:p w14:paraId="22D6820A"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2. Regions where CB2R has been detected by non-validated antibodies only</w:t>
            </w:r>
          </w:p>
        </w:tc>
        <w:tc>
          <w:tcPr>
            <w:tcW w:w="1276" w:type="dxa"/>
            <w:shd w:val="clear" w:color="auto" w:fill="auto"/>
            <w:vAlign w:val="center"/>
          </w:tcPr>
          <w:p w14:paraId="1A47773A"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NEOCORTEX</w:t>
            </w:r>
          </w:p>
        </w:tc>
        <w:tc>
          <w:tcPr>
            <w:tcW w:w="3685" w:type="dxa"/>
            <w:shd w:val="clear" w:color="auto" w:fill="auto"/>
            <w:vAlign w:val="center"/>
          </w:tcPr>
          <w:p w14:paraId="42B5AB63" w14:textId="77777777" w:rsidR="00016CB7" w:rsidRPr="00F31719" w:rsidRDefault="00016CB7" w:rsidP="00DC119E">
            <w:pPr>
              <w:spacing w:after="0" w:line="240" w:lineRule="auto"/>
              <w:jc w:val="center"/>
              <w:rPr>
                <w:rFonts w:ascii="Calibri" w:eastAsia="Times New Roman" w:hAnsi="Calibri" w:cs="Calibri"/>
                <w:b/>
                <w:bCs/>
                <w:color w:val="00B05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Rat pyramidal-like cells of the orbital cortex, the visual cortex, the motor cortex, and the auditory cortex</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{"citationID":"gqRR0CmL","properties":{"formattedCitation":"\\super 41\\nosupersub{}","plainCitation":"41","noteIndex":0},"citationItems":[{"id":362,"uris":["http://zotero.org/users/5359331/items/NGAS7VQY"],"itemData":{"id":362,"type":"article-journal","abstract":"Brain expression of CB2 cannabinoid receptors has been much less well established and characterized in comparison to the expression of brain CB1 receptors. Since CB2 receptors are intensely expressed in peripheral and immune tissues, expression in brain microglia has been anticipated. Nevertheless, we now describe expression of CB2-receptor-like immunoreactivity in brain in neuronal patterns that support broader CNS roles for this receptor. Two anti-CB2 affinity purified polyclonal antibodies were raised in rabbits immunized with peptide conjugates that corresponded to amino acids 1–33 and 20–33. Western blot analyses revealed specific bands that were identified using these sera and were absent when the sera were preadsorbed with 8.3 μg/ml of the immunizing peptides. These studies, and initial RT-PCR analyses of brain CB1 and CB2 mRNAs, also support the expression of brain CB2 receptor transcripts at levels much lower than those of CB1 receptors. CB2 cannabinoid receptor mRNA was clearly expressed in the cerebellum of wild type but not in CB2 knockout mice. CB2 immunostaining was detected in the interpolar part of spinal 5th nucleus of wild type but not in CB2 knockout mice, using a mouse C-terminal CB2 receptor antibody. Immunohistochemical analyses revealed abundant immunostaining for CB2 receptors in apparent neuronal and glial processes in a number of rat brain areas. Cerebellar Purkinje cells and hippocampal pyramidal cells revealed substantial immunoreactivity that was absent when sections were stained with preadsorbed sera. CB2 immunoreactivity was also observed in olfactory tubercle, islands of Calleja, cerebral cortex, striatum, thalamic nuclei, hippocampus, amygdala, substantia nigra, periaqueductal gray, paratrochlear nucleus, paralemniscal nucleus, red nucleus, pontine nuclei, inferior colliculus and the parvocellular portion of the medial vestibular nucleus. In-vitro, CB2 immunoreactivity was also present in hippocampal cell cultures. The multifocal expression of CB2 immunoreactivity in glial and neuronal patterns in a number of brain regions suggests reevaluation of the possible roles that CB2 receptors may play in the brain.","container-title":"Brain Research","DOI":"10.1016/j.brainres.2005.11.035","ISSN":"00068993","issue":"1","journalAbbreviation":"Brain Research","language":"en","page":"10-23","source":"DOI.org (Crossref)","title":"Cannabinoid CB2 receptors: Immunohistochemical localization in rat brain","title-short":"Cannabinoid CB2 receptors","volume":"1071","author":[{"family":"Gong","given":"Jian-Ping"},{"family":"Onaivi","given":"Emmanuel S."},{"family":"Ishiguro","given":"Hiroki"},{"family":"Liu","given":"Qing-Rong"},{"family":"Tagliaferro","given":"Patricia A."},{"family":"Brusco","given":"Alicia"},{"family":"Uhl","given":"George R."}],"issued":{"date-parts":[["2006",2]]}}}],"schema":"https://github.com/citation-style-language/schema/raw/master/csl-citation.json"}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41</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antibodies A and u.</w:t>
            </w:r>
          </w:p>
        </w:tc>
        <w:tc>
          <w:tcPr>
            <w:tcW w:w="3686" w:type="dxa"/>
            <w:shd w:val="clear" w:color="auto" w:fill="auto"/>
            <w:vAlign w:val="center"/>
          </w:tcPr>
          <w:p w14:paraId="4E7CBB19"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Mouse perivascular Iba1-positive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{"citationID":"L7guHDSa","properties":{"formattedCitation":"\\super 38\\nosupersub{}","plainCitation":"38","noteIndex":0},"citationItems":[{"id":411,"uris":["http://zotero.org/users/5359331/items/5SABF7BS"],"itemData":{"id":411,"type":"article-journal","abstract":"Background: Activated microglial cells have been implicated in a number of neurodegenerative disorders, including Alzheimer's disease (AD), multiple sclerosis (MS), and HIV dementia. It is well known that inflammatory mediators such as nitric oxide (NO), cytokines, and chemokines play an important role in microglial cell-associated neuron cell damage. Our previous studies have shown that CD40 signaling is involved in pathological activation of microglial cells. Many data reveal that cannabinoids mediate suppression of inflammation in vitro and in vivo through stimulation of cannabinoid receptor 2 (CB2).","container-title":"Journal of Neuroinflammation","DOI":"10.1186/1742-2094-2-29","ISSN":"17422094","issue":"1","journalAbbreviation":"J Neuroinflammation","language":"en","page":"29","source":"DOI.org (Crossref)","title":"[No title found]","volume":"2","author":[{"family":"Ehrhart","given":"Jared"},{"family":"Obregon","given":"Demian"},{"family":"Mori","given":"Takashi"},{"family":"Hou","given":"Huayan"},{"family":"Sun","given":"Nan"},{"family":"Bai","given":"Yun"},{"family":"Klein","given":"Thomas"},{"family":"Fernandez","given":"Francisco"},{"family":"Tan","given":"Jun"},{"family":"Shytle","given":"R"}],"issued":{"date-parts":[["2005"]]}}}],"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38</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Q. </w:t>
            </w: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Mouse model of stroke, activated microglial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{"citationID":"twULoJpd","properties":{"formattedCitation":"\\super 74\\nosupersub{}","plainCitation":"74","noteIndex":0},"citationItems":[{"id":440,"uris":["http://zotero.org/users/5359331/items/LGVPNN92"],"itemData":{"id":440,"type":"article-journal","abstract":"Background and Purpose—Ischemic stroke continues to be one of the main causes of death worldwide. Inflammation accounts for a large part of damage in this pathology. The cannabinoid type 2 receptor (CB2R) has been proposed to have neuroprotective properties in neurological diseases. Therefore, our aim was to determine the effects of the activation of CB2R on infarct outcome and on ischemia-induced brain expression of classic and alternative markers of macrophage/microglial activation.\nMethods—Swiss wild-type and CB2R knockout male mice were subjected to a permanent middle cerebral artery occlusion. Mice were treated with either a CB2R agonist (JWH-133), with or without a CB2R antagonist (SR144528) or vehicle. Infarct outcome was determined by measuring infarct volume and neurological outcome. An additional group of animals was used to assess mRNA and protein expression of CB2R, interleukin (IL)-1</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IL-6, tumor necrosis factor </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(TNF-</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monocyte chemoattractant protein–1 (MCP-1), macrophage inflammatory peptide (MIP) –1</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RANTES, inducible nitric oxide synthase (iNOS), cyclooxygenase-2, IL-4, IL-10, transforming growth factor </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(TGF-</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arginase I, and Ym1.\nResults—Administration of JWH-133 significantly improved infarct outcome, as shown by a reduction in brain infarction and neurological impairment. This effect was reversed by the CB2R antagonist and was absent in CB2R knockout mice. Concomitantly, administration of JWH-133 led to a lower intensity of Iba1ϩ microglia/macrophages and a decrease in middle cerebral artery occlusion–induced gene expression of both classic (IL-6, TNF-</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MCP-1, MIP-1</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RANTES, and iNOS) and alternative mediators/markers (IL-10, TGF-</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and Ym1) of microglial/macrophage activation after permanent middle cerebral artery occlusion.\nConclusions—The inhibitory effect of CB2R on the activation of different subpopulations of microglia/macrophages may account for the protective effect of the selective CB2R agonist JWH-133 after stroke. (Stroke. 2012;43:211-219.)","container-title":"Stroke","DOI":"10.1161/STROKEAHA.111.631044","ISSN":"0039-2499, 1524-4628","issue":"1","journalAbbreviation":"Stroke","language":"en","page":"211-219","source":"DOI.org (Crossref)","title":"Cannabinoid Type 2 Receptor Activation Downregulates Stroke-Induced Classic and Alternative Brain Macrophage/Microglial Activation Concomitant to Neuroprotection","volume":"43","author":[{"family":"Zarruk","given":"Juan G."},{"family":"Fernández-López","given":"David"},{"family":"García-Yébenes","given":"Isaac"},{"family":"García-Gutiérrez","given":"María S."},{"family":"Vivancos","given":"José"},{"family":"Nombela","given":"Florentino"},{"family":"Torres","given":"Magdalena"},{"family":"Burguete","given":"María C."},{"family":"Manzanares","given":"Jorge"},{"family":"Lizasoain","given":"Ignacio"},{"family":"Moro","given":"María A."}],"issued":{"date-parts":[["2012",1]]}}}],"schema":"https://github.com/citation-style-language/schema/raw/master/csl-citation.json"}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74</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MDMA-induced neuroinflammation in rats, activated microglial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{"citationID":"q36lyNV8","properties":{"formattedCitation":"\\super 92\\nosupersub{}","plainCitation":"92","noteIndex":0},"citationItems":[{"id":329,"uris":["http://zotero.org/users/5359331/items/YESUEAHZ"],"itemData":{"id":329,"type":"article-journal","abstract":"J. Neurochem. (2010) 10.1111/j.1471-4159.2010.06578.x Abstract 3,4-Methylenedioxymethamphetamine (MDMA, ‘ecstasy’) produces selective long-lasting serotonergic neurotoxicity in rats. The drug also produces acute hyperthermia which modulates the severity of the neurotoxic response. In addition, MDMA produces signs of neuroinflammation reflected as microglial activation and an increase in the release of interleukin-1β, the latter of which appears to be a consequence of the hyperthermic response and to be implicated in the neurotoxicity induced by the drug. Over-expression of the cannabinoid CB2 receptor in microglia during non-immune and immune pathological conditions is thought to be aimed at controlling the production of neurotoxic factors such as proinflammatory cytokines. Our objective was to study the pattern of CB2 receptor expression following MDMA and to examine the effect of JWH-015 (a CB2 agonist) on the MDMA-induced neuroinflammatory response as well as 5-hydroxytryptamine (5-HT) neurotoxicity. Adult Dark Agouti rats were given MDMA (12.5 mg/kg, i.p.) and killed 3 h or 24 h later for the determination of CB2 receptor expression. JWH-015 was given 48 h, 24 h and 0.5 h before MDMA and 1 h and/or 6 h later and animals were killed for the determination of microglial activation (3 h and 24 h) and 5-HT neurotoxicity (7 days). MDMA increased CB2 receptor expression shortly after administration and these receptors were found in microglia. JWH-015 decreased MDMA-induced microglial activation and interleukin-1β release and slightly decreased MDMA-induced 5-HT neurotoxicity. In conclusion, CB2 receptor activation reduces the neuroinflammatory response following MDMA and provides partial neuroprotection against the drug.","container-title":"Journal of Neurochemistry","DOI":"10.1111/j.1471-4159.2010.06578.x","ISSN":"1471-4159","issue":"1","language":"en","note":"_eprint: https://onlinelibrary.wiley.com/doi/pdf/10.1111/j.1471-4159.2010.06578.x","page":"67-78","source":"Wiley Online Library","title":"Evidence that MDMA (‘ecstasy’) increases cannabinoid CB2 receptor expression in microglial cells: role in the neuroinflammatory response in rat brain","title-short":"Evidence that MDMA (‘ecstasy’) increases cannabinoid CB2 receptor expression in microglial cells","volume":"113","author":[{"family":"Torres","given":"Elisa"},{"family":"Gutierrez‐Lopez","given":"Maria Dolores"},{"family":"Borcel","given":"Erika"},{"family":"Peraile","given":"Ines"},{"family":"Mayado","given":"Andrea"},{"family":"O’Shea","given":"Esther"},{"family":"Colado","given":"Maria Isabel"}],"issued":{"date-parts":[["2010"]]}}}],"schema":"https://github.com/citation-style-language/schema/raw/master/csl-citation.json"}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92</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B. Virus-Induced Encephalitis in NHP, microglial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{"citationID":"bS7UbWd2","properties":{"formattedCitation":"\\super 96\\nosupersub{}","plainCitation":"96","noteIndex":0},"citationItems":[{"id":309,"uris":["http://zotero.org/users/5359331/items/69MTFRSV"],"itemData":{"id":309,"type":"article-journal","abstract":"Recent evidence supports the notion that the endocannabinoid system may play a crucial role in neuroinflammation. We explored the changes that some elements of this system exhibit in a macaque model of encephalitis induced by simian immunodeficiency virus. Our results show that profound alterations in the distribution of specific components of the endocannabinoid system occur as a consequence of the viral infection of the brain. Specifically, expression of cannabinoid receptors of the CB2 subtype was induced in the brains of infected animals, mainly in perivascular macrophages, microglial nodules, and T-lymphocytes, most likely of the CD8 subtype. In addition, the endogenous cannabinoid-degrading enzyme fatty acid amide hydrolase was overexpressed in perivascular astrocytes as well as in astrocytic processes reaching cellular infiltrates. Finally, the pattern of CB1 receptor expression was not modified in the brains of infected animals compared with that in control animals. These results resemble previous data obtained in Alzheimer's disease human tissue samples and suggest that the endocannabinoid system may participate in the development of human immunodeficiency virus-induced encephalitis, because activation of CB2 receptors expressed by immune cells is likely to reduce their antiviral response and thus could favor the CNS entry of infected monocytes.","container-title":"The Journal of Neuroscience","DOI":"10.1523/JNEUROSCI.3923-04.2005","ISSN":"0270-6474","issue":"10","journalAbbreviation":"J Neurosci","note":"PMID: 15758162\nPMCID: PMC6725174","page":"2530-2536","source":"PubMed Central","title":"A Glial Endogenous Cannabinoid System Is Upregulated in the Brains of Macaques with Simian Immunodeficiency Virus-Induced Encephalitis","volume":"25","author":[{"family":"Benito","given":"Cristina"},{"family":"Kim","given":"Wong-Ki"},{"family":"Chavarría","given":"Iván"},{"family":"Hillard","given":"Ceceila J."},{"family":"Mackie","given":"Ken"},{"family":"Tolón","given":"Rosa M."},{"family":"Williams","given":"Ken"},{"family":"Romero","given":"Julián"}],"issued":{"date-parts":[["2005",3,9]]}}}],"schema":"https://github.com/citation-style-language/schema/raw/master/csl-citation.json"}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96</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AD patients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{"citationID":"gafhvh72","properties":{"formattedCitation":"\\super 50\\nosupersub{}","plainCitation":"50","noteIndex":0},"citationItems":[{"id":413,"uris":["http://zotero.org/users/5359331/items/2Z5NL35W"],"itemData":{"id":413,"type":"article-journal","abstract":"The endocannabinoid system is still poorly understood. Recently, the basic elements that constitute it, i.e., membrane receptors, endogenous ligands, and mechanisms for termination of the signaling process, have been partially characterized. There is a considerable lack of information, however, concerning the distribution, concentration, and function of those components in the human body, particularly during pathological events. We have studied the status of some of the components of the endocannabinoid system, fatty acid amide hydrolase and cannabinoid CB1 and CB2 receptors, in postmortem brains from patients with Alzheimer's disease. Using specific polyclonal antibodies, we have performed immunohistochemical analysis in hippocampus and entorhinal cortex sections from brains of Alzheimer's disease patients. Our results show that both fatty acid amide hydrolase and cannabinoid CB2 receptors are abundantly and selectively expressed in neuritic plaque-associated astrocytes and microglia, respectively, whereas the expression of CB1 receptors remains unchanged. In addition, the hydrolase activity seems to be elevated in the plaques and surrounding areas. Thus, some elements of the endocannabinoid system may be postulated as possible modulators of the inflammatory response associated with this neurodegenerative process and as possible targets for new therapeutic approaches.","container-title":"The Journal of Neuroscience","DOI":"10.1523/JNEUROSCI.23-35-11136.2003","ISSN":"0270-6474","issue":"35","journalAbbreviation":"J Neurosci","note":"PMID: 14657172\nPMCID: PMC6741043","page":"11136-11141","source":"PubMed Central","title":"Cannabinoid CB2 Receptors and Fatty Acid Amide Hydrolase Are Selectively Overexpressed in Neuritic Plaque-Associated Glia in Alzheimer's Disease Brains","volume":"23","author":[{"family":"Benito","given":"Cristina"},{"family":"Núñez","given":"Estefanía"},{"family":"Tolón","given":"Rosa M."},{"family":"Carrier","given":"Erica J."},{"family":"Rábano","given":"Alberto"},{"family":"Hillard","given":"Cecilia J."},{"family":"Romero","given":"Julián"}],"issued":{"date-parts":[["2003",12,3]]}}}],"schema":"https://github.com/citation-style-language/schema/raw/master/csl-citation.json"}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50</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Down Syndrome patients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{"citationID":"8h3gvR1t","properties":{"formattedCitation":"\\super 53\\nosupersub{}","plainCitation":"53","noteIndex":0},"citationItems":[{"id":326,"uris":["http://zotero.org/users/5359331/items/TDGMVZEG"],"itemData":{"id":326,"type":"article-journal","abstract":"Recent data suggest that the endocannabinoid system (ECS) may be involved in the glial response in different types of brain injury. Both acute and chronic insults seem to trigger a shift in the pattern of expression of some elements of this system from neuronal to glial. Speciﬁcally, data obtained in human brain tissue sections from Alzheimer’s disease patients showed that the expression of cannabinoid receptors of the CB2 type is induced in activated microglial cells while fatty acid amide hydrolase (FAAH) expression is increased in reactive astrocytes. The present study was designed to determine the time-course of the shift from neuronal to glial induction in the expression of these proteins in Down’s syndrome, sometimes referred to as a human model of Alzheimer-like </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-amyloid (A</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deposition. Here we present immunohistochemical evidence that both CB2 receptors and FAAH enzyme are induced in A</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plaque-associated microglia and astroglia, respectively, in Down’s syndrome. These results suggest that the induction of these elements of the ECS contributes to, or is a result of, amyloid deposition and subsequent plaque formation. In addition, they conﬁrm a striking differential pattern of distribution of FAAH and CB2 receptors. © 2008 IBRO. Published by Elsevier Ltd. All rights reserved.","container-title":"Neuroscience","DOI":"10.1016/j.neuroscience.2007.10.029","ISSN":"03064522","issue":"1","journalAbbreviation":"Neuroscience","language":"en","page":"104-110","source":"DOI.org (Crossref)","title":"Glial expression of cannabinoid CB2 receptors and fatty acid amide hydrolase are beta amyloid–linked events in Down’s syndrome","volume":"151","author":[{"family":"Núñez","given":"E."},{"family":"Benito","given":"C."},{"family":"Tolón","given":"R.M."},{"family":"Hillard","given":"C.J."},{"family":"Griffin","given":"W.S.T."},{"family":"Romero","given":"J."}],"issued":{"date-parts":[["2008",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53</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L. AD patients,</w:t>
            </w:r>
            <w:r w:rsidRPr="00F31719">
              <w:rPr>
                <w:rFonts w:ascii="Calibri" w:eastAsia="Times New Roman" w:hAnsi="Calibri" w:cs="Calibri"/>
                <w:color w:val="000000"/>
                <w:sz w:val="12"/>
                <w:szCs w:val="12"/>
                <w:lang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{"citationID":"NDeyQddm","properties":{"formattedCitation":"\\super 58\\nosupersub{}","plainCitation":"58","noteIndex":0},"citationItems":[{"id":328,"uris":["http://zotero.org/users/5359331/items/VLNJJPFA"],"itemData":{"id":328,"type":"article-journal","abstract":"Alzheimer's disease (AD) is characterized by enhanced β-amyloid peptide (βA) deposition along with glial activation in senile plaques, selective neuronal loss, and cognitive deficits. Cannabinoids are neuroprotective agents against excitotoxicity in vitro and acute brain damage in vivo. This background prompted us to study the localization, expression, and function of cannabinoid receptors in AD and the possible protective role of cannabinoids after βA treatment, both in vivo and in vitro. Here, we show that senile plaques in AD patients express cannabinoid receptors CB1 and CB2, together with markers of microglial activation, and that CB1-positive neurons, present in high numbers in control cases, are greatly reduced in areas of microglial activation. In pharmacological experiments, we found that G-protein coupling and CB1 receptor protein expression are markedly decreased in AD brains. Additionally, in AD brains, protein nitration is increased, and, more specifically, CB1 and CB2 proteins show enhanced nitration. Intracerebroventricular administration of the synthetic cannabinoid WIN55,212-2 to rats prevent βA-induced microglial activation, cognitive impairment, and loss of neuronal markers. Cannabinoids (HU-210, WIN55,212-2, and JWH-133) block βA-induced activation of cultured microglial cells, as judged by mitochondrial activity, cell morphology, and tumor necrosis factor-α release; these effects are independent of the antioxidant action of cannabinoid compounds and are also exerted by a CB2-selective agonist. Moreover, cannabinoids abrogate microglia-mediated neurotoxicity after βA addition to rat cortical cocultures. Our results indicate that cannabinoid receptors are important in the pathology of AD and that cannabinoids succeed in preventing the neurodegenerative process occurring in the disease.","container-title":"The Journal of Neuroscience","DOI":"10.1523/JNEUROSCI.4540-04.2005","ISSN":"0270-6474","issue":"8","journalAbbreviation":"J Neurosci","note":"PMID: 15728830\nPMCID: PMC6726060","page":"1904-1913","source":"PubMed Central","title":"Prevention of Alzheimer's Disease Pathology by Cannabinoids: Neuroprotection Mediated by Blockade of Microglial Activation","title-short":"Prevention of Alzheimer's Disease Pathology by Cannabinoids","volume":"25","author":[{"family":"Ramírez","given":"Belén G."},{"family":"Blázquez","given":"Cristina"},{"family":"Pulgar","given":"Teresa Gómez","non-dropping-particle":"del"},{"family":"Guzmán","given":"Manuel"},{"family":"Ceballos","given":"María L.","non-dropping-particle":"de"}],"issued":{"date-parts":[["2005",2,23]]}}}],"schema":"https://github.com/citation-style-language/schema/raw/master/csl-citation.json"} </w:instrText>
            </w:r>
            <w:r w:rsidRPr="00F31719">
              <w:rPr>
                <w:rFonts w:ascii="Calibri" w:eastAsia="Times New Roman" w:hAnsi="Calibri" w:cs="Calibri"/>
                <w:color w:val="000000"/>
                <w:sz w:val="12"/>
                <w:szCs w:val="12"/>
                <w:lang w:eastAsia="fr-FR"/>
              </w:rPr>
              <w:fldChar w:fldCharType="separate"/>
            </w:r>
            <w:r w:rsidRPr="00F31719">
              <w:rPr>
                <w:rFonts w:ascii="Calibri" w:hAnsi="Calibri" w:cs="Calibri"/>
                <w:color w:val="000000"/>
                <w:sz w:val="12"/>
                <w:vertAlign w:val="superscript"/>
                <w:lang w:val="en-US"/>
              </w:rPr>
              <w:t>58</w:t>
            </w:r>
            <w:r w:rsidRPr="00F31719">
              <w:rPr>
                <w:rFonts w:ascii="Calibri" w:eastAsia="Times New Roman" w:hAnsi="Calibri" w:cs="Calibri"/>
                <w:color w:val="000000"/>
                <w:sz w:val="12"/>
                <w:szCs w:val="12"/>
                <w:lang w:eastAsia="fr-FR"/>
              </w:rPr>
              <w:fldChar w:fldCharType="end"/>
            </w:r>
            <w:r w:rsidRPr="00F31719">
              <w:rPr>
                <w:rFonts w:ascii="Calibri" w:eastAsia="Times New Roman" w:hAnsi="Calibri" w:cs="Calibri"/>
                <w:color w:val="000000"/>
                <w:sz w:val="12"/>
                <w:szCs w:val="12"/>
                <w:lang w:val="en-US" w:eastAsia="fr-FR"/>
              </w:rPr>
              <w:t xml:space="preserve"> with antibody t. Rat stroke model, CD-45 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{"citationID":"4I5mLXEi","properties":{"formattedCitation":"\\super 45\\nosupersub{}","plainCitation":"45","noteIndex":0},"citationItems":[{"id":355,"uris":["http://zotero.org/users/5359331/items/WTLAJIMZ"],"itemData":{"id":355,"type":"article-journal","abstract":"Until recently the cannabinoid CB2 receptor was believed to be absent from the central nervous system. In this study we have identiﬁed CB2 expressing cells that appear in the rat brain following stroke and hypoxic-ischemia. At 3 days following surgery CB2-positive macrophages, deriving from resident microglia and/or invading monocytes appear on the lesioned side of the brain. By day 7, a mixed population of CB2-positive cells is present. Microglia-derived macrophages are the key cells in the ﬁrst stages of brain inﬂammation, and a pivotal step in the neurodegeneration that follows the acute stage of injury. Thus, CB2 may be important in the brain during injury, and in inﬂammatory neurodegenerative disorders. The presence of CB2-positive cells in the brain following stroke may provide a novel strategy for cannabinoid-mediated intervention into stroke induced neurodegeneration without the psychoactive effects of CB1 receptor stimulation.","container-title":"Neuroscience Letters","DOI":"10.1016/j.neulet.2006.10.053","ISSN":"03043940","issue":"2","journalAbbreviation":"Neuroscience Letters","language":"en","page":"114-117","source":"DOI.org (Crossref)","title":"Cerebral hypoxia-ischemia and middle cerebral artery occlusion induce expression of the cannabinoid CB2 receptor in the brain","volume":"412","author":[{"family":"Ashton","given":"John C."},{"family":"Rahman","given":"Rosanna M.A."},{"family":"Nair","given":"Shiva M."},{"family":"Sutherland","given":"Brad A."},{"family":"Glass","given":"Michelle"},{"family":"Appleton","given":"Ian"}],"issued":{"date-parts":[["2007",1]]}}}],"schema":"https://github.com/citation-style-language/schema/raw/master/csl-citation.json"}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45</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antibodies O and Q. </w:t>
            </w:r>
          </w:p>
        </w:tc>
        <w:tc>
          <w:tcPr>
            <w:tcW w:w="2409" w:type="dxa"/>
            <w:shd w:val="clear" w:color="auto" w:fill="auto"/>
            <w:vAlign w:val="center"/>
          </w:tcPr>
          <w:p w14:paraId="22228886"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GFAP-positive cells in the cortex of human fetus presenting focal cortical dysplasia</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{"citationID":"aIYBcokt","properties":{"formattedCitation":"\\super 56\\nosupersub{}","plainCitation":"56","noteIndex":0},"citationItems":[{"id":311,"uris":["http://zotero.org/users/5359331/items/YT4C4YR6"],"itemData":{"id":311,"type":"article-journal","abstract":"Recent data support the involvement of the endocannabinoid signaling in early brain development, as well as a key role of cannabinoid receptors (CBR) in pathological conditions associated with unbalanced neuronal excitability and inﬂammation. Using immunocytochemistry, we explored the expression and cellular pattern of CBR 1 and 2 (CB1 and CB2) during prenatal human cortical development, as well as in focal malformations of cortical development associated with intractable epilepsy (focal cortical dysplasia; cortical tubers in patients with the tuberous sclerosis complex and glioneuronal tumors). Strong CB1 immunoreactivity was detected in the cortical plate in developing human brain from the earliest stages tested (gestational week 9) and it persisted throughout prenatal development. Both cannabinoid receptors were not detected in neural progenitor cells located in the ventricular zone. Only CB1 was expressed in the subventricular zone and in Cajal–Retzius cells in the molecular zone of the developing neocortex. CB2 was detected in cells of the microglia/macrophage lineage during development. In malformations of cortical development, prominent CB1 expression was demonstrated in dysplastic neurons. Both CBR were detected in balloon/giant cells, but CB2 appeared to be 1 These authors contributed equally to the present work.","container-title":"Neuroscience","DOI":"10.1016/j.neuroscience.2010.07.004","ISSN":"03064522","issue":"1","journalAbbreviation":"Neuroscience","language":"en","page":"28-41","source":"DOI.org (Crossref)","title":"CB1 and CB2 cannabinoid receptor expression during development and in epileptogenic developmental pathologies","volume":"170","author":[{"family":"Zurolo","given":"E."},{"family":"Iyer","given":"A.M."},{"family":"Spliet","given":"W.G.M."},{"family":"Van Rijen","given":"P.C."},{"family":"Troost","given":"D."},{"family":"Gorter","given":"J.A."},{"family":"Aronica","given":"E."}],"issued":{"date-parts":[["2010",9]]}}}],"schema":"https://github.com/citation-style-language/schema/raw/master/csl-citation.json"}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56</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A. </w:t>
            </w:r>
          </w:p>
        </w:tc>
        <w:tc>
          <w:tcPr>
            <w:tcW w:w="2268" w:type="dxa"/>
            <w:shd w:val="clear" w:color="auto" w:fill="auto"/>
            <w:vAlign w:val="center"/>
          </w:tcPr>
          <w:p w14:paraId="21DC3960"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Mouse stroke model, neutrophils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{"citationID":"eqMQPQfX","properties":{"formattedCitation":"\\super 74\\nosupersub{}","plainCitation":"74","noteIndex":0},"citationItems":[{"id":440,"uris":["http://zotero.org/users/5359331/items/LGVPNN92"],"itemData":{"id":440,"type":"article-journal","abstract":"Background and Purpose—Ischemic stroke continues to be one of the main causes of death worldwide. Inflammation accounts for a large part of damage in this pathology. The cannabinoid type 2 receptor (CB2R) has been proposed to have neuroprotective properties in neurological diseases. Therefore, our aim was to determine the effects of the activation of CB2R on infarct outcome and on ischemia-induced brain expression of classic and alternative markers of macrophage/microglial activation.\nMethods—Swiss wild-type and CB2R knockout male mice were subjected to a permanent middle cerebral artery occlusion. Mice were treated with either a CB2R agonist (JWH-133), with or without a CB2R antagonist (SR144528) or vehicle. Infarct outcome was determined by measuring infarct volume and neurological outcome. An additional group of animals was used to assess mRNA and protein expression of CB2R, interleukin (IL)-1</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IL-6, tumor necrosis factor </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(TNF-</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monocyte chemoattractant protein–1 (MCP-1), macrophage inflammatory peptide (MIP) –1</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RANTES, inducible nitric oxide synthase (iNOS), cyclooxygenase-2, IL-4, IL-10, transforming growth factor </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(TGF-</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arginase I, and Ym1.\nResults—Administration of JWH-133 significantly improved infarct outcome, as shown by a reduction in brain infarction and neurological impairment. This effect was reversed by the CB2R antagonist and was absent in CB2R knockout mice. Concomitantly, administration of JWH-133 led to a lower intensity of Iba1ϩ microglia/macrophages and a decrease in middle cerebral artery occlusion–induced gene expression of both classic (IL-6, TNF-</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MCP-1, MIP-1</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RANTES, and iNOS) and alternative mediators/markers (IL-10, TGF-</w:instrText>
            </w:r>
            <w:r w:rsidRPr="00F31719">
              <w:rPr>
                <w:rFonts w:ascii="Segoe UI Symbol" w:eastAsia="Times New Roman" w:hAnsi="Segoe UI Symbol" w:cs="Segoe UI Symbol"/>
                <w:color w:val="000000"/>
                <w:sz w:val="12"/>
                <w:szCs w:val="12"/>
                <w:lang w:val="en-US" w:eastAsia="fr-FR"/>
              </w:rPr>
              <w:instrText>␤</w:instrText>
            </w:r>
            <w:r w:rsidRPr="00F31719">
              <w:rPr>
                <w:rFonts w:ascii="Calibri" w:eastAsia="Times New Roman" w:hAnsi="Calibri" w:cs="Calibri"/>
                <w:color w:val="000000"/>
                <w:sz w:val="12"/>
                <w:szCs w:val="12"/>
                <w:lang w:val="en-US" w:eastAsia="fr-FR"/>
              </w:rPr>
              <w:instrText xml:space="preserve">, and Ym1) of microglial/macrophage activation after permanent middle cerebral artery occlusion.\nConclusions—The inhibitory effect of CB2R on the activation of different subpopulations of microglia/macrophages may account for the protective effect of the selective CB2R agonist JWH-133 after stroke. (Stroke. 2012;43:211-219.)","container-title":"Stroke","DOI":"10.1161/STROKEAHA.111.631044","ISSN":"0039-2499, 1524-4628","issue":"1","journalAbbreviation":"Stroke","language":"en","page":"211-219","source":"DOI.org (Crossref)","title":"Cannabinoid Type 2 Receptor Activation Downregulates Stroke-Induced Classic and Alternative Brain Macrophage/Microglial Activation Concomitant to Neuroprotection","volume":"43","author":[{"family":"Zarruk","given":"Juan G."},{"family":"Fernández-López","given":"David"},{"family":"García-Yébenes","given":"Isaac"},{"family":"García-Gutiérrez","given":"María S."},{"family":"Vivancos","given":"José"},{"family":"Nombela","given":"Florentino"},{"family":"Torres","given":"Magdalena"},{"family":"Burguete","given":"María C."},{"family":"Manzanares","given":"Jorge"},{"family":"Lizasoain","given":"Ignacio"},{"family":"Moro","given":"María A."}],"issued":{"date-parts":[["2012",1]]}}}],"schema":"https://github.com/citation-style-language/schema/raw/master/csl-citation.json"}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74</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B. Mouse model of traumatic brain injury, CD11b</w:t>
            </w:r>
            <w:r w:rsidRPr="00F31719">
              <w:rPr>
                <w:rFonts w:ascii="Calibri" w:eastAsia="Times New Roman" w:hAnsi="Calibri" w:cs="Calibri"/>
                <w:color w:val="000000"/>
                <w:sz w:val="12"/>
                <w:szCs w:val="12"/>
                <w:vertAlign w:val="superscript"/>
                <w:lang w:val="en-US" w:eastAsia="fr-FR"/>
              </w:rPr>
              <w:t>+</w:t>
            </w:r>
            <w:r w:rsidRPr="00F31719">
              <w:rPr>
                <w:rFonts w:ascii="Calibri" w:eastAsia="Times New Roman" w:hAnsi="Calibri" w:cs="Calibri"/>
                <w:color w:val="000000"/>
                <w:sz w:val="12"/>
                <w:szCs w:val="12"/>
                <w:lang w:val="en-US" w:eastAsia="fr-FR"/>
              </w:rPr>
              <w:t>CD45</w:t>
            </w:r>
            <w:r w:rsidRPr="00F31719">
              <w:rPr>
                <w:rFonts w:ascii="Calibri" w:eastAsia="Times New Roman" w:hAnsi="Calibri" w:cs="Calibri"/>
                <w:color w:val="000000"/>
                <w:sz w:val="12"/>
                <w:szCs w:val="12"/>
                <w:vertAlign w:val="superscript"/>
                <w:lang w:val="en-US" w:eastAsia="fr-FR"/>
              </w:rPr>
              <w:t>high</w:t>
            </w:r>
            <w:r w:rsidRPr="00F31719">
              <w:rPr>
                <w:rFonts w:ascii="Calibri" w:eastAsia="Times New Roman" w:hAnsi="Calibri" w:cs="Calibri"/>
                <w:color w:val="000000"/>
                <w:sz w:val="12"/>
                <w:szCs w:val="12"/>
                <w:lang w:val="en-US" w:eastAsia="fr-FR"/>
              </w:rPr>
              <w:t xml:space="preserve"> infiltrating macrophages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{"citationID":"2XsHGpTf","properties":{"formattedCitation":"\\super 39\\nosupersub{}","plainCitation":"39","noteIndex":0},"citationItems":[{"id":487,"uris":["http://zotero.org/users/5359331/items/PZUG2FC3"],"itemData":{"id":487,"type":"article-journal","abstract":"Inflammation is an important mediator of secondary neurological injury after traumatic brain injury (TBI). Endocannabinoids, endogenously produced arachidonate based lipids, have recently emerged as powerful anti-inflammatory compounds, yet the molecular and cellular mechanisms underlying these effects are poorly defined. Endocannabinoids are physiological ligands for two known cannabinoid receptors, CB1R and CB2R. In the present study, we hypothesized that selective activation of CB2R attenuates neuroinflammation and reduces neurovascular injury after TBI. Using a murine controlled cortical impact (CCI) model of TBI, we observed a dramatic upregulation of CB2R within infiltrating myeloid cells beginning at 72 hours. Administration of the selective CB2R agonist, GP1a (1–5 mg/kg), attenuated pro-inflammatory M1 macrophage polarization, increased anti-inflammatory M2 polarization, reduced edema development, enhanced cerebral blood flow, and improved neurobehavioral outcomes after TBI. In contrast, the CB2R antagonist, AM630, worsened outcomes. Taken together, our findings support the development of selective CB2R agonists as a therapeutic strategy to improve TBI outcomes while avoiding the psychoactive effects of CB1R activation.","container-title":"Brain, behavior, and immunity","DOI":"10.1016/j.bbi.2017.10.021","ISSN":"0889-1591","journalAbbreviation":"Brain Behav Immun","note":"PMID: 29079445\nPMCID: PMC5767553","page":"224-237","source":"PubMed Central","title":"Selective activation of cannabinoid receptor-2 reduces neuroinflammation after traumatic brain injury via alternative macrophage polarization","volume":"68","author":[{"family":"Braun","given":"Molly"},{"family":"Khan","given":"Zenab T."},{"family":"Khan","given":"Mohammad B."},{"family":"Kumar","given":"Manish"},{"family":"Ward","given":"Ayobami"},{"family":"Achyut","given":"Bhagelu R."},{"family":"Arbab","given":"Ali S"},{"family":"Hess","given":"David C."},{"family":"Hoda","given":"Md. Nasrul"},{"family":"Baban","given":"Babak"},{"family":"Dhandapani","given":"Krishnan M."},{"family":"Vaibhav","given":"Kumar"}],"issued":{"date-parts":[["2018",2]]}}}],"schema":"https://github.com/citation-style-language/schema/raw/master/csl-citation.json"}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39</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F. </w:t>
            </w:r>
          </w:p>
        </w:tc>
      </w:tr>
      <w:tr w:rsidR="00016CB7" w:rsidRPr="00F31719" w14:paraId="4CB136B7" w14:textId="77777777" w:rsidTr="00DC119E">
        <w:trPr>
          <w:trHeight w:val="319"/>
        </w:trPr>
        <w:tc>
          <w:tcPr>
            <w:tcW w:w="846" w:type="dxa"/>
            <w:vMerge/>
            <w:shd w:val="clear" w:color="auto" w:fill="auto"/>
            <w:vAlign w:val="center"/>
          </w:tcPr>
          <w:p w14:paraId="2CF0C4D5"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p>
        </w:tc>
        <w:tc>
          <w:tcPr>
            <w:tcW w:w="1276" w:type="dxa"/>
            <w:shd w:val="clear" w:color="auto" w:fill="auto"/>
            <w:vAlign w:val="center"/>
          </w:tcPr>
          <w:p w14:paraId="2BBBF553"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eastAsia="fr-FR"/>
              </w:rPr>
              <w:t xml:space="preserve">NUCLEUS ACCUMBENS </w:t>
            </w:r>
          </w:p>
        </w:tc>
        <w:tc>
          <w:tcPr>
            <w:tcW w:w="3685" w:type="dxa"/>
            <w:shd w:val="clear" w:color="auto" w:fill="auto"/>
            <w:vAlign w:val="center"/>
          </w:tcPr>
          <w:p w14:paraId="64BF31BD" w14:textId="77777777" w:rsidR="00016CB7" w:rsidRPr="00F31719" w:rsidRDefault="00016CB7" w:rsidP="00DC119E">
            <w:pPr>
              <w:spacing w:after="0" w:line="240" w:lineRule="auto"/>
              <w:jc w:val="center"/>
              <w:rPr>
                <w:rFonts w:ascii="Calibri" w:eastAsia="Times New Roman" w:hAnsi="Calibri" w:cs="Calibri"/>
                <w:b/>
                <w:bCs/>
                <w:color w:val="00B050"/>
                <w:sz w:val="12"/>
                <w:szCs w:val="12"/>
                <w:lang w:val="en-US" w:eastAsia="fr-FR"/>
              </w:rPr>
            </w:pPr>
            <w:r w:rsidRPr="00F31719">
              <w:rPr>
                <w:rFonts w:ascii="Calibri" w:eastAsia="Times New Roman" w:hAnsi="Calibri" w:cs="Calibri"/>
                <w:b/>
                <w:bCs/>
                <w:color w:val="00B050"/>
                <w:sz w:val="12"/>
                <w:szCs w:val="12"/>
                <w:lang w:eastAsia="fr-FR"/>
              </w:rPr>
              <w:t>PHYSIOLOGICAL</w:t>
            </w:r>
            <w:r w:rsidRPr="00F31719">
              <w:rPr>
                <w:rFonts w:ascii="Calibri" w:eastAsia="Times New Roman" w:hAnsi="Calibri" w:cs="Calibri"/>
                <w:color w:val="000000"/>
                <w:sz w:val="12"/>
                <w:szCs w:val="12"/>
                <w:lang w:eastAsia="fr-FR"/>
              </w:rPr>
              <w:t xml:space="preserve"> : </w:t>
            </w:r>
            <w:proofErr w:type="spellStart"/>
            <w:r w:rsidRPr="00F31719">
              <w:rPr>
                <w:rFonts w:ascii="Calibri" w:eastAsia="Times New Roman" w:hAnsi="Calibri" w:cs="Calibri"/>
                <w:color w:val="000000"/>
                <w:sz w:val="12"/>
                <w:szCs w:val="12"/>
                <w:lang w:eastAsia="fr-FR"/>
              </w:rPr>
              <w:t>NeuN</w:t>
            </w:r>
            <w:proofErr w:type="spellEnd"/>
            <w:r w:rsidRPr="00F31719">
              <w:rPr>
                <w:rFonts w:ascii="Calibri" w:eastAsia="Times New Roman" w:hAnsi="Calibri" w:cs="Calibri"/>
                <w:color w:val="000000"/>
                <w:sz w:val="12"/>
                <w:szCs w:val="12"/>
                <w:lang w:eastAsia="fr-FR"/>
              </w:rPr>
              <w:t>-positive cells</w:t>
            </w:r>
            <w:r w:rsidRPr="00F31719">
              <w:rPr>
                <w:rFonts w:ascii="Calibri" w:eastAsia="Times New Roman" w:hAnsi="Calibri" w:cs="Calibri"/>
                <w:color w:val="000000"/>
                <w:sz w:val="12"/>
                <w:szCs w:val="12"/>
                <w:lang w:eastAsia="fr-FR"/>
              </w:rPr>
              <w:fldChar w:fldCharType="begin"/>
            </w:r>
            <w:r w:rsidRPr="00F31719">
              <w:rPr>
                <w:rFonts w:ascii="Calibri" w:eastAsia="Times New Roman" w:hAnsi="Calibri" w:cs="Calibri"/>
                <w:color w:val="000000"/>
                <w:sz w:val="12"/>
                <w:szCs w:val="12"/>
                <w:lang w:eastAsia="fr-FR"/>
              </w:rPr>
              <w:instrText xml:space="preserve"> ADDIN ZOTERO_ITEM CSL_CITATION {"citationID":"a2AESghk","properties":{"formattedCitation":"\\super 90\\nosupersub{}","plainCitation":"90","noteIndex":0},"citationItems":[{"id":191,"uris":["http://zotero.org/users/5359331/items/GTE6LEFF"],"itemData":{"id":191,"type":"article-journal","abstract":"The potential involvement of the cannabinoid CB2 receptors (CB2r) in the adaptive responses induced by cocaine was studied in transgenic mice overexpressing the CB2r (CB2xP) and in wild-type (WT) littermates. For this purpose, the acute and sensitized locomotor responses to cocaine, conditioned place preference, and cocaine intravenous self-administration were evaluated. In addition, we assessed whether CB2r were localized in neurons and/or astrocytes, and whether they colocalized with dopamine D1 and D2 receptors (D1Dr and D2Dr). Dopamine (DA) extracellular levels in the nucleus accumbens (NAcc), and gene expression of tyrosine hydroxylase (TH) and DA transporter (DAT) in the ventral tegmental area (VTA), and μ-opioid and cannabinoid CB1 receptors in the NAcc were also studied in both genotypes. CB2xP mice showed decreased motor response to acute administration of cocaine (10–20 mg/kg) and cocaine-induced motor sensitization compared with WT mice. CB2xP mice presented cocaine-induced conditioned place aversion and self-administered less cocaine than WT mice. CB2r were found in neurons and astrocytes and colocalized with D2Dr in the VTA and NAcc. No significant differences in extracellular DA levels in the NAcc were observed between genotypes after cocaine administration. Under baseline conditions, TH and DAT gene expression was higher and μ-opioid receptor gene expression was lower in CB2xP than in WT mice. However, both genotypes showed similar changes in TH and μ-opioid receptor gene expression after cocaine challenge independently of the pretreatment received. Importantly, the cocaine challenge decreased DAT gene expression to a lesser extent in cocaine-pretreated CB2xP than in cocaine-pretreated WT mice. These results revealed that CB2r are involved in cocaine motor responses and cocaine self-administration, suggesting that this receptor could represent a promising target to develop novel treatments for cocaine addiction.","container-title":"Neuropsychopharmacology","DOI":"10.1038/npp.2012.22","ISSN":"0893-133X","issue":"7","journalAbbreviation":"Neuropsychopharmacology","note":"PMID: 22414816\nPMCID: PMC3358745","page":"1749-1763","source":"PubMed Central","title":"Decreased Cocaine Motor Sensitization and Self-Administration in Mice Overexpressing Cannabinoid CB2 Receptors","volume":"37","author":[{"family":"Aracil-Fernández","given":"Auxiliadora"},{"family":"Trigo","given":"José M"},{"family":"García-Gutiérrez","given":"María S"},{"family":"Ortega-Álvaro","given":"Antonio"},{"family":"Ternianov","given":"Alexander"},{"family":"Navarro","given":"Daniela"},{"family":"Robledo","given":"Patricia"},{"family":"Berbel","given":"Pere"},{"family":"Maldonado","given":"Rafael"},{"family":"Manzanares","given":"Jorge"}],"issued":{"date-parts":[["2012",6]]}}}],"schema":"https://github.com/citation-style-language/schema/raw/master/csl-citation.json"} </w:instrText>
            </w:r>
            <w:r w:rsidRPr="00F31719">
              <w:rPr>
                <w:rFonts w:ascii="Calibri" w:eastAsia="Times New Roman" w:hAnsi="Calibri" w:cs="Calibri"/>
                <w:color w:val="000000"/>
                <w:sz w:val="12"/>
                <w:szCs w:val="12"/>
                <w:lang w:eastAsia="fr-FR"/>
              </w:rPr>
              <w:fldChar w:fldCharType="separate"/>
            </w:r>
            <w:r w:rsidRPr="00F31719">
              <w:rPr>
                <w:rFonts w:ascii="Calibri" w:hAnsi="Calibri" w:cs="Calibri"/>
                <w:color w:val="000000"/>
                <w:sz w:val="12"/>
                <w:vertAlign w:val="superscript"/>
              </w:rPr>
              <w:t>90</w:t>
            </w:r>
            <w:r w:rsidRPr="00F31719">
              <w:rPr>
                <w:rFonts w:ascii="Calibri" w:eastAsia="Times New Roman" w:hAnsi="Calibri" w:cs="Calibri"/>
                <w:color w:val="000000"/>
                <w:sz w:val="12"/>
                <w:szCs w:val="12"/>
                <w:lang w:eastAsia="fr-FR"/>
              </w:rPr>
              <w:fldChar w:fldCharType="end"/>
            </w:r>
            <w:r w:rsidRPr="00F31719">
              <w:rPr>
                <w:rFonts w:ascii="Calibri" w:eastAsia="Times New Roman" w:hAnsi="Calibri" w:cs="Calibri"/>
                <w:color w:val="000000"/>
                <w:sz w:val="12"/>
                <w:szCs w:val="12"/>
                <w:lang w:eastAsia="fr-FR"/>
              </w:rPr>
              <w:t xml:space="preserve"> </w:t>
            </w:r>
            <w:proofErr w:type="spellStart"/>
            <w:r w:rsidRPr="00F31719">
              <w:rPr>
                <w:rFonts w:ascii="Calibri" w:eastAsia="Times New Roman" w:hAnsi="Calibri" w:cs="Calibri"/>
                <w:color w:val="000000"/>
                <w:sz w:val="12"/>
                <w:szCs w:val="12"/>
                <w:lang w:eastAsia="fr-FR"/>
              </w:rPr>
              <w:t>with</w:t>
            </w:r>
            <w:proofErr w:type="spellEnd"/>
            <w:r w:rsidRPr="00F31719">
              <w:rPr>
                <w:rFonts w:ascii="Calibri" w:eastAsia="Times New Roman" w:hAnsi="Calibri" w:cs="Calibri"/>
                <w:color w:val="000000"/>
                <w:sz w:val="12"/>
                <w:szCs w:val="12"/>
                <w:lang w:eastAsia="fr-FR"/>
              </w:rPr>
              <w:t xml:space="preserve"> </w:t>
            </w:r>
            <w:proofErr w:type="spellStart"/>
            <w:r w:rsidRPr="00F31719">
              <w:rPr>
                <w:rFonts w:ascii="Calibri" w:eastAsia="Times New Roman" w:hAnsi="Calibri" w:cs="Calibri"/>
                <w:color w:val="000000"/>
                <w:sz w:val="12"/>
                <w:szCs w:val="12"/>
                <w:lang w:eastAsia="fr-FR"/>
              </w:rPr>
              <w:t>antibody</w:t>
            </w:r>
            <w:proofErr w:type="spellEnd"/>
            <w:r w:rsidRPr="00F31719">
              <w:rPr>
                <w:rFonts w:ascii="Calibri" w:eastAsia="Times New Roman" w:hAnsi="Calibri" w:cs="Calibri"/>
                <w:color w:val="000000"/>
                <w:sz w:val="12"/>
                <w:szCs w:val="12"/>
                <w:lang w:eastAsia="fr-FR"/>
              </w:rPr>
              <w:t xml:space="preserve"> A. </w:t>
            </w:r>
          </w:p>
        </w:tc>
        <w:tc>
          <w:tcPr>
            <w:tcW w:w="3686" w:type="dxa"/>
            <w:shd w:val="clear" w:color="auto" w:fill="auto"/>
            <w:vAlign w:val="center"/>
          </w:tcPr>
          <w:p w14:paraId="15E40F88" w14:textId="77777777" w:rsidR="00016CB7" w:rsidRPr="00F31719" w:rsidRDefault="00016CB7" w:rsidP="00DC119E">
            <w:pPr>
              <w:spacing w:after="0" w:line="240" w:lineRule="auto"/>
              <w:jc w:val="center"/>
              <w:rPr>
                <w:rFonts w:ascii="Calibri" w:eastAsia="Times New Roman" w:hAnsi="Calibri" w:cs="Calibri"/>
                <w:b/>
                <w:bCs/>
                <w:color w:val="00B050"/>
                <w:sz w:val="12"/>
                <w:szCs w:val="12"/>
                <w:lang w:val="en-US" w:eastAsia="fr-FR"/>
              </w:rPr>
            </w:pPr>
            <w:r w:rsidRPr="00F31719">
              <w:rPr>
                <w:rFonts w:ascii="Calibri" w:eastAsia="Times New Roman" w:hAnsi="Calibri" w:cs="Calibri"/>
                <w:color w:val="000000"/>
                <w:sz w:val="12"/>
                <w:szCs w:val="12"/>
                <w:lang w:eastAsia="fr-FR"/>
              </w:rPr>
              <w:t> </w:t>
            </w:r>
          </w:p>
        </w:tc>
        <w:tc>
          <w:tcPr>
            <w:tcW w:w="2409" w:type="dxa"/>
            <w:shd w:val="clear" w:color="auto" w:fill="auto"/>
            <w:vAlign w:val="center"/>
          </w:tcPr>
          <w:p w14:paraId="69348F26" w14:textId="77777777" w:rsidR="00016CB7" w:rsidRPr="00F31719" w:rsidRDefault="00016CB7" w:rsidP="00DC119E">
            <w:pPr>
              <w:spacing w:after="0" w:line="240" w:lineRule="auto"/>
              <w:jc w:val="center"/>
              <w:rPr>
                <w:rFonts w:ascii="Calibri" w:eastAsia="Times New Roman" w:hAnsi="Calibri" w:cs="Calibri"/>
                <w:b/>
                <w:bCs/>
                <w:color w:val="FF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GFAP-positive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{"citationID":"VZgOhrr9","properties":{"formattedCitation":"\\super 90\\nosupersub{}","plainCitation":"90","noteIndex":0},"citationItems":[{"id":191,"uris":["http://zotero.org/users/5359331/items/GTE6LEFF"],"itemData":{"id":191,"type":"article-journal","abstract":"The potential involvement of the cannabinoid CB2 receptors (CB2r) in the adaptive responses induced by cocaine was studied in transgenic mice overexpressing the CB2r (CB2xP) and in wild-type (WT) littermates. For this purpose, the acute and sensitized locomotor responses to cocaine, conditioned place preference, and cocaine intravenous self-administration were evaluated. In addition, we assessed whether CB2r were localized in neurons and/or astrocytes, and whether they colocalized with dopamine D1 and D2 receptors (D1Dr and D2Dr). Dopamine (DA) extracellular levels in the nucleus accumbens (NAcc), and gene expression of tyrosine hydroxylase (TH) and DA transporter (DAT) in the ventral tegmental area (VTA), and μ-opioid and cannabinoid CB1 receptors in the NAcc were also studied in both genotypes. CB2xP mice showed decreased motor response to acute administration of cocaine (10–20 mg/kg) and cocaine-induced motor sensitization compared with WT mice. CB2xP mice presented cocaine-induced conditioned place aversion and self-administered less cocaine than WT mice. CB2r were found in neurons and astrocytes and colocalized with D2Dr in the VTA and NAcc. No significant differences in extracellular DA levels in the NAcc were observed between genotypes after cocaine administration. Under baseline conditions, TH and DAT gene expression was higher and μ-opioid receptor gene expression was lower in CB2xP than in WT mice. However, both genotypes showed similar changes in TH and μ-opioid receptor gene expression after cocaine challenge independently of the pretreatment received. Importantly, the cocaine challenge decreased DAT gene expression to a lesser extent in cocaine-pretreated CB2xP than in cocaine-pretreated WT mice. These results revealed that CB2r are involved in cocaine motor responses and cocaine self-administration, suggesting that this receptor could represent a promising target to develop novel treatments for cocaine addiction.","container-title":"Neuropsychopharmacology","DOI":"10.1038/npp.2012.22","ISSN":"0893-133X","issue":"7","journalAbbreviation":"Neuropsychopharmacology","note":"PMID: 22414816\nPMCID: PMC3358745","page":"1749-1763","source":"PubMed Central","title":"Decreased Cocaine Motor Sensitization and Self-Administration in Mice Overexpressing Cannabinoid CB2 Receptors","volume":"37","author":[{"family":"Aracil-Fernández","given":"Auxiliadora"},{"family":"Trigo","given":"José M"},{"family":"García-Gutiérrez","given":"María S"},{"family":"Ortega-Álvaro","given":"Antonio"},{"family":"Ternianov","given":"Alexander"},{"family":"Navarro","given":"Daniela"},{"family":"Robledo","given":"Patricia"},{"family":"Berbel","given":"Pere"},{"family":"Maldonado","given":"Rafael"},{"family":"Manzanares","given":"Jorge"}],"issued":{"date-parts":[["2012",6]]}}}],"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90</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A. </w:t>
            </w:r>
          </w:p>
        </w:tc>
        <w:tc>
          <w:tcPr>
            <w:tcW w:w="2268" w:type="dxa"/>
            <w:shd w:val="clear" w:color="auto" w:fill="auto"/>
            <w:vAlign w:val="center"/>
          </w:tcPr>
          <w:p w14:paraId="20648E3B" w14:textId="77777777" w:rsidR="00016CB7" w:rsidRPr="00F31719" w:rsidRDefault="00016CB7" w:rsidP="00DC119E">
            <w:pPr>
              <w:spacing w:after="0" w:line="240" w:lineRule="auto"/>
              <w:jc w:val="center"/>
              <w:rPr>
                <w:rFonts w:ascii="Calibri" w:eastAsia="Times New Roman" w:hAnsi="Calibri" w:cs="Calibri"/>
                <w:b/>
                <w:bCs/>
                <w:color w:val="FF0000"/>
                <w:sz w:val="12"/>
                <w:szCs w:val="12"/>
                <w:lang w:val="en-US" w:eastAsia="fr-FR"/>
              </w:rPr>
            </w:pPr>
            <w:r w:rsidRPr="00F31719">
              <w:rPr>
                <w:rFonts w:ascii="Calibri" w:eastAsia="Times New Roman" w:hAnsi="Calibri" w:cs="Calibri"/>
                <w:color w:val="000000"/>
                <w:sz w:val="12"/>
                <w:szCs w:val="12"/>
                <w:lang w:val="en-US" w:eastAsia="fr-FR"/>
              </w:rPr>
              <w:t> </w:t>
            </w:r>
          </w:p>
        </w:tc>
      </w:tr>
      <w:tr w:rsidR="00016CB7" w:rsidRPr="00B845EF" w14:paraId="6963D070" w14:textId="77777777" w:rsidTr="00DC119E">
        <w:trPr>
          <w:trHeight w:val="319"/>
        </w:trPr>
        <w:tc>
          <w:tcPr>
            <w:tcW w:w="846" w:type="dxa"/>
            <w:vMerge/>
            <w:shd w:val="clear" w:color="auto" w:fill="auto"/>
            <w:vAlign w:val="center"/>
          </w:tcPr>
          <w:p w14:paraId="458CD6AF"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p>
        </w:tc>
        <w:tc>
          <w:tcPr>
            <w:tcW w:w="1276" w:type="dxa"/>
            <w:shd w:val="clear" w:color="auto" w:fill="auto"/>
            <w:vAlign w:val="center"/>
          </w:tcPr>
          <w:p w14:paraId="4714C700"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eastAsia="fr-FR"/>
              </w:rPr>
            </w:pPr>
            <w:r w:rsidRPr="00F31719">
              <w:rPr>
                <w:rFonts w:ascii="Calibri" w:eastAsia="Times New Roman" w:hAnsi="Calibri" w:cs="Calibri"/>
                <w:b/>
                <w:bCs/>
                <w:color w:val="000000"/>
                <w:sz w:val="15"/>
                <w:szCs w:val="15"/>
                <w:lang w:val="en-US" w:eastAsia="fr-FR"/>
              </w:rPr>
              <w:t>STRIATUM</w:t>
            </w:r>
          </w:p>
        </w:tc>
        <w:tc>
          <w:tcPr>
            <w:tcW w:w="3685" w:type="dxa"/>
            <w:shd w:val="clear" w:color="auto" w:fill="auto"/>
            <w:vAlign w:val="center"/>
          </w:tcPr>
          <w:p w14:paraId="03231329" w14:textId="77777777" w:rsidR="00016CB7" w:rsidRPr="00F31719" w:rsidRDefault="00016CB7" w:rsidP="00DC119E">
            <w:pPr>
              <w:spacing w:after="0" w:line="240" w:lineRule="auto"/>
              <w:jc w:val="center"/>
              <w:rPr>
                <w:rFonts w:ascii="Calibri" w:eastAsia="Times New Roman" w:hAnsi="Calibri" w:cs="Calibri"/>
                <w:b/>
                <w:bCs/>
                <w:color w:val="00B05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Neurons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{"citationID":"LhIiZrtz","properties":{"formattedCitation":"\\super 66\\nosupersub{}","plainCitation":"66","noteIndex":0},"citationItems":[{"id":168,"uris":["http://zotero.org/users/5359331/items/I8TRVQZV"],"itemData":{"id":168,"type":"article-journal","container-title":"Neuropsychobiology","DOI":"10.1159/000100778","ISSN":"1423-0224, 0302-282X","issue":"4","journalAbbreviation":"Neuropsychobiology","language":"en","page":"231-246","source":"DOI.org (Crossref)","title":"Neuropsychobiological Evidence for the Functional Presence and Expression of Cannabinoid CB2 Receptors in the Brain","volume":"54","author":[{"family":"Onaivi","given":"Emmanuel S."}],"issued":{"date-parts":[["2006"]]}}}],"schema":"https://github.com/citation-style-language/schema/raw/master/csl-citation.json"}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66</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v. </w:t>
            </w:r>
          </w:p>
        </w:tc>
        <w:tc>
          <w:tcPr>
            <w:tcW w:w="3686" w:type="dxa"/>
            <w:shd w:val="clear" w:color="auto" w:fill="auto"/>
            <w:vAlign w:val="center"/>
          </w:tcPr>
          <w:p w14:paraId="73A2BC4C" w14:textId="77777777" w:rsidR="00016CB7" w:rsidRPr="00F31719" w:rsidRDefault="00016CB7" w:rsidP="00DC119E">
            <w:pPr>
              <w:spacing w:after="0" w:line="240" w:lineRule="auto"/>
              <w:jc w:val="center"/>
              <w:rPr>
                <w:rFonts w:ascii="Calibri" w:eastAsia="Times New Roman" w:hAnsi="Calibri" w:cs="Calibri"/>
                <w:color w:val="000000"/>
                <w:sz w:val="12"/>
                <w:szCs w:val="12"/>
                <w:lang w:eastAsia="fr-FR"/>
              </w:rPr>
            </w:pP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PD mouse model, Iba1-positive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{"citationID":"Xb0GW677","properties":{"formattedCitation":"\\super 57\\nosupersub{}","plainCitation":"57","noteIndex":0},"citationItems":[{"id":357,"uris":["http://zotero.org/users/5359331/items/6EBXLP7K"],"itemData":{"id":357,"type":"article-journal","abstract":"In</w:instrText>
            </w:r>
            <w:r w:rsidRPr="00F31719">
              <w:rPr>
                <w:rFonts w:ascii="Calibri" w:eastAsia="Times New Roman" w:hAnsi="Calibri" w:cs="Calibri"/>
                <w:color w:val="000000"/>
                <w:sz w:val="12"/>
                <w:szCs w:val="12"/>
                <w:lang w:eastAsia="fr-FR"/>
              </w:rPr>
              <w:instrText>ﬂ</w:instrText>
            </w:r>
            <w:r w:rsidRPr="00F31719">
              <w:rPr>
                <w:rFonts w:ascii="Calibri" w:eastAsia="Times New Roman" w:hAnsi="Calibri" w:cs="Calibri"/>
                <w:color w:val="000000"/>
                <w:sz w:val="12"/>
                <w:szCs w:val="12"/>
                <w:lang w:val="en-US" w:eastAsia="fr-FR"/>
              </w:rPr>
              <w:instrText>ammation is an important pathogenic factor in Parkinson's disease (PD), so that it can contribute to kill dopaminergic neurons of the substantia nigra and to enhance the dopaminergic denervation of the striatum. The cannabinoid type-2 (CB2) receptor has been investigated as a potential anti-in</w:instrText>
            </w:r>
            <w:r w:rsidRPr="00F31719">
              <w:rPr>
                <w:rFonts w:ascii="Calibri" w:eastAsia="Times New Roman" w:hAnsi="Calibri" w:cs="Calibri"/>
                <w:color w:val="000000"/>
                <w:sz w:val="12"/>
                <w:szCs w:val="12"/>
                <w:lang w:eastAsia="fr-FR"/>
              </w:rPr>
              <w:instrText>ﬂ</w:instrText>
            </w:r>
            <w:r w:rsidRPr="00F31719">
              <w:rPr>
                <w:rFonts w:ascii="Calibri" w:eastAsia="Times New Roman" w:hAnsi="Calibri" w:cs="Calibri"/>
                <w:color w:val="000000"/>
                <w:sz w:val="12"/>
                <w:szCs w:val="12"/>
                <w:lang w:val="en-US" w:eastAsia="fr-FR"/>
              </w:rPr>
              <w:instrText xml:space="preserve">ammatory and neuroprotective target in different neurodegenerative disorders, but still limited evidence has been collected in PD. Here, we show for the </w:instrText>
            </w:r>
            <w:r w:rsidRPr="00F31719">
              <w:rPr>
                <w:rFonts w:ascii="Calibri" w:eastAsia="Times New Roman" w:hAnsi="Calibri" w:cs="Calibri"/>
                <w:color w:val="000000"/>
                <w:sz w:val="12"/>
                <w:szCs w:val="12"/>
                <w:lang w:eastAsia="fr-FR"/>
              </w:rPr>
              <w:instrText>ﬁ</w:instrText>
            </w:r>
            <w:r w:rsidRPr="00F31719">
              <w:rPr>
                <w:rFonts w:ascii="Calibri" w:eastAsia="Times New Roman" w:hAnsi="Calibri" w:cs="Calibri"/>
                <w:color w:val="000000"/>
                <w:sz w:val="12"/>
                <w:szCs w:val="12"/>
                <w:lang w:val="en-US" w:eastAsia="fr-FR"/>
              </w:rPr>
              <w:instrText>rst time that CB2 receptors are elevated in microglial cells recruited and activated at lesioned sites in the substantia nigra of PD patients compared to control subjects. Parkinsonian in</w:instrText>
            </w:r>
            <w:r w:rsidRPr="00F31719">
              <w:rPr>
                <w:rFonts w:ascii="Calibri" w:eastAsia="Times New Roman" w:hAnsi="Calibri" w:cs="Calibri"/>
                <w:color w:val="000000"/>
                <w:sz w:val="12"/>
                <w:szCs w:val="12"/>
                <w:lang w:eastAsia="fr-FR"/>
              </w:rPr>
              <w:instrText>ﬂ</w:instrText>
            </w:r>
            <w:r w:rsidRPr="00F31719">
              <w:rPr>
                <w:rFonts w:ascii="Calibri" w:eastAsia="Times New Roman" w:hAnsi="Calibri" w:cs="Calibri"/>
                <w:color w:val="000000"/>
                <w:sz w:val="12"/>
                <w:szCs w:val="12"/>
                <w:lang w:val="en-US" w:eastAsia="fr-FR"/>
              </w:rPr>
              <w:instrText>ammation can be reproduced experimentally in rodents by intrastriatal injections of lipopolysaccharide (LPS) which, through an intense activation of glial elements and peripheral in</w:instrText>
            </w:r>
            <w:r w:rsidRPr="00F31719">
              <w:rPr>
                <w:rFonts w:ascii="Calibri" w:eastAsia="Times New Roman" w:hAnsi="Calibri" w:cs="Calibri"/>
                <w:color w:val="000000"/>
                <w:sz w:val="12"/>
                <w:szCs w:val="12"/>
                <w:lang w:eastAsia="fr-FR"/>
              </w:rPr>
              <w:instrText>ﬁ</w:instrText>
            </w:r>
            <w:r w:rsidRPr="00F31719">
              <w:rPr>
                <w:rFonts w:ascii="Calibri" w:eastAsia="Times New Roman" w:hAnsi="Calibri" w:cs="Calibri"/>
                <w:color w:val="000000"/>
                <w:sz w:val="12"/>
                <w:szCs w:val="12"/>
                <w:lang w:val="en-US" w:eastAsia="fr-FR"/>
              </w:rPr>
              <w:instrText>ltration, provokes a rapid deterioration of the striatum that may extend to the substantia nigra too. Using this experimental model, we recently described a much more intense deterioration of tyrosine hydroxylase (TH)-containing nigral neurons in CB2 receptor-de</w:instrText>
            </w:r>
            <w:r w:rsidRPr="00F31719">
              <w:rPr>
                <w:rFonts w:ascii="Calibri" w:eastAsia="Times New Roman" w:hAnsi="Calibri" w:cs="Calibri"/>
                <w:color w:val="000000"/>
                <w:sz w:val="12"/>
                <w:szCs w:val="12"/>
                <w:lang w:eastAsia="fr-FR"/>
              </w:rPr>
              <w:instrText>ﬁ</w:instrText>
            </w:r>
            <w:r w:rsidRPr="00F31719">
              <w:rPr>
                <w:rFonts w:ascii="Calibri" w:eastAsia="Times New Roman" w:hAnsi="Calibri" w:cs="Calibri"/>
                <w:color w:val="000000"/>
                <w:sz w:val="12"/>
                <w:szCs w:val="12"/>
                <w:lang w:val="en-US" w:eastAsia="fr-FR"/>
              </w:rPr>
              <w:instrText>cient mice compared to wild-type animals, supporting a potential neuroprotective role for this receptor. In the present study, we further explored this issue. First, we found elevated levels of the CB2 receptor measured by qRT-PCR in the striatum and substantia nigra of LPS-lesioned mice, as well as an increase in the immunostaining for this receptor in the LPS-lesioned striatum. Second, we found a signi</w:instrText>
            </w:r>
            <w:r w:rsidRPr="00F31719">
              <w:rPr>
                <w:rFonts w:ascii="Calibri" w:eastAsia="Times New Roman" w:hAnsi="Calibri" w:cs="Calibri"/>
                <w:color w:val="000000"/>
                <w:sz w:val="12"/>
                <w:szCs w:val="12"/>
                <w:lang w:eastAsia="fr-FR"/>
              </w:rPr>
              <w:instrText>ﬁ</w:instrText>
            </w:r>
            <w:r w:rsidRPr="00F31719">
              <w:rPr>
                <w:rFonts w:ascii="Calibri" w:eastAsia="Times New Roman" w:hAnsi="Calibri" w:cs="Calibri"/>
                <w:color w:val="000000"/>
                <w:sz w:val="12"/>
                <w:szCs w:val="12"/>
                <w:lang w:val="en-US" w:eastAsia="fr-FR"/>
              </w:rPr>
              <w:instrText>cant increase in CD68 immunostaining, which serve to identify activated microglia and also in</w:instrText>
            </w:r>
            <w:r w:rsidRPr="00F31719">
              <w:rPr>
                <w:rFonts w:ascii="Calibri" w:eastAsia="Times New Roman" w:hAnsi="Calibri" w:cs="Calibri"/>
                <w:color w:val="000000"/>
                <w:sz w:val="12"/>
                <w:szCs w:val="12"/>
                <w:lang w:eastAsia="fr-FR"/>
              </w:rPr>
              <w:instrText>ﬁ</w:instrText>
            </w:r>
            <w:r w:rsidRPr="00F31719">
              <w:rPr>
                <w:rFonts w:ascii="Calibri" w:eastAsia="Times New Roman" w:hAnsi="Calibri" w:cs="Calibri"/>
                <w:color w:val="000000"/>
                <w:sz w:val="12"/>
                <w:szCs w:val="12"/>
                <w:lang w:val="en-US" w:eastAsia="fr-FR"/>
              </w:rPr>
              <w:instrText>ltrated peripheral macrophages, in these brain structures in response to LPS insult, which was much more intense in CB2 receptor-de</w:instrText>
            </w:r>
            <w:r w:rsidRPr="00F31719">
              <w:rPr>
                <w:rFonts w:ascii="Calibri" w:eastAsia="Times New Roman" w:hAnsi="Calibri" w:cs="Calibri"/>
                <w:color w:val="000000"/>
                <w:sz w:val="12"/>
                <w:szCs w:val="12"/>
                <w:lang w:eastAsia="fr-FR"/>
              </w:rPr>
              <w:instrText>ﬁ</w:instrText>
            </w:r>
            <w:r w:rsidRPr="00F31719">
              <w:rPr>
                <w:rFonts w:ascii="Calibri" w:eastAsia="Times New Roman" w:hAnsi="Calibri" w:cs="Calibri"/>
                <w:color w:val="000000"/>
                <w:sz w:val="12"/>
                <w:szCs w:val="12"/>
                <w:lang w:val="en-US" w:eastAsia="fr-FR"/>
              </w:rPr>
              <w:instrText>cient mice in the case of the substantia nigra. Next, we observed that the activation of CB2 receptors with a selective agonist (HU-308) reversed LPSinduced elevation of CD68 immunostaining in the striatum and the parallel reduction in TH immunostaining. Lastly, we found that LPS elevated the gene expression of different pro-in</w:instrText>
            </w:r>
            <w:r w:rsidRPr="00F31719">
              <w:rPr>
                <w:rFonts w:ascii="Calibri" w:eastAsia="Times New Roman" w:hAnsi="Calibri" w:cs="Calibri"/>
                <w:color w:val="000000"/>
                <w:sz w:val="12"/>
                <w:szCs w:val="12"/>
                <w:lang w:eastAsia="fr-FR"/>
              </w:rPr>
              <w:instrText>ﬂ</w:instrText>
            </w:r>
            <w:r w:rsidRPr="00F31719">
              <w:rPr>
                <w:rFonts w:ascii="Calibri" w:eastAsia="Times New Roman" w:hAnsi="Calibri" w:cs="Calibri"/>
                <w:color w:val="000000"/>
                <w:sz w:val="12"/>
                <w:szCs w:val="12"/>
                <w:lang w:val="en-US" w:eastAsia="fr-FR"/>
              </w:rPr>
              <w:instrText xml:space="preserve">ammatory mediators in both the striatum and the substantia nigra, whereas the selective activation of CB2 receptors reduced a part of these mediators, e.g. inducible nitric oxide synthase, although exclusively in the striatum. In conclusion, we have provided the </w:instrText>
            </w:r>
            <w:r w:rsidRPr="00F31719">
              <w:rPr>
                <w:rFonts w:ascii="Calibri" w:eastAsia="Times New Roman" w:hAnsi="Calibri" w:cs="Calibri"/>
                <w:color w:val="000000"/>
                <w:sz w:val="12"/>
                <w:szCs w:val="12"/>
                <w:lang w:eastAsia="fr-FR"/>
              </w:rPr>
              <w:instrText>ﬁ</w:instrText>
            </w:r>
            <w:r w:rsidRPr="00F31719">
              <w:rPr>
                <w:rFonts w:ascii="Calibri" w:eastAsia="Times New Roman" w:hAnsi="Calibri" w:cs="Calibri"/>
                <w:color w:val="000000"/>
                <w:sz w:val="12"/>
                <w:szCs w:val="12"/>
                <w:lang w:val="en-US" w:eastAsia="fr-FR"/>
              </w:rPr>
              <w:instrText>rst evidence on the up-regulation of CB2 receptors in glial elements in postmortem tissues of PD patients, which has been con</w:instrText>
            </w:r>
            <w:r w:rsidRPr="00F31719">
              <w:rPr>
                <w:rFonts w:ascii="Calibri" w:eastAsia="Times New Roman" w:hAnsi="Calibri" w:cs="Calibri"/>
                <w:color w:val="000000"/>
                <w:sz w:val="12"/>
                <w:szCs w:val="12"/>
                <w:lang w:eastAsia="fr-FR"/>
              </w:rPr>
              <w:instrText>ﬁ</w:instrText>
            </w:r>
            <w:r w:rsidRPr="00F31719">
              <w:rPr>
                <w:rFonts w:ascii="Calibri" w:eastAsia="Times New Roman" w:hAnsi="Calibri" w:cs="Calibri"/>
                <w:color w:val="000000"/>
                <w:sz w:val="12"/>
                <w:szCs w:val="12"/>
                <w:lang w:val="en-US" w:eastAsia="fr-FR"/>
              </w:rPr>
              <w:instrText>rmed in an in</w:instrText>
            </w:r>
            <w:r w:rsidRPr="00F31719">
              <w:rPr>
                <w:rFonts w:ascii="Calibri" w:eastAsia="Times New Roman" w:hAnsi="Calibri" w:cs="Calibri"/>
                <w:color w:val="000000"/>
                <w:sz w:val="12"/>
                <w:szCs w:val="12"/>
                <w:lang w:eastAsia="fr-FR"/>
              </w:rPr>
              <w:instrText>ﬂ</w:instrText>
            </w:r>
            <w:r w:rsidRPr="00F31719">
              <w:rPr>
                <w:rFonts w:ascii="Calibri" w:eastAsia="Times New Roman" w:hAnsi="Calibri" w:cs="Calibri"/>
                <w:color w:val="000000"/>
                <w:sz w:val="12"/>
                <w:szCs w:val="12"/>
                <w:lang w:val="en-US" w:eastAsia="fr-FR"/>
              </w:rPr>
              <w:instrText>ammatory model of this disease. In addition, we have provided evidence on the bene</w:instrText>
            </w:r>
            <w:r w:rsidRPr="00F31719">
              <w:rPr>
                <w:rFonts w:ascii="Calibri" w:eastAsia="Times New Roman" w:hAnsi="Calibri" w:cs="Calibri"/>
                <w:color w:val="000000"/>
                <w:sz w:val="12"/>
                <w:szCs w:val="12"/>
                <w:lang w:eastAsia="fr-FR"/>
              </w:rPr>
              <w:instrText>ﬁ</w:instrText>
            </w:r>
            <w:r w:rsidRPr="00F31719">
              <w:rPr>
                <w:rFonts w:ascii="Calibri" w:eastAsia="Times New Roman" w:hAnsi="Calibri" w:cs="Calibri"/>
                <w:color w:val="000000"/>
                <w:sz w:val="12"/>
                <w:szCs w:val="12"/>
                <w:lang w:val="en-US" w:eastAsia="fr-FR"/>
              </w:rPr>
              <w:instrText>ts derived from their activation in relation with the activation of microglial cells, the in</w:instrText>
            </w:r>
            <w:r w:rsidRPr="00F31719">
              <w:rPr>
                <w:rFonts w:ascii="Calibri" w:eastAsia="Times New Roman" w:hAnsi="Calibri" w:cs="Calibri"/>
                <w:color w:val="000000"/>
                <w:sz w:val="12"/>
                <w:szCs w:val="12"/>
                <w:lang w:eastAsia="fr-FR"/>
              </w:rPr>
              <w:instrText>ﬁ</w:instrText>
            </w:r>
            <w:r w:rsidRPr="00F31719">
              <w:rPr>
                <w:rFonts w:ascii="Calibri" w:eastAsia="Times New Roman" w:hAnsi="Calibri" w:cs="Calibri"/>
                <w:color w:val="000000"/>
                <w:sz w:val="12"/>
                <w:szCs w:val="12"/>
                <w:lang w:val="en-US" w:eastAsia="fr-FR"/>
              </w:rPr>
              <w:instrText>ltration of macrophages and also certain capability of these cells to generate proin</w:instrText>
            </w:r>
            <w:r w:rsidRPr="00F31719">
              <w:rPr>
                <w:rFonts w:ascii="Calibri" w:eastAsia="Times New Roman" w:hAnsi="Calibri" w:cs="Calibri"/>
                <w:color w:val="000000"/>
                <w:sz w:val="12"/>
                <w:szCs w:val="12"/>
                <w:lang w:eastAsia="fr-FR"/>
              </w:rPr>
              <w:instrText>ﬂ</w:instrText>
            </w:r>
            <w:r w:rsidRPr="00F31719">
              <w:rPr>
                <w:rFonts w:ascii="Calibri" w:eastAsia="Times New Roman" w:hAnsi="Calibri" w:cs="Calibri"/>
                <w:color w:val="000000"/>
                <w:sz w:val="12"/>
                <w:szCs w:val="12"/>
                <w:lang w:val="en-US" w:eastAsia="fr-FR"/>
              </w:rPr>
              <w:instrText xml:space="preserve">ammatory factors.","container-title":"Progress in Neuro-Psychopharmacology and Biological Psychiatry","DOI":"10.1016/j.pnpbp.2015.03.017","ISSN":"02785846","journalAbbreviation":"Progress in Neuro-Psychopharmacology and Biological Psychiatry","language":"en","page":"200-208","source":"DOI.org (Crossref)","title":"Potential of the cannabinoid CB2 receptor as a pharmacological target against inflammation in Parkinson's disease","volume":"64","author":[{"family":"Gómez-Gálvez","given":"Yolanda"},{"family":"Palomo-Garo","given":"Cristina"},{"family":"Fernández-Ruiz","given":"Javier"},{"family":"García","given":"Concepción"}],"issued":{"date-parts":[["2016",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57</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Q. PD patients, Iba1-positive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{"citationID":"s769n5Bd","properties":{"formattedCitation":"\\super 57\\nosupersub{}","plainCitation":"57","noteIndex":0},"citationItems":[{"id":357,"uris":["http://zotero.org/users/5359331/items/6EBXLP7K"],"itemData":{"id":357,"type":"article-journal","abstract":"Inﬂammation is an important pathogenic factor in Parkinson's disease (PD), so that it can contribute to kill dopaminergic neurons of the substantia nigra and to enhance the dopaminergic denervation of the striatum. The cannabinoid type-2 (CB2) receptor has been investigated as a potential anti-inﬂammatory and neuroprotective target in different neurodegenerative disorders, but still limited evidence has been collected in PD. Here, we show for the ﬁrst time that CB2 receptors are elevated in microglial cells recruited and activated at lesioned sites in the substantia nigra of PD patients compared to control subjects. Parkinsonian inﬂammation can be reproduced experimentally in rodents by intrastriatal injections of lipopolysaccharide (LPS) which, through an intense activation of glial elements and peripheral inﬁltration, provokes a rapid deterioration of the striatum that may extend to the substantia nigra too. Using this experimental model, we recently described a much more intense deterioration of tyrosine hydroxylase (TH)-containing nigral neurons in CB2 receptor-deﬁcient mice compared to wild-type animals, supporting a potential neuroprotective role for this receptor. In the present study, we further explored this issue. First, we found elevated levels of the CB2 receptor measured by qRT-PCR in the striatum and substantia nigra of LPS-lesioned mice, as well as an increase in the immunostaining for this receptor in the LPS-lesioned striatum. Second, we found a signiﬁcant increase in CD68 immunostaining, which serve to identify activated microglia and also inﬁltrated peripheral macrophages, in these brain structures in response to LPS insult, which was much more intense in CB2 receptor-deﬁcient mice in the case of the substantia nigra. Next, we observed that the activation of CB2 receptors with a selective agonist (HU-308) reversed LPSinduced elevation of CD68 immunostaining in the striatum and the parallel reduction in TH immunostaining. Lastly, we found that LPS elevated the gene expression of different pro-inﬂammatory mediators in both the striatum and the substantia nigra, whereas the selective activation of CB2 receptors reduced a part of these mediators, e.g. inducible nitric oxide synthase, although exclusively in the striatum. In conclusion, we have provided the ﬁrst evidence on the up-regulation of CB2 receptors in glial elements in postmortem tissues of PD patients, which has been conﬁrmed in an inﬂammatory model of this disease. In addition, we have provided evidence on the beneﬁts derived from their activation in relation with the activation of microglial cells, the inﬁltration of macrophages and also certain capability of these cells to generate proinﬂammatory factors.","container-title":"Progress in Neuro-Psychopharmacology and Biological Psychiatry","DOI":"10.1016/j.pnpbp.2015.03.017","ISSN":"02785846","journalAbbreviation":"Progress in Neuro-Psychopharmacology and Biological Psychiatry","language":"en","page":"200-208","source":"DOI.org (Crossref)","title":"Potential of the cannabinoid CB2 receptor as a pharmacological target against inflammation in Parkinson's disease","volume":"64","author":[{"family":"Gómez-Gálvez","given":"Yolanda"},{"family":"Palomo-Garo","given":"Cristina"},{"family":"Fernández-Ruiz","given":"Javier"},{"family":"García","given":"Concepción"}],"issued":{"date-parts":[["2016",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57</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J. Rat model of HD: CD11b-positive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{"citationID":"e4DbHMEY","properties":{"formattedCitation":"\\super 49\\nosupersub{}","plainCitation":"49","noteIndex":0},"citationItems":[{"id":354,"uris":["http://zotero.org/users/5359331/items/8B2JM8G7"],"itemData":{"id":354,"type":"article-journal","abstract":"Cannabinoid agonists might serve as neuroprotective agents in neurodegenerative disorders. Here, we examined this hypothesis in a rat model of Huntington’s disease (HD) generated by intrastriatal injection of the mitochondrial complex II inhibitor malonate. Our results showed that only compounds able to activate CB2 receptors were capable of protecting striatal projection neurons from malonate-induced death. That CB2 receptor agonists are neuroprotective was confirmed by using the selective CB2 receptor antagonist, SR144528, and by the observation that mice deficient in CB2 receptor were more sensitive to malonate than wild-type animals. CB2 receptors are scarce in the striatum in healthy conditions but they are markedly up-regulated after the lesion with malonate. Studies of double immunostaining revealed a significant presence of CB2 receptors in cells labelled with the marker of reactive microglia OX-42, and also in cells labelled with GFAP (a marker of astrocytes). We further showed that the activation of CB2 receptors significantly reduced the levels of tumor necrosis factor-α (TNF-α) that had been increased by the lesion with malonate. In summary, our results demonstrate that stimulation of CB2 receptors protect the striatum against malonate toxicity, likely through a mechanism involving glial cells, in particular reactive microglial cells in which CB2 receptors would be up-regulated in response to the lesion. Activation of these receptors would reduce the generation of proinflammatory molecules like TNF-α. Altogether our results support the hypothesis that CB2 receptors could constitute a therapeutic target to slowdown neurodegeneration in HD.","container-title":"Glia","DOI":"10.1002/glia.20838","ISSN":"0894-1491","issue":"11","journalAbbreviation":"Glia","note":"PMID: 19115380\nPMCID: PMC2706932","page":"1154-1167","source":"PubMed Central","title":"Cannabinoid CB2 receptor agonists protect the striatum against malonate toxicity: relevance for Huntington’s disease","title-short":"Cannabinoid CB2 receptor agonists protect the striatum against malonate toxicity","volume":"57","author":[{"family":"Sagredo","given":"Onintza"},{"family":"González","given":"Sara"},{"family":"Aroyo","given":"Ilia"},{"family":"Pazos","given":"María Ruth"},{"family":"Benito","given":"Cristina"},{"family":"Lastres-Becker","given":"Isabel"},{"family":"Romero","given":"Juan P."},{"family":"Tolón","given":"Rosa M."},{"family":"Mechoulam","given":"Raphael"},{"family":"Brouillet","given":"Emmanuel"},{"family":"Romero","given":"Julián"},{"family":"Fernández-Ruiz","given":"Javier"}],"issued":{"date-parts":[["2009",8,15]]}}}],"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49</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M. </w:t>
            </w:r>
          </w:p>
        </w:tc>
        <w:tc>
          <w:tcPr>
            <w:tcW w:w="2409" w:type="dxa"/>
            <w:shd w:val="clear" w:color="auto" w:fill="auto"/>
            <w:vAlign w:val="center"/>
          </w:tcPr>
          <w:p w14:paraId="451E967D" w14:textId="77777777" w:rsidR="00016CB7" w:rsidRPr="00F31719" w:rsidRDefault="00016CB7" w:rsidP="00DC119E">
            <w:pPr>
              <w:spacing w:after="0" w:line="240" w:lineRule="auto"/>
              <w:jc w:val="center"/>
              <w:rPr>
                <w:rFonts w:ascii="Calibri" w:eastAsia="Times New Roman" w:hAnsi="Calibri" w:cs="Calibri"/>
                <w:b/>
                <w:bCs/>
                <w:color w:val="00B050"/>
                <w:sz w:val="12"/>
                <w:szCs w:val="12"/>
                <w:lang w:val="en-US" w:eastAsia="fr-FR"/>
              </w:rPr>
            </w:pPr>
            <w:r w:rsidRPr="00F31719">
              <w:rPr>
                <w:rFonts w:ascii="Calibri" w:eastAsia="Times New Roman" w:hAnsi="Calibri" w:cs="Calibri"/>
                <w:color w:val="000000"/>
                <w:sz w:val="12"/>
                <w:szCs w:val="12"/>
                <w:lang w:val="en-US" w:eastAsia="fr-FR"/>
              </w:rPr>
              <w:t> </w:t>
            </w:r>
          </w:p>
        </w:tc>
        <w:tc>
          <w:tcPr>
            <w:tcW w:w="2268" w:type="dxa"/>
            <w:shd w:val="clear" w:color="auto" w:fill="auto"/>
            <w:vAlign w:val="center"/>
          </w:tcPr>
          <w:p w14:paraId="418012F3"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HD patients, endothelial-like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{"citationID":"MUzhqIFc","properties":{"formattedCitation":"\\super 88\\nosupersub{}","plainCitation":"88","noteIndex":0},"citationItems":[{"id":307,"uris":["http://zotero.org/users/5359331/items/YGJPDURT"],"itemData":{"id":307,"type":"article-journal","abstract":"Huntington's disease (HD) is an inherited neurological disease with motor, cognitive and psychiatric symptoms. Characterised by neuronal degeneration, HD pathology is initially apparent in the striatum and cortex. Considerable research has recently suggested that the neurological immune response apparent in brain injury and disease may provide a valuable therapeutic target. Cannabinoid CB2 receptors are localised and up-regulated on a number of peripheral immune cell types following inﬂammation and injury. However, their cellular location within the human brain during inﬂammation has not been well characterised.","container-title":"Journal of Chemical Neuroanatomy","DOI":"10.1016/j.jchemneu.2014.06.004","ISSN":"08910618","journalAbbreviation":"Journal of Chemical Neuroanatomy","language":"en","page":"62-71","source":"DOI.org (Crossref)","title":"Cannabinoid receptor CB2 is expressed on vascular cells, but not astroglial cells in the post-mortem human Huntington's disease brain","volume":"59-60","author":[{"family":"Dowie","given":"Megan J."},{"family":"Grimsey","given":"Natasha L."},{"family":"Hoffman","given":"Therri"},{"family":"Faull","given":"Richard L.M."},{"family":"Glass","given":"Michelle"}],"issued":{"date-parts":[["2014",9]]}}}],"schema":"https://github.com/citation-style-language/schema/raw/master/csl-citation.json"}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88</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A. </w:t>
            </w:r>
          </w:p>
        </w:tc>
      </w:tr>
      <w:tr w:rsidR="00016CB7" w:rsidRPr="00B845EF" w14:paraId="42ED98B0" w14:textId="77777777" w:rsidTr="00DC119E">
        <w:trPr>
          <w:trHeight w:val="319"/>
        </w:trPr>
        <w:tc>
          <w:tcPr>
            <w:tcW w:w="846" w:type="dxa"/>
            <w:vMerge/>
            <w:shd w:val="clear" w:color="auto" w:fill="auto"/>
            <w:vAlign w:val="center"/>
            <w:hideMark/>
          </w:tcPr>
          <w:p w14:paraId="35404290"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p>
        </w:tc>
        <w:tc>
          <w:tcPr>
            <w:tcW w:w="1276" w:type="dxa"/>
            <w:shd w:val="clear" w:color="auto" w:fill="auto"/>
            <w:vAlign w:val="center"/>
            <w:hideMark/>
          </w:tcPr>
          <w:p w14:paraId="7D465B09"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 xml:space="preserve">AMYGDALA </w:t>
            </w:r>
          </w:p>
        </w:tc>
        <w:tc>
          <w:tcPr>
            <w:tcW w:w="3685" w:type="dxa"/>
            <w:shd w:val="clear" w:color="auto" w:fill="auto"/>
            <w:vAlign w:val="center"/>
            <w:hideMark/>
          </w:tcPr>
          <w:p w14:paraId="0F1F687A"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Rat basolateral and </w:t>
            </w:r>
            <w:proofErr w:type="spellStart"/>
            <w:r w:rsidRPr="00F31719">
              <w:rPr>
                <w:rFonts w:ascii="Calibri" w:eastAsia="Times New Roman" w:hAnsi="Calibri" w:cs="Calibri"/>
                <w:color w:val="000000"/>
                <w:sz w:val="12"/>
                <w:szCs w:val="12"/>
                <w:lang w:val="en-US" w:eastAsia="fr-FR"/>
              </w:rPr>
              <w:t>basomedial</w:t>
            </w:r>
            <w:proofErr w:type="spellEnd"/>
            <w:r w:rsidRPr="00F31719">
              <w:rPr>
                <w:rFonts w:ascii="Calibri" w:eastAsia="Times New Roman" w:hAnsi="Calibri" w:cs="Calibri"/>
                <w:color w:val="000000"/>
                <w:sz w:val="12"/>
                <w:szCs w:val="12"/>
                <w:lang w:val="en-US" w:eastAsia="fr-FR"/>
              </w:rPr>
              <w:t xml:space="preserve"> amygdala</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{"citationID":"BmD2DtdI","properties":{"formattedCitation":"\\super 99\\nosupersub{}","plainCitation":"99","noteIndex":0},"citationItems":[{"id":1622,"uris":["http://zotero.org/users/5359331/items/QEB39YJD"],"itemData":{"id":1622,"type":"article-journal","abstract":"The aim of this study was to evaluate changes in the expression of cannabinoid type 1 (CB1) and 2 (CB2) receptor proteins in several brain regions in rats undergoing cocaine self-administration and extinction training. We used a triad-yoked procedure to distinguish between the motivational and pharmacological effects of cocaine. Using immunohistochemistry, we observed a significant decrease in CB1 receptor expression in the prefrontal cortex, dorsal striatum, and the basolateral and basomedial amygdala following cocaine (0.5 mg/kg/infusion) self-administration. Increased CB1 receptor expression in the ventral tegmental area in rats with previous cocaine exposure was also found. Following cocaine abstinence after 10 days of extinction training, we detected increases in the expression of CB1 receptors in the substantia nigra in both cocaine groups and in the subregions of the amygdala for only the yoked cocaine controls, while any method of cocaine exposure resulted in a decrease in CB2 receptor expression in the prefrontal cortex (p &lt; 0.01), nucleus accumbens (p &lt; 0.01), and medial globus pallidus (p &lt; 0.01). Our findings further support the idea that the eCB system and CB1 receptors are involved in cocaine-reinforced behaviors. Moreover, we detected a cocaine-evoked adaptation in CB2 receptors in the amygdala, prefrontal cortex, and globus pallidus.","container-title":"Neurotoxicity Research","DOI":"10.1007/s12640-018-9910-6","ISSN":"1029-8428","issue":"3","journalAbbreviation":"Neurotox Res","note":"PMID: 29754307\nPMCID: PMC6154179","page":"547-558","source":"PubMed Central","title":"Effects of Cocaine Self-Administration and Its Extinction on the Rat Brain Cannabinoid CB1 and CB2 Receptors","volume":"34","author":[{"family":"Bystrowska","given":"Beata"},{"family":"Frankowska","given":"Małgorzata"},{"family":"Smaga","given":"Irena"},{"family":"Pomierny-Chamioło","given":"Lucyna"},{"family":"Filip","given":"Małgorzata"}],"issued":{"date-parts":[["2018"]]}}}],"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99</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Q.</w:t>
            </w:r>
          </w:p>
        </w:tc>
        <w:tc>
          <w:tcPr>
            <w:tcW w:w="3686" w:type="dxa"/>
            <w:shd w:val="clear" w:color="auto" w:fill="auto"/>
            <w:vAlign w:val="center"/>
            <w:hideMark/>
          </w:tcPr>
          <w:p w14:paraId="42F7BBB4"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c>
          <w:tcPr>
            <w:tcW w:w="2409" w:type="dxa"/>
            <w:shd w:val="clear" w:color="auto" w:fill="auto"/>
            <w:vAlign w:val="center"/>
            <w:hideMark/>
          </w:tcPr>
          <w:p w14:paraId="34E8C8C0"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c>
          <w:tcPr>
            <w:tcW w:w="2268" w:type="dxa"/>
            <w:shd w:val="clear" w:color="auto" w:fill="auto"/>
            <w:vAlign w:val="center"/>
            <w:hideMark/>
          </w:tcPr>
          <w:p w14:paraId="616A37DA"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r>
      <w:tr w:rsidR="00016CB7" w:rsidRPr="00F31719" w14:paraId="0E93B0D9" w14:textId="77777777" w:rsidTr="00DC119E">
        <w:trPr>
          <w:trHeight w:val="319"/>
        </w:trPr>
        <w:tc>
          <w:tcPr>
            <w:tcW w:w="846" w:type="dxa"/>
            <w:vMerge/>
            <w:shd w:val="clear" w:color="auto" w:fill="auto"/>
            <w:vAlign w:val="center"/>
          </w:tcPr>
          <w:p w14:paraId="30076065"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p>
        </w:tc>
        <w:tc>
          <w:tcPr>
            <w:tcW w:w="1276" w:type="dxa"/>
            <w:shd w:val="clear" w:color="auto" w:fill="auto"/>
            <w:vAlign w:val="center"/>
          </w:tcPr>
          <w:p w14:paraId="2609CEF8"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SUBSTANTIA NIGRA</w:t>
            </w:r>
          </w:p>
        </w:tc>
        <w:tc>
          <w:tcPr>
            <w:tcW w:w="3685" w:type="dxa"/>
            <w:shd w:val="clear" w:color="auto" w:fill="auto"/>
            <w:vAlign w:val="center"/>
          </w:tcPr>
          <w:p w14:paraId="6155D67C" w14:textId="77777777" w:rsidR="00016CB7" w:rsidRPr="00F31719" w:rsidRDefault="00016CB7" w:rsidP="00DC119E">
            <w:pPr>
              <w:spacing w:after="0" w:line="240" w:lineRule="auto"/>
              <w:jc w:val="center"/>
              <w:rPr>
                <w:rFonts w:ascii="Calibri" w:eastAsia="Times New Roman" w:hAnsi="Calibri" w:cs="Calibri"/>
                <w:b/>
                <w:bCs/>
                <w:color w:val="00B050"/>
                <w:sz w:val="12"/>
                <w:szCs w:val="12"/>
                <w:lang w:val="en-US" w:eastAsia="fr-FR"/>
              </w:rPr>
            </w:pPr>
            <w:r w:rsidRPr="00F31719">
              <w:rPr>
                <w:rFonts w:ascii="Calibri" w:eastAsia="Times New Roman" w:hAnsi="Calibri" w:cs="Calibri"/>
                <w:color w:val="000000"/>
                <w:sz w:val="12"/>
                <w:szCs w:val="12"/>
                <w:lang w:val="en-US" w:eastAsia="fr-FR"/>
              </w:rPr>
              <w:t> </w:t>
            </w:r>
          </w:p>
        </w:tc>
        <w:tc>
          <w:tcPr>
            <w:tcW w:w="3686" w:type="dxa"/>
            <w:shd w:val="clear" w:color="auto" w:fill="auto"/>
            <w:vAlign w:val="center"/>
          </w:tcPr>
          <w:p w14:paraId="35123D72"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PD patients, CD11b-positive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{"citationID":"TUeJDNjP","properties":{"formattedCitation":"\\super 76\\nosupersub{}","plainCitation":"76","noteIndex":0},"citationItems":[{"id":364,"uris":["http://zotero.org/users/5359331/items/LWY9AF9Q"],"itemData":{"id":364,"type":"article-journal","abstract":"Previous studies suggest that the endocannabinoid system plays an important role in the neuropathological basis of Parkinson’s disease (PD). This study was designed to detect potential alterations in the cannabinoid receptors CB1 (CB1r) and CB2 (A isoform, CB2Ar), and in monoacylglycerol lipase (MAGL) gene expression in the substantia nigra (SN) and putamen (PUT) of patients with PD. Immunohistochemical studies were performed to identify precise CB2r cellular localization in the SN of control and PD patients. To ensure the validity and reliability of gene expression data, the RNA integrity number (RIN) was calculated. CB1r, CB2Ar, and MAGL gene expressions were evaluated by real-time polymerase chain reaction (real-time PCR) using Taqman assays. Immunohistochemical experiments with in situ proximity ligation assay (PLA) were used to detect the precise cellular localization of CB2r in neurons, astrocytes, and/or microglia. All RIN values from control and PD postmortem brain samples were &gt; 6. CB1r gene expression was unchanged in the SN but significantly higher in the PUT of patients with PD. CB2Ar gene expression was significantly increased (4-fold) in the SN but decreased in the PUT, whereas MAGL gene expression was decreased in the SN and increased in the PUT. Immunohistochemical analyses revealed that CB2r co-localize with astrocytes but not with neurons or microglial cells in the SN. The results of the present study suggest that CB1r, CB2r, and MAGL are closely related to the neuropathological processes of PD. Therefore, the pharmacological modulation of these targets could represent a new potential therapeutic tool for the management of PD.","container-title":"Neurotherapeutics","DOI":"10.1007/s13311-018-0603-x","ISSN":"1933-7213","issue":"2","journalAbbreviation":"Neurotherapeutics","note":"PMID: 29352424\nPMCID: PMC5935636","page":"459-469","source":"PubMed Central","title":"Cannabinoid CB1 and CB2 Receptors, and Monoacylglycerol Lipase Gene Expression Alterations in the Basal Ganglia of Patients with Parkinson’s Disease","volume":"15","author":[{"family":"Navarrete","given":"Francisco"},{"family":"García-Gutiérrez","given":"M. Salud"},{"family":"Aracil-Fernández","given":"Auxiliadora"},{"family":"Lanciego","given":"José L."},{"family":"Manzanares","given":"Jorge"}],"issued":{"date-parts":[["2018",4]]}}}],"schema":"https://github.com/citation-style-language/schema/raw/master/csl-citation.json"}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76</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A. </w:t>
            </w:r>
          </w:p>
        </w:tc>
        <w:tc>
          <w:tcPr>
            <w:tcW w:w="2409" w:type="dxa"/>
            <w:shd w:val="clear" w:color="auto" w:fill="auto"/>
            <w:vAlign w:val="center"/>
          </w:tcPr>
          <w:p w14:paraId="17CC158F"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PD patients, GFAP-positive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{"citationID":"BQA2z3uO","properties":{"formattedCitation":"\\super 76\\nosupersub{}","plainCitation":"76","noteIndex":0},"citationItems":[{"id":364,"uris":["http://zotero.org/users/5359331/items/LWY9AF9Q"],"itemData":{"id":364,"type":"article-journal","abstract":"Previous studies suggest that the endocannabinoid system plays an important role in the neuropathological basis of Parkinson’s disease (PD). This study was designed to detect potential alterations in the cannabinoid receptors CB1 (CB1r) and CB2 (A isoform, CB2Ar), and in monoacylglycerol lipase (MAGL) gene expression in the substantia nigra (SN) and putamen (PUT) of patients with PD. Immunohistochemical studies were performed to identify precise CB2r cellular localization in the SN of control and PD patients. To ensure the validity and reliability of gene expression data, the RNA integrity number (RIN) was calculated. CB1r, CB2Ar, and MAGL gene expressions were evaluated by real-time polymerase chain reaction (real-time PCR) using Taqman assays. Immunohistochemical experiments with in situ proximity ligation assay (PLA) were used to detect the precise cellular localization of CB2r in neurons, astrocytes, and/or microglia. All RIN values from control and PD postmortem brain samples were &gt; 6. CB1r gene expression was unchanged in the SN but significantly higher in the PUT of patients with PD. CB2Ar gene expression was significantly increased (4-fold) in the SN but decreased in the PUT, whereas MAGL gene expression was decreased in the SN and increased in the PUT. Immunohistochemical analyses revealed that CB2r co-localize with astrocytes but not with neurons or microglial cells in the SN. The results of the present study suggest that CB1r, CB2r, and MAGL are closely related to the neuropathological processes of PD. Therefore, the pharmacological modulation of these targets could represent a new potential therapeutic tool for the management of PD.","container-title":"Neurotherapeutics","DOI":"10.1007/s13311-018-0603-x","ISSN":"1933-7213","issue":"2","journalAbbreviation":"Neurotherapeutics","note":"PMID: 29352424\nPMCID: PMC5935636","page":"459-469","source":"PubMed Central","title":"Cannabinoid CB1 and CB2 Receptors, and Monoacylglycerol Lipase Gene Expression Alterations in the Basal Ganglia of Patients with Parkinson’s Disease","volume":"15","author":[{"family":"Navarrete","given":"Francisco"},{"family":"García-Gutiérrez","given":"M. Salud"},{"family":"Aracil-Fernández","given":"Auxiliadora"},{"family":"Lanciego","given":"José L."},{"family":"Manzanares","given":"Jorge"}],"issued":{"date-parts":[["2018",4]]}}}],"schema":"https://github.com/citation-style-language/schema/raw/master/csl-citation.json"}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76</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A. PD patients, </w:t>
            </w:r>
            <w:proofErr w:type="spellStart"/>
            <w:r w:rsidRPr="00F31719">
              <w:rPr>
                <w:rFonts w:ascii="Calibri" w:eastAsia="Times New Roman" w:hAnsi="Calibri" w:cs="Calibri"/>
                <w:color w:val="000000"/>
                <w:sz w:val="12"/>
                <w:szCs w:val="12"/>
                <w:lang w:val="en-US" w:eastAsia="fr-FR"/>
              </w:rPr>
              <w:t>astroglial</w:t>
            </w:r>
            <w:proofErr w:type="spellEnd"/>
            <w:r w:rsidRPr="00F31719">
              <w:rPr>
                <w:rFonts w:ascii="Calibri" w:eastAsia="Times New Roman" w:hAnsi="Calibri" w:cs="Calibri"/>
                <w:color w:val="000000"/>
                <w:sz w:val="12"/>
                <w:szCs w:val="12"/>
                <w:lang w:val="en-US" w:eastAsia="fr-FR"/>
              </w:rPr>
              <w:t>-like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{"citationID":"zzdE3uKd","properties":{"formattedCitation":"\\super 57\\nosupersub{}","plainCitation":"57","noteIndex":0},"citationItems":[{"id":357,"uris":["http://zotero.org/users/5359331/items/6EBXLP7K"],"itemData":{"id":357,"type":"article-journal","abstract":"Inﬂammation is an important pathogenic factor in Parkinson's disease (PD), so that it can contribute to kill dopaminergic neurons of the substantia nigra and to enhance the dopaminergic denervation of the striatum. The cannabinoid type-2 (CB2) receptor has been investigated as a potential anti-inﬂammatory and neuroprotective target in different neurodegenerative disorders, but still limited evidence has been collected in PD. Here, we show for the ﬁrst time that CB2 receptors are elevated in microglial cells recruited and activated at lesioned sites in the substantia nigra of PD patients compared to control subjects. Parkinsonian inﬂammation can be reproduced experimentally in rodents by intrastriatal injections of lipopolysaccharide (LPS) which, through an intense activation of glial elements and peripheral inﬁltration, provokes a rapid deterioration of the striatum that may extend to the substantia nigra too. Using this experimental model, we recently described a much more intense deterioration of tyrosine hydroxylase (TH)-containing nigral neurons in CB2 receptor-deﬁcient mice compared to wild-type animals, supporting a potential neuroprotective role for this receptor. In the present study, we further explored this issue. First, we found elevated levels of the CB2 receptor measured by qRT-PCR in the striatum and substantia nigra of LPS-lesioned mice, as well as an increase in the immunostaining for this receptor in the LPS-lesioned striatum. Second, we found a signiﬁcant increase in CD68 immunostaining, which serve to identify activated microglia and also inﬁltrated peripheral macrophages, in these brain structures in response to LPS insult, which was much more intense in CB2 receptor-deﬁcient mice in the case of the substantia nigra. Next, we observed that the activation of CB2 receptors with a selective agonist (HU-308) reversed LPSinduced elevation of CD68 immunostaining in the striatum and the parallel reduction in TH immunostaining. Lastly, we found that LPS elevated the gene expression of different pro-inﬂammatory mediators in both the striatum and the substantia nigra, whereas the selective activation of CB2 receptors reduced a part of these mediators, e.g. inducible nitric oxide synthase, although exclusively in the striatum. In conclusion, we have provided the ﬁrst evidence on the up-regulation of CB2 receptors in glial elements in postmortem tissues of PD patients, which has been conﬁrmed in an inﬂammatory model of this disease. In addition, we have provided evidence on the beneﬁts derived from their activation in relation with the activation of microglial cells, the inﬁltration of macrophages and also certain capability of these cells to generate proinﬂammatory factors.","container-title":"Progress in Neuro-Psychopharmacology and Biological Psychiatry","DOI":"10.1016/j.pnpbp.2015.03.017","ISSN":"02785846","journalAbbreviation":"Progress in Neuro-Psychopharmacology and Biological Psychiatry","language":"en","page":"200-208","source":"DOI.org (Crossref)","title":"Potential of the cannabinoid CB2 receptor as a pharmacological target against inflammation in Parkinson's disease","volume":"64","author":[{"family":"Gómez-Gálvez","given":"Yolanda"},{"family":"Palomo-Garo","given":"Cristina"},{"family":"Fernández-Ruiz","given":"Javier"},{"family":"García","given":"Concepción"}],"issued":{"date-parts":[["2016",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57</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J. </w:t>
            </w:r>
          </w:p>
        </w:tc>
        <w:tc>
          <w:tcPr>
            <w:tcW w:w="2268" w:type="dxa"/>
            <w:shd w:val="clear" w:color="auto" w:fill="auto"/>
            <w:vAlign w:val="center"/>
          </w:tcPr>
          <w:p w14:paraId="0B63CBF2"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r>
      <w:tr w:rsidR="00016CB7" w:rsidRPr="00B845EF" w14:paraId="2B67A3B5" w14:textId="77777777" w:rsidTr="00DC119E">
        <w:trPr>
          <w:trHeight w:val="416"/>
        </w:trPr>
        <w:tc>
          <w:tcPr>
            <w:tcW w:w="846" w:type="dxa"/>
            <w:vMerge/>
            <w:vAlign w:val="center"/>
            <w:hideMark/>
          </w:tcPr>
          <w:p w14:paraId="52F43592" w14:textId="77777777" w:rsidR="00016CB7" w:rsidRPr="00F31719" w:rsidRDefault="00016CB7" w:rsidP="00DC119E">
            <w:pPr>
              <w:spacing w:after="0" w:line="240" w:lineRule="auto"/>
              <w:rPr>
                <w:rFonts w:ascii="Calibri" w:eastAsia="Times New Roman" w:hAnsi="Calibri" w:cs="Calibri"/>
                <w:b/>
                <w:bCs/>
                <w:color w:val="000000"/>
                <w:sz w:val="15"/>
                <w:szCs w:val="15"/>
                <w:lang w:val="en-US" w:eastAsia="fr-FR"/>
              </w:rPr>
            </w:pPr>
          </w:p>
        </w:tc>
        <w:tc>
          <w:tcPr>
            <w:tcW w:w="1276" w:type="dxa"/>
            <w:shd w:val="clear" w:color="auto" w:fill="auto"/>
            <w:vAlign w:val="center"/>
            <w:hideMark/>
          </w:tcPr>
          <w:p w14:paraId="7DB7F97A"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 xml:space="preserve">CEREBELLUM </w:t>
            </w:r>
          </w:p>
        </w:tc>
        <w:tc>
          <w:tcPr>
            <w:tcW w:w="3685" w:type="dxa"/>
            <w:shd w:val="clear" w:color="auto" w:fill="auto"/>
            <w:vAlign w:val="center"/>
            <w:hideMark/>
          </w:tcPr>
          <w:p w14:paraId="15EABC8D"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Rat NSE-positive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{"citationID":"bsdXbxpU","properties":{"formattedCitation":"\\super 41\\nosupersub{}","plainCitation":"41","noteIndex":0},"citationItems":[{"id":362,"uris":["http://zotero.org/users/5359331/items/NGAS7VQY"],"itemData":{"id":362,"type":"article-journal","abstract":"Brain expression of CB2 cannabinoid receptors has been much less well established and characterized in comparison to the expression of brain CB1 receptors. Since CB2 receptors are intensely expressed in peripheral and immune tissues, expression in brain microglia has been anticipated. Nevertheless, we now describe expression of CB2-receptor-like immunoreactivity in brain in neuronal patterns that support broader CNS roles for this receptor. Two anti-CB2 affinity purified polyclonal antibodies were raised in rabbits immunized with peptide conjugates that corresponded to amino acids 1–33 and 20–33. Western blot analyses revealed specific bands that were identified using these sera and were absent when the sera were preadsorbed with 8.3 μg/ml of the immunizing peptides. These studies, and initial RT-PCR analyses of brain CB1 and CB2 mRNAs, also support the expression of brain CB2 receptor transcripts at levels much lower than those of CB1 receptors. CB2 cannabinoid receptor mRNA was clearly expressed in the cerebellum of wild type but not in CB2 knockout mice. CB2 immunostaining was detected in the interpolar part of spinal 5th nucleus of wild type but not in CB2 knockout mice, using a mouse C-terminal CB2 receptor antibody. Immunohistochemical analyses revealed abundant immunostaining for CB2 receptors in apparent neuronal and glial processes in a number of rat brain areas. Cerebellar Purkinje cells and hippocampal pyramidal cells revealed substantial immunoreactivity that was absent when sections were stained with preadsorbed sera. CB2 immunoreactivity was also observed in olfactory tubercle, islands of Calleja, cerebral cortex, striatum, thalamic nuclei, hippocampus, amygdala, substantia nigra, periaqueductal gray, paratrochlear nucleus, paralemniscal nucleus, red nucleus, pontine nuclei, inferior colliculus and the parvocellular portion of the medial vestibular nucleus. In-vitro, CB2 immunoreactivity was also present in hippocampal cell cultures. The multifocal expression of CB2 immunoreactivity in glial and neuronal patterns in a number of brain regions suggests reevaluation of the possible roles that CB2 receptors may play in the brain.","container-title":"Brain Research","DOI":"10.1016/j.brainres.2005.11.035","ISSN":"00068993","issue":"1","journalAbbreviation":"Brain Research","language":"en","page":"10-23","source":"DOI.org (Crossref)","title":"Cannabinoid CB2 receptors: Immunohistochemical localization in rat brain","title-short":"Cannabinoid CB2 receptors","volume":"1071","author":[{"family":"Gong","given":"Jian-Ping"},{"family":"Onaivi","given":"Emmanuel S."},{"family":"Ishiguro","given":"Hiroki"},{"family":"Liu","given":"Qing-Rong"},{"family":"Tagliaferro","given":"Patricia A."},{"family":"Brusco","given":"Alicia"},{"family":"Uhl","given":"George R."}],"issued":{"date-parts":[["2006",2]]}}}],"schema":"https://github.com/citation-style-language/schema/raw/master/csl-citation.json"}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41</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A and u. Rat neuronal-like cells of the granule layer</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{"citationID":"J8AS2EnW","properties":{"formattedCitation":"\\super 45\\nosupersub{}","plainCitation":"45","noteIndex":0},"citationItems":[{"id":355,"uris":["http://zotero.org/users/5359331/items/WTLAJIMZ"],"itemData":{"id":355,"type":"article-journal","abstract":"Until recently the cannabinoid CB2 receptor was believed to be absent from the central nervous system. In this study we have identiﬁed CB2 expressing cells that appear in the rat brain following stroke and hypoxic-ischemia. At 3 days following surgery CB2-positive macrophages, deriving from resident microglia and/or invading monocytes appear on the lesioned side of the brain. By day 7, a mixed population of CB2-positive cells is present. Microglia-derived macrophages are the key cells in the ﬁrst stages of brain inﬂammation, and a pivotal step in the neurodegeneration that follows the acute stage of injury. Thus, CB2 may be important in the brain during injury, and in inﬂammatory neurodegenerative disorders. The presence of CB2-positive cells in the brain following stroke may provide a novel strategy for cannabinoid-mediated intervention into stroke induced neurodegeneration without the psychoactive effects of CB1 receptor stimulation.","container-title":"Neuroscience Letters","DOI":"10.1016/j.neulet.2006.10.053","ISSN":"03043940","issue":"2","journalAbbreviation":"Neuroscience Letters","language":"en","page":"114-117","source":"DOI.org (Crossref)","title":"Cerebral hypoxia-ischemia and middle cerebral artery occlusion induce expression of the cannabinoid CB2 receptor in the brain","volume":"412","author":[{"family":"Ashton","given":"John C."},{"family":"Rahman","given":"Rosanna M.A."},{"family":"Nair","given":"Shiva M."},{"family":"Sutherland","given":"Brad A."},{"family":"Glass","given":"Michelle"},{"family":"Appleton","given":"Ian"}],"issued":{"date-parts":[["2007",1]]}}}],"schema":"https://github.com/citation-style-language/schema/raw/master/csl-citation.json"}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45</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P. </w:t>
            </w:r>
          </w:p>
        </w:tc>
        <w:tc>
          <w:tcPr>
            <w:tcW w:w="3686" w:type="dxa"/>
            <w:shd w:val="clear" w:color="auto" w:fill="auto"/>
            <w:vAlign w:val="center"/>
            <w:hideMark/>
          </w:tcPr>
          <w:p w14:paraId="6950312E"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Human perivascular microglial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{"citationID":"BD1JiXDd","properties":{"formattedCitation":"\\super 52\\nosupersub{}","plainCitation":"52","noteIndex":0},"citationItems":[{"id":358,"uris":["http://zotero.org/users/5359331/items/QL84J2TY"],"itemData":{"id":358,"type":"article-journal","container-title":"Synapse","DOI":"10.1002/syn.20050","ISSN":"08874476","issue":"4","journalAbbreviation":"Synapse","language":"en","page":"208-213","source":"DOI.org (Crossref)","title":"Cannabinoid CB &lt;sub&gt;2&lt;/sub&gt; receptors are expressed by perivascular microglial cells in the human brain: An immunohistochemical study: CB &lt;sub&gt;2&lt;/sub&gt; In Human Cerebellum","title-short":"Cannabinoid CB &lt;sub&gt;2&lt;/sub&gt; receptors are expressed by perivascular microglial cells in the human brain","volume":"53","author":[{"family":"Núñez","given":"Estefanía"},{"family":"Benito","given":"Cristina"},{"family":"Pazos","given":"M. Ruth"},{"family":"Barbachano","given":"Antonio"},{"family":"Fajardo","given":"Otto"},{"family":"González","given":"Sara"},{"family":"Tolón","given":"Rosa M."},{"family":"Romero","given":"Julián"}],"issued":{"date-parts":[["2004",9,15]]}}}],"schema":"https://github.com/citation-style-language/schema/raw/master/csl-citation.json"}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52</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L.</w:t>
            </w:r>
          </w:p>
        </w:tc>
        <w:tc>
          <w:tcPr>
            <w:tcW w:w="2409" w:type="dxa"/>
            <w:shd w:val="clear" w:color="auto" w:fill="auto"/>
            <w:vAlign w:val="center"/>
            <w:hideMark/>
          </w:tcPr>
          <w:p w14:paraId="447BA83F"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c>
          <w:tcPr>
            <w:tcW w:w="2268" w:type="dxa"/>
            <w:shd w:val="clear" w:color="auto" w:fill="auto"/>
            <w:vAlign w:val="center"/>
            <w:hideMark/>
          </w:tcPr>
          <w:p w14:paraId="56F2605D"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r>
      <w:tr w:rsidR="00016CB7" w:rsidRPr="00B845EF" w14:paraId="2CF31A9B" w14:textId="77777777" w:rsidTr="00DC119E">
        <w:trPr>
          <w:trHeight w:val="416"/>
        </w:trPr>
        <w:tc>
          <w:tcPr>
            <w:tcW w:w="846" w:type="dxa"/>
            <w:vMerge/>
            <w:vAlign w:val="center"/>
          </w:tcPr>
          <w:p w14:paraId="42001B04" w14:textId="77777777" w:rsidR="00016CB7" w:rsidRPr="00F31719" w:rsidRDefault="00016CB7" w:rsidP="00DC119E">
            <w:pPr>
              <w:spacing w:after="0" w:line="240" w:lineRule="auto"/>
              <w:rPr>
                <w:rFonts w:ascii="Calibri" w:eastAsia="Times New Roman" w:hAnsi="Calibri" w:cs="Calibri"/>
                <w:b/>
                <w:bCs/>
                <w:color w:val="000000"/>
                <w:sz w:val="15"/>
                <w:szCs w:val="15"/>
                <w:lang w:val="en-US" w:eastAsia="fr-FR"/>
              </w:rPr>
            </w:pPr>
          </w:p>
        </w:tc>
        <w:tc>
          <w:tcPr>
            <w:tcW w:w="1276" w:type="dxa"/>
            <w:shd w:val="clear" w:color="auto" w:fill="auto"/>
            <w:vAlign w:val="center"/>
          </w:tcPr>
          <w:p w14:paraId="19192E24"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SPINAL CORD</w:t>
            </w:r>
          </w:p>
        </w:tc>
        <w:tc>
          <w:tcPr>
            <w:tcW w:w="3685" w:type="dxa"/>
            <w:shd w:val="clear" w:color="auto" w:fill="auto"/>
            <w:vAlign w:val="center"/>
          </w:tcPr>
          <w:p w14:paraId="760BCBB4" w14:textId="77777777" w:rsidR="00016CB7" w:rsidRPr="00F31719" w:rsidRDefault="00016CB7" w:rsidP="00DC119E">
            <w:pPr>
              <w:jc w:val="center"/>
              <w:rPr>
                <w:rFonts w:ascii="Calibri" w:eastAsia="Times New Roman" w:hAnsi="Calibri" w:cs="Calibri"/>
                <w:color w:val="000000" w:themeColor="text1"/>
                <w:sz w:val="12"/>
                <w:szCs w:val="12"/>
                <w:lang w:val="en-US" w:eastAsia="fr-FR"/>
              </w:rPr>
            </w:pPr>
            <w:r w:rsidRPr="00F31719">
              <w:rPr>
                <w:rFonts w:eastAsia="Times New Roman" w:cstheme="minorHAnsi"/>
                <w:b/>
                <w:bCs/>
                <w:color w:val="FF0000"/>
                <w:sz w:val="12"/>
                <w:szCs w:val="12"/>
                <w:lang w:val="en-US" w:eastAsia="fr-FR"/>
              </w:rPr>
              <w:t>PATHOLOGICAL</w:t>
            </w:r>
            <w:r w:rsidRPr="00F31719">
              <w:rPr>
                <w:rFonts w:eastAsia="Times New Roman" w:cstheme="minorHAnsi"/>
                <w:color w:val="FF0000"/>
                <w:sz w:val="12"/>
                <w:szCs w:val="12"/>
                <w:lang w:val="en-US" w:eastAsia="fr-FR"/>
              </w:rPr>
              <w:t xml:space="preserve"> </w:t>
            </w:r>
            <w:r w:rsidRPr="00F31719">
              <w:rPr>
                <w:rFonts w:eastAsia="Times New Roman" w:cstheme="minorHAnsi"/>
                <w:color w:val="000000"/>
                <w:sz w:val="12"/>
                <w:szCs w:val="12"/>
                <w:lang w:val="en-US" w:eastAsia="fr-FR"/>
              </w:rPr>
              <w:t xml:space="preserve">: rat model of </w:t>
            </w:r>
            <w:r w:rsidRPr="00F31719">
              <w:rPr>
                <w:rFonts w:cstheme="minorHAnsi"/>
                <w:sz w:val="12"/>
                <w:szCs w:val="12"/>
                <w:shd w:val="clear" w:color="auto" w:fill="FFFFFF"/>
                <w:lang w:val="en-US"/>
              </w:rPr>
              <w:t xml:space="preserve">chronic constriction injury, </w:t>
            </w:r>
            <w:proofErr w:type="spellStart"/>
            <w:r w:rsidRPr="00F31719">
              <w:rPr>
                <w:rFonts w:cstheme="minorHAnsi"/>
                <w:sz w:val="12"/>
                <w:szCs w:val="12"/>
                <w:shd w:val="clear" w:color="auto" w:fill="FFFFFF"/>
                <w:lang w:val="en-US"/>
              </w:rPr>
              <w:t>NeuN</w:t>
            </w:r>
            <w:proofErr w:type="spellEnd"/>
            <w:r w:rsidRPr="00F31719">
              <w:rPr>
                <w:rFonts w:cstheme="minorHAnsi"/>
                <w:sz w:val="12"/>
                <w:szCs w:val="12"/>
                <w:shd w:val="clear" w:color="auto" w:fill="FFFFFF"/>
                <w:lang w:val="en-US"/>
              </w:rPr>
              <w:t xml:space="preserve"> positive cells</w:t>
            </w:r>
            <w:r w:rsidRPr="00F31719">
              <w:rPr>
                <w:rFonts w:cstheme="minorHAnsi"/>
                <w:sz w:val="12"/>
                <w:szCs w:val="12"/>
                <w:shd w:val="clear" w:color="auto" w:fill="FFFFFF"/>
                <w:lang w:val="en-US"/>
              </w:rPr>
              <w:fldChar w:fldCharType="begin"/>
            </w:r>
            <w:r w:rsidRPr="00F31719">
              <w:rPr>
                <w:rFonts w:cstheme="minorHAnsi"/>
                <w:sz w:val="12"/>
                <w:szCs w:val="12"/>
                <w:shd w:val="clear" w:color="auto" w:fill="FFFFFF"/>
                <w:lang w:val="en-US"/>
              </w:rPr>
              <w:instrText xml:space="preserve"> ADDIN ZOTERO_ITEM CSL_CITATION {"citationID":"dsZHe67f","properties":{"formattedCitation":"\\super 94\\nosupersub{}","plainCitation":"94","noteIndex":0},"citationItems":[{"id":1383,"uris":["http://zotero.org/users/5359331/items/TGLJEWPE"],"itemData":{"id":1383,"type":"article-journal","container-title":"Cannabis and Cannabinoid Research","DOI":"10.1089/can.2020.0004","ISSN":"2578-5125, 2378-8763","issue":"2","journalAbbreviation":"Cannabis and Cannabinoid Research","language":"en","page":"137-147","source":"DOI.org (Crossref)","title":"Morphine Induces Upregulation of Neuronally Expressed CB2 Receptors in the Spinal Dorsal Horn of Rats","volume":"6","author":[{"family":"Grenier","given":"Patrick"},{"family":"Sunavsky","given":"Adam"},{"family":"Olmstead","given":"Mary C."}],"issued":{"date-parts":[["2021",4,1]]}}}],"schema":"https://github.com/citation-style-language/schema/raw/master/csl-citation.json"} </w:instrText>
            </w:r>
            <w:r w:rsidRPr="00F31719">
              <w:rPr>
                <w:rFonts w:cstheme="minorHAnsi"/>
                <w:sz w:val="12"/>
                <w:szCs w:val="12"/>
                <w:shd w:val="clear" w:color="auto" w:fill="FFFFFF"/>
                <w:lang w:val="en-US"/>
              </w:rPr>
              <w:fldChar w:fldCharType="separate"/>
            </w:r>
            <w:r w:rsidRPr="00F31719">
              <w:rPr>
                <w:rFonts w:ascii="Calibri" w:cs="Calibri"/>
                <w:sz w:val="12"/>
                <w:vertAlign w:val="superscript"/>
                <w:lang w:val="en-US"/>
              </w:rPr>
              <w:t>94</w:t>
            </w:r>
            <w:r w:rsidRPr="00F31719">
              <w:rPr>
                <w:rFonts w:cstheme="minorHAnsi"/>
                <w:sz w:val="12"/>
                <w:szCs w:val="12"/>
                <w:shd w:val="clear" w:color="auto" w:fill="FFFFFF"/>
                <w:lang w:val="en-US"/>
              </w:rPr>
              <w:fldChar w:fldCharType="end"/>
            </w:r>
            <w:r w:rsidRPr="00F31719">
              <w:rPr>
                <w:rFonts w:cstheme="minorHAnsi"/>
                <w:sz w:val="12"/>
                <w:szCs w:val="12"/>
                <w:shd w:val="clear" w:color="auto" w:fill="FFFFFF"/>
                <w:lang w:val="en-US"/>
              </w:rPr>
              <w:t xml:space="preserve"> with antibody </w:t>
            </w:r>
            <w:r w:rsidRPr="00F31719">
              <w:rPr>
                <w:rFonts w:ascii="Calibri" w:eastAsia="Times New Roman" w:hAnsi="Calibri" w:cs="Calibri"/>
                <w:color w:val="000000" w:themeColor="text1"/>
                <w:sz w:val="12"/>
                <w:szCs w:val="12"/>
                <w:lang w:val="en-US" w:eastAsia="fr-FR"/>
              </w:rPr>
              <w:t>C.</w:t>
            </w:r>
          </w:p>
        </w:tc>
        <w:tc>
          <w:tcPr>
            <w:tcW w:w="3686" w:type="dxa"/>
            <w:shd w:val="clear" w:color="auto" w:fill="auto"/>
            <w:vAlign w:val="center"/>
          </w:tcPr>
          <w:p w14:paraId="3D92B42C" w14:textId="77777777" w:rsidR="00016CB7" w:rsidRPr="00F31719" w:rsidRDefault="00016CB7" w:rsidP="00DC119E">
            <w:pPr>
              <w:spacing w:after="0" w:line="240" w:lineRule="auto"/>
              <w:jc w:val="center"/>
              <w:rPr>
                <w:rFonts w:ascii="Calibri" w:eastAsia="Times New Roman" w:hAnsi="Calibri" w:cs="Calibri"/>
                <w:b/>
                <w:bCs/>
                <w:color w:val="00B050"/>
                <w:sz w:val="12"/>
                <w:szCs w:val="12"/>
                <w:lang w:val="en-US" w:eastAsia="fr-FR"/>
              </w:rPr>
            </w:pP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MS patients HLA-DR positive microglial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{"citationID":"g7xOJL6j","properties":{"formattedCitation":"\\super 97\\nosupersub{}","plainCitation":"97","noteIndex":0},"citationItems":[{"id":323,"uris":["http://zotero.org/users/5359331/items/9S6FMCBL"],"itemData":{"id":323,"type":"article-journal","container-title":"Journal of Neuroscience","DOI":"10.1523/JNEUROSCI.4814-06.2007","ISSN":"0270-6474, 1529-2401","issue":"9","journalAbbreviation":"Journal of Neuroscience","language":"en","page":"2396-2402","source":"DOI.org (Crossref)","title":"Cannabinoid CB1 and CB2 Receptors and Fatty Acid Amide Hydrolase Are Specific Markers of Plaque Cell Subtypes in Human Multiple Sclerosis","volume":"27","author":[{"family":"Benito","given":"C."},{"family":"Romero","given":"J. P."},{"family":"Tolon","given":"R. M."},{"family":"Clemente","given":"D."},{"family":"Docagne","given":"F."},{"family":"Hillard","given":"C. J."},{"family":"Guaza","given":"C."},{"family":"Romero","given":"J."}],"issued":{"date-parts":[["2007",2,28]]}}}],"schema":"https://github.com/citation-style-language/schema/raw/master/csl-citation.json"}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97</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L.  MS patients, activated microglia-like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{"citationID":"L8x3uJrX","properties":{"formattedCitation":"\\super 59\\nosupersub{}","plainCitation":"59","noteIndex":0},"citationItems":[{"id":324,"uris":["http://zotero.org/users/5359331/items/QA3PENBJ"],"itemData":{"id":324,"type":"article-journal","abstract":"Background\nWhile multiple sclerosis (MS) and amyotrophic lateral sclerosis (ALS) are primarily inflammatory and degenerative disorders respectively, there is increasing evidence for shared cellular mechanisms that may affect disease progression, particularly glial responses. Cyclooxygenase 2 (COX-2) inhibition prolongs survival and cannabinoids ameliorate progression of clinical disease in animal models of ALS and MS respectively, but the mechanism is uncertain. Therefore, three key molecules known to be expressed in activated microglial cells/macrophages, COX-2, CB2 and P2X7, which plays a role in inflammatory cascades, were studied in MS and ALS post-mortem human spinal cord.\n\nMethods\nFrozen human post mortem spinal cord specimens, controls (n = 12), ALS (n = 9) and MS (n = 19), were available for study by immunocytochemistry and Western blotting, using specific antibodies to COX-2, CB2 and P2X7, and markers of microglial cells/macrophages (CD 68, ferritin). In addition, autoradiography for peripheral benzodiazepine binding sites was performed on some spinal cord sections using [3H] (R)-PK11195, a marker of activated microglial cells/macrophages. Results of immunostaining and Western blotting were quantified by computerized image and optical density analysis respectively.\n\nResults\nIn control spinal cord, few small microglial cells/macrophages-like COX-2-immunoreactive cells, mostly bipolar with short processes, were scattered throughout the tissue, whilst MS and ALS specimens had significantly greater density of such cells with longer processes in affected regions, by image analysis. Inflammatory cell marker CD68-immunoreactivity, [3H] (R)-PK11195 autoradiography, and double-staining against ferritin confirmed increased production of COX-2 by activated microglial cells/macrophages. An expected 70-kDa band was seen by Western blotting which was significantly increased in MS spinal cord. There was good correlation between the COX-2 immunostaining and optical density of the COX-2 70-kDa band in the MS group (r = 0.89, P = 0.0011, n = 10). MS and ALS specimens also had significantly greater density of P2X7 and CB2-immunoreactive microglial cells/macrophages in affected regions.\n\nConclusion\nIt is hypothesized that the known increase of lesion-associated extracellular ATP contributes via P2X7 activation to release IL-1 beta which in turn induces COX-2 and downstream pathogenic mediators. Selective CNS-penetrant COX-2 and P2X7 inhibitors and CB2 specific agonists deserve evaluation in the progression of MS and ALS.","container-title":"BMC Neurology","DOI":"10.1186/1471-2377-6-12","ISSN":"1471-2377","journalAbbreviation":"BMC Neurol","note":"PMID: 16512913\nPMCID: PMC1413551","page":"12","source":"PubMed Central","title":"COX-2, CB2 and P2X7-immunoreactivities are increased in activated microglial cells/macrophages of multiple sclerosis and amyotrophic lateral sclerosis spinal cord","volume":"6","author":[{"family":"Yiangou","given":"Yiangos"},{"family":"Facer","given":"Paul"},{"family":"Durrenberger","given":"Pascal"},{"family":"Chessell","given":"Iain P"},{"family":"Naylor","given":"Alan"},{"family":"Bountra","given":"Chas"},{"family":"Banati","given":"Richard R"},{"family":"Anand","given":"Praveen"}],"issued":{"date-parts":[["2006",3,2]]}}}],"schema":"https://github.com/citation-style-language/schema/raw/master/csl-citation.json"}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59</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antibodies P and R. </w:t>
            </w:r>
          </w:p>
        </w:tc>
        <w:tc>
          <w:tcPr>
            <w:tcW w:w="2409" w:type="dxa"/>
            <w:shd w:val="clear" w:color="auto" w:fill="auto"/>
            <w:vAlign w:val="center"/>
          </w:tcPr>
          <w:p w14:paraId="4016D885"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MS patients GFAP positive astrocytes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{"citationID":"HlVb24mD","properties":{"formattedCitation":"\\super 97\\nosupersub{}","plainCitation":"97","noteIndex":0},"citationItems":[{"id":323,"uris":["http://zotero.org/users/5359331/items/9S6FMCBL"],"itemData":{"id":323,"type":"article-journal","container-title":"Journal of Neuroscience","DOI":"10.1523/JNEUROSCI.4814-06.2007","ISSN":"0270-6474, 1529-2401","issue":"9","journalAbbreviation":"Journal of Neuroscience","language":"en","page":"2396-2402","source":"DOI.org (Crossref)","title":"Cannabinoid CB1 and CB2 Receptors and Fatty Acid Amide Hydrolase Are Specific Markers of Plaque Cell Subtypes in Human Multiple Sclerosis","volume":"27","author":[{"family":"Benito","given":"C."},{"family":"Romero","given":"J. P."},{"family":"Tolon","given":"R. M."},{"family":"Clemente","given":"D."},{"family":"Docagne","given":"F."},{"family":"Hillard","given":"C. J."},{"family":"Guaza","given":"C."},{"family":"Romero","given":"J."}],"issued":{"date-parts":[["2007",2,28]]}}}],"schema":"https://github.com/citation-style-language/schema/raw/master/csl-citation.json"}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97</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L. </w:t>
            </w:r>
          </w:p>
        </w:tc>
        <w:tc>
          <w:tcPr>
            <w:tcW w:w="2268" w:type="dxa"/>
            <w:shd w:val="clear" w:color="auto" w:fill="auto"/>
            <w:vAlign w:val="center"/>
          </w:tcPr>
          <w:p w14:paraId="477D4CAB"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MS patients CD45 and CD3-postive infiltrating macrophages and T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{"citationID":"aeSImmt5","properties":{"formattedCitation":"\\super 97\\nosupersub{}","plainCitation":"97","noteIndex":0},"citationItems":[{"id":323,"uris":["http://zotero.org/users/5359331/items/9S6FMCBL"],"itemData":{"id":323,"type":"article-journal","container-title":"Journal of Neuroscience","DOI":"10.1523/JNEUROSCI.4814-06.2007","ISSN":"0270-6474, 1529-2401","issue":"9","journalAbbreviation":"Journal of Neuroscience","language":"en","page":"2396-2402","source":"DOI.org (Crossref)","title":"Cannabinoid CB1 and CB2 Receptors and Fatty Acid Amide Hydrolase Are Specific Markers of Plaque Cell Subtypes in Human Multiple Sclerosis","volume":"27","author":[{"family":"Benito","given":"C."},{"family":"Romero","given":"J. P."},{"family":"Tolon","given":"R. M."},{"family":"Clemente","given":"D."},{"family":"Docagne","given":"F."},{"family":"Hillard","given":"C. J."},{"family":"Guaza","given":"C."},{"family":"Romero","given":"J."}],"issued":{"date-parts":[["2007",2,28]]}}}],"schema":"https://github.com/citation-style-language/schema/raw/master/csl-citation.json"}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97</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L. </w:t>
            </w:r>
          </w:p>
        </w:tc>
      </w:tr>
      <w:tr w:rsidR="00016CB7" w:rsidRPr="00B845EF" w14:paraId="230C663A" w14:textId="77777777" w:rsidTr="00DC119E">
        <w:trPr>
          <w:trHeight w:val="380"/>
        </w:trPr>
        <w:tc>
          <w:tcPr>
            <w:tcW w:w="846" w:type="dxa"/>
            <w:vMerge/>
            <w:vAlign w:val="center"/>
            <w:hideMark/>
          </w:tcPr>
          <w:p w14:paraId="05508806" w14:textId="77777777" w:rsidR="00016CB7" w:rsidRPr="00F31719" w:rsidRDefault="00016CB7" w:rsidP="00DC119E">
            <w:pPr>
              <w:spacing w:after="0" w:line="240" w:lineRule="auto"/>
              <w:rPr>
                <w:rFonts w:ascii="Calibri" w:eastAsia="Times New Roman" w:hAnsi="Calibri" w:cs="Calibri"/>
                <w:b/>
                <w:bCs/>
                <w:color w:val="000000"/>
                <w:sz w:val="15"/>
                <w:szCs w:val="15"/>
                <w:lang w:val="en-US" w:eastAsia="fr-FR"/>
              </w:rPr>
            </w:pPr>
          </w:p>
        </w:tc>
        <w:tc>
          <w:tcPr>
            <w:tcW w:w="1276" w:type="dxa"/>
            <w:shd w:val="clear" w:color="auto" w:fill="auto"/>
            <w:vAlign w:val="center"/>
            <w:hideMark/>
          </w:tcPr>
          <w:p w14:paraId="7D7F0E3D"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HYPOTHALAMUS</w:t>
            </w:r>
          </w:p>
        </w:tc>
        <w:tc>
          <w:tcPr>
            <w:tcW w:w="3685" w:type="dxa"/>
            <w:shd w:val="clear" w:color="auto" w:fill="auto"/>
            <w:vAlign w:val="center"/>
            <w:hideMark/>
          </w:tcPr>
          <w:p w14:paraId="0E5245FB" w14:textId="77777777" w:rsidR="00016CB7" w:rsidRPr="00F31719" w:rsidRDefault="00016CB7" w:rsidP="00DC119E">
            <w:pPr>
              <w:spacing w:after="0" w:line="240" w:lineRule="auto"/>
              <w:jc w:val="center"/>
              <w:rPr>
                <w:rFonts w:ascii="Calibri" w:eastAsia="Times New Roman" w:hAnsi="Calibri" w:cs="Calibri"/>
                <w:color w:val="000000"/>
                <w:sz w:val="12"/>
                <w:szCs w:val="12"/>
                <w:lang w:eastAsia="fr-FR"/>
              </w:rPr>
            </w:pPr>
            <w:r w:rsidRPr="00F31719">
              <w:rPr>
                <w:rFonts w:ascii="Calibri" w:eastAsia="Times New Roman" w:hAnsi="Calibri" w:cs="Calibri"/>
                <w:b/>
                <w:bCs/>
                <w:color w:val="00B050"/>
                <w:sz w:val="12"/>
                <w:szCs w:val="12"/>
                <w:lang w:eastAsia="fr-FR"/>
              </w:rPr>
              <w:t>PHYSIOLOGICAL</w:t>
            </w:r>
            <w:r w:rsidRPr="00F31719">
              <w:rPr>
                <w:rFonts w:ascii="Calibri" w:eastAsia="Times New Roman" w:hAnsi="Calibri" w:cs="Calibri"/>
                <w:color w:val="000000"/>
                <w:sz w:val="12"/>
                <w:szCs w:val="12"/>
                <w:lang w:eastAsia="fr-FR"/>
              </w:rPr>
              <w:t xml:space="preserve"> : NSE-positive neurons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eastAsia="fr-FR"/>
              </w:rPr>
              <w:instrText xml:space="preserve"> ADDIN ZOTERO_ITEM CSL_CITATION {"citationID":"xw47sohG","properties":{"formattedCitation":"\\super 41\\nosupersub{}","plainCitation":"41","noteIndex":0},"citationItems":[{"id":362,"uris":["http://zotero.org/users/5359331/items/NGAS7VQY"],"itemData":{"id":362,"type":"article-journal","abstract":"Brain expression of CB2 cannabinoid receptors has been much less well established and characterized in comparison to the expression of brain CB1 receptors. Since CB2 receptors are intensely expressed in peripheral and immune tissues, expression in brain microglia has been anticipated. Nevertheless, we now describe expression of CB2-receptor-like immunoreactivity in brain in neuronal patterns that support broader CNS roles for this receptor. Two anti-CB2 affinity purified polyclonal antibodies were raised in rabbits immunized with peptide conjugates that corresponded to amino acids 1–33 and 20–33. Western blot analyses revealed specific bands that were identified using these sera and were absent when the sera were preadsorbed with 8.3 μg/ml of the immunizing peptides. These studies, and initial RT-PCR analyses of brain CB1 and CB2 mRNAs, also support the expression of brain CB2 receptor transcripts at levels much lower than those of CB1 receptors. CB2 cannabinoid receptor mRNA was clearly expressed in the cerebellum of wild type but not in CB2 knockout mice. CB2 immunostaining was detected in the interpolar part of spinal 5th nucleus of wild type but not in CB2 knockout mice, using a mouse C-terminal CB2 receptor antibody. Immunohistochemical analyses revealed abundant immunostaining for CB2 receptors in apparent neuronal and glial processes in a number of rat brain areas. Cerebellar Purkinje cells and hippocampal pyramidal cells revealed substantial immunoreactivity that was absent when sections were stained with preadsorbed sera. CB2 immunoreactivity was also observed in olfactory tubercle, islands of Calleja, cerebral cortex, striatum, thalamic nuclei, hippocampus, amygdala, substantia nigra, periaqueductal gray, paratrochlear nucleus, paralemniscal nucleus, red nucleus, pontine nuclei, inferior colliculus and the parvocellular portion of the medial vestibular nucleus. In-vitro, CB2 immunoreactivity was also present in hippocampal cell cultures. The multifocal expression of CB2 immunoreactivity in glial and neuronal patterns in a number of brain regions suggests reevaluation of the possible roles that CB2 receptors may play in the brain.","container-title":"Brain Research","DOI":"10.1016/j.brainres.2005.11.035","ISSN":"00068993","issue":"1","journalAbbreviation":"Brain Research","language":"en","page":"10-23","source":"DOI.org (Crossref)","title":"Cannabinoid CB2 receptors: Immunohistochemical localization in rat brain","title-short":"Cannabinoid CB2 receptors","volume":"1071","author":[{"family":"Gong","given":"Jian-Ping"},{"family":"Onaivi","given":"Emmanuel S."},{"family":"Ishiguro","given":"Hiroki"},{"family":"Liu","given":"Qing-Rong"},{"family":"Tagliaferro","given":"Patricia A."},{"family":"Brusco","given":"Alicia"},{"family":"Uhl","given":"George R."}],"issued":{"date-parts":[["2006",2]]}}}],"schema":"https://github.com/citation-style-language/schema/raw/master/csl-citation.json"}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rPr>
              <w:t>41</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eastAsia="fr-FR"/>
              </w:rPr>
              <w:t xml:space="preserve">  </w:t>
            </w:r>
            <w:proofErr w:type="spellStart"/>
            <w:r w:rsidRPr="00F31719">
              <w:rPr>
                <w:rFonts w:ascii="Calibri" w:eastAsia="Times New Roman" w:hAnsi="Calibri" w:cs="Calibri"/>
                <w:color w:val="000000"/>
                <w:sz w:val="12"/>
                <w:szCs w:val="12"/>
                <w:lang w:eastAsia="fr-FR"/>
              </w:rPr>
              <w:t>with</w:t>
            </w:r>
            <w:proofErr w:type="spellEnd"/>
            <w:r w:rsidRPr="00F31719">
              <w:rPr>
                <w:rFonts w:ascii="Calibri" w:eastAsia="Times New Roman" w:hAnsi="Calibri" w:cs="Calibri"/>
                <w:color w:val="000000"/>
                <w:sz w:val="12"/>
                <w:szCs w:val="12"/>
                <w:lang w:eastAsia="fr-FR"/>
              </w:rPr>
              <w:t xml:space="preserve"> antibodies A and u.</w:t>
            </w:r>
          </w:p>
        </w:tc>
        <w:tc>
          <w:tcPr>
            <w:tcW w:w="3686" w:type="dxa"/>
            <w:shd w:val="clear" w:color="auto" w:fill="auto"/>
            <w:vAlign w:val="center"/>
            <w:hideMark/>
          </w:tcPr>
          <w:p w14:paraId="05535F91"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b/>
                <w:bCs/>
                <w:color w:val="00B050"/>
                <w:sz w:val="12"/>
                <w:szCs w:val="12"/>
                <w:lang w:val="en-US" w:eastAsia="fr-FR"/>
              </w:rPr>
              <w:t>PHYSIOLOGICAL</w:t>
            </w:r>
            <w:r w:rsidRPr="00F31719">
              <w:rPr>
                <w:rFonts w:ascii="Calibri" w:eastAsia="Times New Roman" w:hAnsi="Calibri" w:cs="Calibri"/>
                <w:color w:val="000000"/>
                <w:sz w:val="12"/>
                <w:szCs w:val="12"/>
                <w:lang w:val="en-US" w:eastAsia="fr-FR"/>
              </w:rPr>
              <w:t xml:space="preserve"> : Iba1-positive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{"citationID":"UIsHZGqt","properties":{"formattedCitation":"\\super 38\\nosupersub{}","plainCitation":"38","noteIndex":0},"citationItems":[{"id":411,"uris":["http://zotero.org/users/5359331/items/5SABF7BS"],"itemData":{"id":411,"type":"article-journal","abstract":"Background: Activated microglial cells have been implicated in a number of neurodegenerative disorders, including Alzheimer's disease (AD), multiple sclerosis (MS), and HIV dementia. It is well known that inflammatory mediators such as nitric oxide (NO), cytokines, and chemokines play an important role in microglial cell-associated neuron cell damage. Our previous studies have shown that CD40 signaling is involved in pathological activation of microglial cells. Many data reveal that cannabinoids mediate suppression of inflammation in vitro and in vivo through stimulation of cannabinoid receptor 2 (CB2).","container-title":"Journal of Neuroinflammation","DOI":"10.1186/1742-2094-2-29","ISSN":"17422094","issue":"1","journalAbbreviation":"J Neuroinflammation","language":"en","page":"29","source":"DOI.org (Crossref)","title":"[No title found]","volume":"2","author":[{"family":"Ehrhart","given":"Jared"},{"family":"Obregon","given":"Demian"},{"family":"Mori","given":"Takashi"},{"family":"Hou","given":"Huayan"},{"family":"Sun","given":"Nan"},{"family":"Bai","given":"Yun"},{"family":"Klein","given":"Thomas"},{"family":"Fernandez","given":"Francisco"},{"family":"Tan","given":"Jun"},{"family":"Shytle","given":"R"}],"issued":{"date-parts":[["2005"]]}}}],"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38</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Q. </w:t>
            </w:r>
            <w:r w:rsidRPr="00F31719">
              <w:rPr>
                <w:rFonts w:ascii="Calibri" w:eastAsia="Times New Roman" w:hAnsi="Calibri" w:cs="Calibri"/>
                <w:b/>
                <w:bCs/>
                <w:color w:val="FF0000"/>
                <w:sz w:val="12"/>
                <w:szCs w:val="12"/>
                <w:lang w:val="en-US" w:eastAsia="fr-FR"/>
              </w:rPr>
              <w:t>PATHOLOGICAL</w:t>
            </w:r>
            <w:r w:rsidRPr="00F31719">
              <w:rPr>
                <w:rFonts w:ascii="Calibri" w:eastAsia="Times New Roman" w:hAnsi="Calibri" w:cs="Calibri"/>
                <w:color w:val="000000"/>
                <w:sz w:val="12"/>
                <w:szCs w:val="12"/>
                <w:lang w:val="en-US" w:eastAsia="fr-FR"/>
              </w:rPr>
              <w:t xml:space="preserve"> : MDMA induced neuroinflammation in rat, CD11b-positive cells</w:t>
            </w:r>
            <w:r w:rsidRPr="00F31719">
              <w:rPr>
                <w:rFonts w:ascii="Calibri" w:eastAsia="Times New Roman" w:hAnsi="Calibri" w:cs="Calibri"/>
                <w:color w:val="000000"/>
                <w:sz w:val="12"/>
                <w:szCs w:val="12"/>
                <w:lang w:val="en-US" w:eastAsia="fr-FR"/>
              </w:rPr>
              <w:fldChar w:fldCharType="begin"/>
            </w:r>
            <w:r w:rsidRPr="00F31719">
              <w:rPr>
                <w:rFonts w:ascii="Calibri" w:eastAsia="Times New Roman" w:hAnsi="Calibri" w:cs="Calibri"/>
                <w:color w:val="000000"/>
                <w:sz w:val="12"/>
                <w:szCs w:val="12"/>
                <w:lang w:val="en-US" w:eastAsia="fr-FR"/>
              </w:rPr>
              <w:instrText xml:space="preserve"> ADDIN ZOTERO_ITEM CSL_CITATION {"citationID":"jcRqBpv4","properties":{"formattedCitation":"\\super 92\\nosupersub{}","plainCitation":"92","noteIndex":0},"citationItems":[{"id":329,"uris":["http://zotero.org/users/5359331/items/YESUEAHZ"],"itemData":{"id":329,"type":"article-journal","abstract":"J. Neurochem. (2010) 10.1111/j.1471-4159.2010.06578.x Abstract 3,4-Methylenedioxymethamphetamine (MDMA, ‘ecstasy’) produces selective long-lasting serotonergic neurotoxicity in rats. The drug also produces acute hyperthermia which modulates the severity of the neurotoxic response. In addition, MDMA produces signs of neuroinflammation reflected as microglial activation and an increase in the release of interleukin-1β, the latter of which appears to be a consequence of the hyperthermic response and to be implicated in the neurotoxicity induced by the drug. Over-expression of the cannabinoid CB2 receptor in microglia during non-immune and immune pathological conditions is thought to be aimed at controlling the production of neurotoxic factors such as proinflammatory cytokines. Our objective was to study the pattern of CB2 receptor expression following MDMA and to examine the effect of JWH-015 (a CB2 agonist) on the MDMA-induced neuroinflammatory response as well as 5-hydroxytryptamine (5-HT) neurotoxicity. Adult Dark Agouti rats were given MDMA (12.5 mg/kg, i.p.) and killed 3 h or 24 h later for the determination of CB2 receptor expression. JWH-015 was given 48 h, 24 h and 0.5 h before MDMA and 1 h and/or 6 h later and animals were killed for the determination of microglial activation (3 h and 24 h) and 5-HT neurotoxicity (7 days). MDMA increased CB2 receptor expression shortly after administration and these receptors were found in microglia. JWH-015 decreased MDMA-induced microglial activation and interleukin-1β release and slightly decreased MDMA-induced 5-HT neurotoxicity. In conclusion, CB2 receptor activation reduces the neuroinflammatory response following MDMA and provides partial neuroprotection against the drug.","container-title":"Journal of Neurochemistry","DOI":"10.1111/j.1471-4159.2010.06578.x","ISSN":"1471-4159","issue":"1","language":"en","note":"_eprint: https://onlinelibrary.wiley.com/doi/pdf/10.1111/j.1471-4159.2010.06578.x","page":"67-78","source":"Wiley Online Library","title":"Evidence that MDMA (‘ecstasy’) increases cannabinoid CB2 receptor expression in microglial cells: role in the neuroinflammatory response in rat brain","title-short":"Evidence that MDMA (‘ecstasy’) increases cannabinoid CB2 receptor expression in microglial cells","volume":"113","author":[{"family":"Torres","given":"Elisa"},{"family":"Gutierrez‐Lopez","given":"Maria Dolores"},{"family":"Borcel","given":"Erika"},{"family":"Peraile","given":"Ines"},{"family":"Mayado","given":"Andrea"},{"family":"O’Shea","given":"Esther"},{"family":"Colado","given":"Maria Isabel"}],"issued":{"date-parts":[["2010"]]}}}],"schema":"https://github.com/citation-style-language/schema/raw/master/csl-citation.json"} </w:instrText>
            </w:r>
            <w:r w:rsidRPr="00F31719">
              <w:rPr>
                <w:rFonts w:ascii="Calibri" w:eastAsia="Times New Roman" w:hAnsi="Calibri" w:cs="Calibri"/>
                <w:color w:val="000000"/>
                <w:sz w:val="12"/>
                <w:szCs w:val="12"/>
                <w:lang w:val="en-US" w:eastAsia="fr-FR"/>
              </w:rPr>
              <w:fldChar w:fldCharType="separate"/>
            </w:r>
            <w:r w:rsidRPr="00F31719">
              <w:rPr>
                <w:rFonts w:ascii="Calibri" w:hAnsi="Calibri" w:cs="Calibri"/>
                <w:color w:val="000000"/>
                <w:sz w:val="12"/>
                <w:vertAlign w:val="superscript"/>
                <w:lang w:val="en-US"/>
              </w:rPr>
              <w:t>92</w:t>
            </w:r>
            <w:r w:rsidRPr="00F31719">
              <w:rPr>
                <w:rFonts w:ascii="Calibri" w:eastAsia="Times New Roman" w:hAnsi="Calibri" w:cs="Calibri"/>
                <w:color w:val="000000"/>
                <w:sz w:val="12"/>
                <w:szCs w:val="12"/>
                <w:lang w:val="en-US" w:eastAsia="fr-FR"/>
              </w:rPr>
              <w:fldChar w:fldCharType="end"/>
            </w:r>
            <w:r w:rsidRPr="00F31719">
              <w:rPr>
                <w:rFonts w:ascii="Calibri" w:eastAsia="Times New Roman" w:hAnsi="Calibri" w:cs="Calibri"/>
                <w:color w:val="000000"/>
                <w:sz w:val="12"/>
                <w:szCs w:val="12"/>
                <w:lang w:val="en-US" w:eastAsia="fr-FR"/>
              </w:rPr>
              <w:t xml:space="preserve"> with antibody B.</w:t>
            </w:r>
          </w:p>
        </w:tc>
        <w:tc>
          <w:tcPr>
            <w:tcW w:w="2409" w:type="dxa"/>
            <w:shd w:val="clear" w:color="auto" w:fill="auto"/>
            <w:vAlign w:val="center"/>
            <w:hideMark/>
          </w:tcPr>
          <w:p w14:paraId="6A85E5AF"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c>
          <w:tcPr>
            <w:tcW w:w="2268" w:type="dxa"/>
            <w:shd w:val="clear" w:color="auto" w:fill="auto"/>
            <w:vAlign w:val="center"/>
            <w:hideMark/>
          </w:tcPr>
          <w:p w14:paraId="2DC96AA1" w14:textId="77777777" w:rsidR="00016CB7" w:rsidRPr="00F31719" w:rsidRDefault="00016CB7" w:rsidP="00DC119E">
            <w:pPr>
              <w:spacing w:after="0" w:line="240" w:lineRule="auto"/>
              <w:jc w:val="center"/>
              <w:rPr>
                <w:rFonts w:ascii="Calibri" w:eastAsia="Times New Roman" w:hAnsi="Calibri" w:cs="Calibri"/>
                <w:color w:val="000000"/>
                <w:sz w:val="12"/>
                <w:szCs w:val="12"/>
                <w:lang w:val="en-US" w:eastAsia="fr-FR"/>
              </w:rPr>
            </w:pPr>
            <w:r w:rsidRPr="00F31719">
              <w:rPr>
                <w:rFonts w:ascii="Calibri" w:eastAsia="Times New Roman" w:hAnsi="Calibri" w:cs="Calibri"/>
                <w:color w:val="000000"/>
                <w:sz w:val="12"/>
                <w:szCs w:val="12"/>
                <w:lang w:val="en-US" w:eastAsia="fr-FR"/>
              </w:rPr>
              <w:t> </w:t>
            </w:r>
          </w:p>
        </w:tc>
      </w:tr>
    </w:tbl>
    <w:p w14:paraId="2DBA7A57" w14:textId="77777777" w:rsidR="00016CB7" w:rsidRPr="00F31719" w:rsidRDefault="00016CB7" w:rsidP="00016CB7">
      <w:pPr>
        <w:jc w:val="both"/>
        <w:rPr>
          <w:rFonts w:cstheme="minorHAnsi"/>
          <w:color w:val="000000" w:themeColor="text1"/>
          <w:sz w:val="18"/>
          <w:szCs w:val="18"/>
          <w:lang w:val="en-US"/>
        </w:rPr>
      </w:pPr>
    </w:p>
    <w:p w14:paraId="65F42914" w14:textId="77777777" w:rsidR="00016CB7" w:rsidRPr="00F31719" w:rsidRDefault="00016CB7" w:rsidP="00016CB7">
      <w:pPr>
        <w:jc w:val="both"/>
        <w:rPr>
          <w:rFonts w:eastAsia="Times New Roman" w:cstheme="minorHAnsi"/>
          <w:color w:val="000000" w:themeColor="text1"/>
          <w:sz w:val="18"/>
          <w:szCs w:val="18"/>
          <w:lang w:val="en-US" w:eastAsia="fr-FR"/>
        </w:rPr>
      </w:pPr>
      <w:r w:rsidRPr="00F31719">
        <w:rPr>
          <w:rFonts w:cstheme="minorHAnsi"/>
          <w:color w:val="000000" w:themeColor="text1"/>
          <w:sz w:val="18"/>
          <w:szCs w:val="18"/>
          <w:lang w:val="en-US"/>
        </w:rPr>
        <w:t xml:space="preserve">Regions where CB2R protein has been detected with antibodies that have not been fully validated in both physiological and pathological conditions are listed in the table. Abbreviations: </w:t>
      </w:r>
      <w:r w:rsidRPr="00F31719">
        <w:rPr>
          <w:rFonts w:eastAsia="Times New Roman" w:cstheme="minorHAnsi"/>
          <w:color w:val="000000" w:themeColor="text1"/>
          <w:sz w:val="18"/>
          <w:szCs w:val="18"/>
          <w:shd w:val="clear" w:color="auto" w:fill="FFFFFF"/>
          <w:lang w:val="en-US" w:eastAsia="fr-FR"/>
        </w:rPr>
        <w:t>AD, Alzheimer’s Disease</w:t>
      </w:r>
      <w:r w:rsidRPr="00F31719">
        <w:rPr>
          <w:rFonts w:cstheme="minorHAnsi"/>
          <w:color w:val="000000" w:themeColor="text1"/>
          <w:sz w:val="18"/>
          <w:szCs w:val="18"/>
          <w:lang w:val="en-US"/>
        </w:rPr>
        <w:t xml:space="preserve">; </w:t>
      </w:r>
      <w:r w:rsidRPr="00F31719">
        <w:rPr>
          <w:rFonts w:eastAsia="Times New Roman" w:cstheme="minorHAnsi"/>
          <w:color w:val="000000" w:themeColor="text1"/>
          <w:sz w:val="18"/>
          <w:szCs w:val="18"/>
          <w:shd w:val="clear" w:color="auto" w:fill="FFFFFF"/>
          <w:lang w:val="en-US" w:eastAsia="fr-FR"/>
        </w:rPr>
        <w:t xml:space="preserve">CA, </w:t>
      </w:r>
      <w:proofErr w:type="spellStart"/>
      <w:r w:rsidRPr="00F31719">
        <w:rPr>
          <w:rFonts w:eastAsia="Times New Roman" w:cstheme="minorHAnsi"/>
          <w:color w:val="000000" w:themeColor="text1"/>
          <w:sz w:val="18"/>
          <w:szCs w:val="18"/>
          <w:shd w:val="clear" w:color="auto" w:fill="FFFFFF"/>
          <w:lang w:val="en-US" w:eastAsia="fr-FR"/>
        </w:rPr>
        <w:t>cornu</w:t>
      </w:r>
      <w:proofErr w:type="spellEnd"/>
      <w:r w:rsidRPr="00F31719">
        <w:rPr>
          <w:rFonts w:eastAsia="Times New Roman" w:cstheme="minorHAnsi"/>
          <w:color w:val="000000" w:themeColor="text1"/>
          <w:sz w:val="18"/>
          <w:szCs w:val="18"/>
          <w:shd w:val="clear" w:color="auto" w:fill="FFFFFF"/>
          <w:lang w:val="en-US" w:eastAsia="fr-FR"/>
        </w:rPr>
        <w:t xml:space="preserve"> </w:t>
      </w:r>
      <w:proofErr w:type="spellStart"/>
      <w:r w:rsidRPr="00F31719">
        <w:rPr>
          <w:rFonts w:eastAsia="Times New Roman" w:cstheme="minorHAnsi"/>
          <w:color w:val="000000" w:themeColor="text1"/>
          <w:sz w:val="18"/>
          <w:szCs w:val="18"/>
          <w:shd w:val="clear" w:color="auto" w:fill="FFFFFF"/>
          <w:lang w:val="en-US" w:eastAsia="fr-FR"/>
        </w:rPr>
        <w:t>ammonis</w:t>
      </w:r>
      <w:proofErr w:type="spellEnd"/>
      <w:r w:rsidRPr="00F31719">
        <w:rPr>
          <w:rFonts w:cstheme="minorHAnsi"/>
          <w:color w:val="000000" w:themeColor="text1"/>
          <w:sz w:val="18"/>
          <w:szCs w:val="18"/>
          <w:lang w:val="en-US"/>
        </w:rPr>
        <w:t xml:space="preserve">; CB2R, cannabinoid receptor type 2; </w:t>
      </w:r>
      <w:r w:rsidRPr="00F31719">
        <w:rPr>
          <w:rFonts w:eastAsia="Times New Roman" w:cstheme="minorHAnsi"/>
          <w:color w:val="000000" w:themeColor="text1"/>
          <w:sz w:val="18"/>
          <w:szCs w:val="18"/>
          <w:shd w:val="clear" w:color="auto" w:fill="FFFFFF"/>
          <w:lang w:val="en-US" w:eastAsia="fr-FR"/>
        </w:rPr>
        <w:t>CD, cluster differentiation; DG, Dentate Gyrus</w:t>
      </w:r>
      <w:r w:rsidRPr="00F31719">
        <w:rPr>
          <w:rFonts w:cstheme="minorHAnsi"/>
          <w:color w:val="000000" w:themeColor="text1"/>
          <w:sz w:val="18"/>
          <w:szCs w:val="18"/>
          <w:lang w:val="en-US"/>
        </w:rPr>
        <w:t xml:space="preserve">; mRNA, </w:t>
      </w:r>
      <w:r w:rsidRPr="00F31719">
        <w:rPr>
          <w:rFonts w:eastAsia="Times New Roman" w:cstheme="minorHAnsi"/>
          <w:color w:val="000000" w:themeColor="text1"/>
          <w:sz w:val="18"/>
          <w:szCs w:val="18"/>
          <w:shd w:val="clear" w:color="auto" w:fill="FFFFFF"/>
          <w:lang w:val="en-US" w:eastAsia="fr-FR"/>
        </w:rPr>
        <w:t xml:space="preserve">messenger ribonucleic acid ; GFAP, Glial fibrillary acidic protein; </w:t>
      </w:r>
      <w:r w:rsidRPr="00F31719">
        <w:rPr>
          <w:rFonts w:eastAsia="Times New Roman" w:cstheme="minorHAnsi"/>
          <w:color w:val="000000" w:themeColor="text1"/>
          <w:sz w:val="18"/>
          <w:szCs w:val="18"/>
          <w:lang w:val="en-US" w:eastAsia="fr-FR"/>
        </w:rPr>
        <w:t>HD, Huntington’s Disease</w:t>
      </w:r>
      <w:r w:rsidRPr="00F31719">
        <w:rPr>
          <w:rFonts w:eastAsia="Times New Roman" w:cstheme="minorHAnsi"/>
          <w:color w:val="000000" w:themeColor="text1"/>
          <w:sz w:val="18"/>
          <w:szCs w:val="18"/>
          <w:shd w:val="clear" w:color="auto" w:fill="FFFFFF"/>
          <w:lang w:val="en-US" w:eastAsia="fr-FR"/>
        </w:rPr>
        <w:t>;</w:t>
      </w:r>
      <w:r w:rsidRPr="00F31719">
        <w:rPr>
          <w:rFonts w:eastAsia="Times New Roman" w:cstheme="minorHAnsi"/>
          <w:color w:val="000000" w:themeColor="text1"/>
          <w:sz w:val="18"/>
          <w:szCs w:val="18"/>
          <w:lang w:val="en-US" w:eastAsia="fr-FR"/>
        </w:rPr>
        <w:t xml:space="preserve"> HLA-DR, Human Leukocyte Antigen – DR isotype;</w:t>
      </w:r>
      <w:r w:rsidRPr="00F31719">
        <w:rPr>
          <w:rFonts w:eastAsia="Times New Roman" w:cstheme="minorHAnsi"/>
          <w:color w:val="000000" w:themeColor="text1"/>
          <w:sz w:val="18"/>
          <w:szCs w:val="18"/>
          <w:shd w:val="clear" w:color="auto" w:fill="FFFFFF"/>
          <w:lang w:val="en-US" w:eastAsia="fr-FR"/>
        </w:rPr>
        <w:t xml:space="preserve"> Iba1, ionized calcium-binding adapter molecule 1; MDMA, 3,4-Methyl​</w:t>
      </w:r>
      <w:proofErr w:type="spellStart"/>
      <w:r w:rsidRPr="00F31719">
        <w:rPr>
          <w:rFonts w:eastAsia="Times New Roman" w:cstheme="minorHAnsi"/>
          <w:color w:val="000000" w:themeColor="text1"/>
          <w:sz w:val="18"/>
          <w:szCs w:val="18"/>
          <w:shd w:val="clear" w:color="auto" w:fill="FFFFFF"/>
          <w:lang w:val="en-US" w:eastAsia="fr-FR"/>
        </w:rPr>
        <w:t>enedioxy</w:t>
      </w:r>
      <w:proofErr w:type="spellEnd"/>
      <w:r w:rsidRPr="00F31719">
        <w:rPr>
          <w:rFonts w:eastAsia="Times New Roman" w:cstheme="minorHAnsi"/>
          <w:color w:val="000000" w:themeColor="text1"/>
          <w:sz w:val="18"/>
          <w:szCs w:val="18"/>
          <w:shd w:val="clear" w:color="auto" w:fill="FFFFFF"/>
          <w:lang w:val="en-US" w:eastAsia="fr-FR"/>
        </w:rPr>
        <w:t>​methamphetamine; MS, Multiple Sclerosis</w:t>
      </w:r>
      <w:r w:rsidRPr="00F31719" w:rsidDel="000923CD">
        <w:rPr>
          <w:rFonts w:eastAsia="Times New Roman" w:cstheme="minorHAnsi"/>
          <w:color w:val="000000" w:themeColor="text1"/>
          <w:sz w:val="18"/>
          <w:szCs w:val="18"/>
          <w:shd w:val="clear" w:color="auto" w:fill="FFFFFF"/>
          <w:lang w:val="en-US" w:eastAsia="fr-FR"/>
        </w:rPr>
        <w:t xml:space="preserve"> </w:t>
      </w:r>
      <w:r w:rsidRPr="00F31719">
        <w:rPr>
          <w:rFonts w:eastAsia="Times New Roman" w:cstheme="minorHAnsi"/>
          <w:color w:val="000000" w:themeColor="text1"/>
          <w:sz w:val="18"/>
          <w:szCs w:val="18"/>
          <w:shd w:val="clear" w:color="auto" w:fill="FFFFFF"/>
          <w:lang w:val="en-US" w:eastAsia="fr-FR"/>
        </w:rPr>
        <w:t xml:space="preserve">; </w:t>
      </w:r>
      <w:proofErr w:type="spellStart"/>
      <w:r w:rsidRPr="00F31719">
        <w:rPr>
          <w:rFonts w:eastAsia="Times New Roman" w:cstheme="minorHAnsi"/>
          <w:color w:val="000000" w:themeColor="text1"/>
          <w:sz w:val="18"/>
          <w:szCs w:val="18"/>
          <w:lang w:val="en-US" w:eastAsia="fr-FR"/>
        </w:rPr>
        <w:t>NeuN</w:t>
      </w:r>
      <w:proofErr w:type="spellEnd"/>
      <w:r w:rsidRPr="00F31719">
        <w:rPr>
          <w:rFonts w:eastAsia="Times New Roman" w:cstheme="minorHAnsi"/>
          <w:color w:val="000000" w:themeColor="text1"/>
          <w:sz w:val="18"/>
          <w:szCs w:val="18"/>
          <w:lang w:val="en-US" w:eastAsia="fr-FR"/>
        </w:rPr>
        <w:t xml:space="preserve">, neuronal nuclei; </w:t>
      </w:r>
      <w:r w:rsidRPr="00F31719">
        <w:rPr>
          <w:rFonts w:eastAsia="Times New Roman" w:cstheme="minorHAnsi"/>
          <w:color w:val="000000" w:themeColor="text1"/>
          <w:sz w:val="18"/>
          <w:szCs w:val="18"/>
          <w:shd w:val="clear" w:color="auto" w:fill="FFFFFF"/>
          <w:lang w:val="en-US" w:eastAsia="fr-FR"/>
        </w:rPr>
        <w:t xml:space="preserve">NHP, non-human primate; NSE, Neuron Specific Enolase; </w:t>
      </w:r>
      <w:r w:rsidRPr="00F31719">
        <w:rPr>
          <w:rFonts w:eastAsia="Times New Roman" w:cstheme="minorHAnsi"/>
          <w:color w:val="000000" w:themeColor="text1"/>
          <w:sz w:val="18"/>
          <w:szCs w:val="18"/>
          <w:lang w:val="en-US" w:eastAsia="fr-FR"/>
        </w:rPr>
        <w:t xml:space="preserve">PD, Parkinson’s Disease; </w:t>
      </w:r>
      <w:r w:rsidRPr="00F31719">
        <w:rPr>
          <w:rFonts w:eastAsia="Times New Roman" w:cstheme="minorHAnsi"/>
          <w:color w:val="000000" w:themeColor="text1"/>
          <w:sz w:val="18"/>
          <w:szCs w:val="18"/>
          <w:shd w:val="clear" w:color="auto" w:fill="FFFFFF"/>
          <w:lang w:val="en-US" w:eastAsia="fr-FR"/>
        </w:rPr>
        <w:t xml:space="preserve">TH, tyrosine hydroxylase; TLE, Temporal Lobe Epilepsy. </w:t>
      </w:r>
      <w:r w:rsidRPr="00F31719">
        <w:rPr>
          <w:rFonts w:cstheme="minorHAnsi"/>
          <w:b/>
          <w:bCs/>
          <w:sz w:val="16"/>
          <w:szCs w:val="16"/>
          <w:lang w:val="en-US"/>
        </w:rPr>
        <w:br w:type="page"/>
      </w:r>
    </w:p>
    <w:p w14:paraId="62D8DD6C" w14:textId="77777777" w:rsidR="00016CB7" w:rsidRPr="00F31719" w:rsidRDefault="00016CB7" w:rsidP="00016CB7">
      <w:pPr>
        <w:rPr>
          <w:rFonts w:cstheme="minorHAnsi"/>
          <w:b/>
          <w:bCs/>
          <w:lang w:val="en-US"/>
        </w:rPr>
      </w:pPr>
      <w:r w:rsidRPr="00F31719">
        <w:rPr>
          <w:rFonts w:cstheme="minorHAnsi"/>
          <w:b/>
          <w:bCs/>
          <w:lang w:val="en-US"/>
        </w:rPr>
        <w:t xml:space="preserve">Supplementary Table 3: </w:t>
      </w:r>
      <w:r w:rsidRPr="00F31719">
        <w:rPr>
          <w:b/>
          <w:bCs/>
          <w:lang w:val="en-US"/>
        </w:rPr>
        <w:t>Brain regions where CB2R protein, but not mRNA, was detected</w:t>
      </w:r>
      <w:r w:rsidRPr="00F31719">
        <w:rPr>
          <w:rFonts w:cstheme="minorHAnsi"/>
          <w:b/>
          <w:bCs/>
          <w:lang w:val="en-US"/>
        </w:rPr>
        <w:t xml:space="preserve"> using unvalidated antibodies.  </w:t>
      </w:r>
    </w:p>
    <w:tbl>
      <w:tblPr>
        <w:tblpPr w:leftFromText="141" w:rightFromText="141" w:vertAnchor="page" w:horzAnchor="margin" w:tblpY="1861"/>
        <w:tblW w:w="1074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2544"/>
        <w:gridCol w:w="2914"/>
        <w:gridCol w:w="2549"/>
        <w:gridCol w:w="2733"/>
      </w:tblGrid>
      <w:tr w:rsidR="00016CB7" w:rsidRPr="00B845EF" w14:paraId="53F306F8" w14:textId="77777777" w:rsidTr="00DC119E">
        <w:trPr>
          <w:trHeight w:val="955"/>
        </w:trPr>
        <w:tc>
          <w:tcPr>
            <w:tcW w:w="2544" w:type="dxa"/>
            <w:shd w:val="clear" w:color="auto" w:fill="auto"/>
            <w:vAlign w:val="center"/>
            <w:hideMark/>
          </w:tcPr>
          <w:p w14:paraId="34B36D6C"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val="en-US" w:eastAsia="fr-FR"/>
              </w:rPr>
            </w:pPr>
            <w:r w:rsidRPr="00F31719">
              <w:rPr>
                <w:rFonts w:ascii="Calibri" w:eastAsia="Times New Roman" w:hAnsi="Calibri" w:cs="Calibri"/>
                <w:b/>
                <w:bCs/>
                <w:color w:val="000000"/>
                <w:sz w:val="16"/>
                <w:szCs w:val="16"/>
                <w:lang w:val="en-US" w:eastAsia="fr-FR"/>
              </w:rPr>
              <w:t xml:space="preserve">REGIONS </w:t>
            </w:r>
          </w:p>
        </w:tc>
        <w:tc>
          <w:tcPr>
            <w:tcW w:w="2914" w:type="dxa"/>
            <w:shd w:val="clear" w:color="auto" w:fill="auto"/>
            <w:vAlign w:val="center"/>
            <w:hideMark/>
          </w:tcPr>
          <w:p w14:paraId="6279A55E"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val="en-US" w:eastAsia="fr-FR"/>
              </w:rPr>
            </w:pPr>
            <w:r w:rsidRPr="00F31719">
              <w:rPr>
                <w:rFonts w:ascii="Calibri" w:eastAsia="Times New Roman" w:hAnsi="Calibri" w:cs="Calibri"/>
                <w:b/>
                <w:bCs/>
                <w:color w:val="000000"/>
                <w:sz w:val="16"/>
                <w:szCs w:val="16"/>
                <w:lang w:val="en-US" w:eastAsia="fr-FR"/>
              </w:rPr>
              <w:t>NEURONS</w:t>
            </w:r>
          </w:p>
        </w:tc>
        <w:tc>
          <w:tcPr>
            <w:tcW w:w="2549" w:type="dxa"/>
            <w:shd w:val="clear" w:color="auto" w:fill="auto"/>
            <w:vAlign w:val="center"/>
            <w:hideMark/>
          </w:tcPr>
          <w:p w14:paraId="6FC9FEE2"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val="en-US" w:eastAsia="fr-FR"/>
              </w:rPr>
            </w:pPr>
            <w:r w:rsidRPr="00F31719">
              <w:rPr>
                <w:rFonts w:ascii="Calibri" w:eastAsia="Times New Roman" w:hAnsi="Calibri" w:cs="Calibri"/>
                <w:b/>
                <w:bCs/>
                <w:color w:val="000000"/>
                <w:sz w:val="16"/>
                <w:szCs w:val="16"/>
                <w:lang w:val="en-US" w:eastAsia="fr-FR"/>
              </w:rPr>
              <w:t>ASTROCYTES</w:t>
            </w:r>
          </w:p>
        </w:tc>
        <w:tc>
          <w:tcPr>
            <w:tcW w:w="2733" w:type="dxa"/>
            <w:shd w:val="clear" w:color="auto" w:fill="auto"/>
            <w:vAlign w:val="center"/>
            <w:hideMark/>
          </w:tcPr>
          <w:p w14:paraId="334407FB" w14:textId="77777777" w:rsidR="00016CB7" w:rsidRPr="00F31719" w:rsidRDefault="00016CB7" w:rsidP="00DC119E">
            <w:pPr>
              <w:spacing w:after="0" w:line="240" w:lineRule="auto"/>
              <w:jc w:val="center"/>
              <w:rPr>
                <w:rFonts w:ascii="Calibri" w:eastAsia="Times New Roman" w:hAnsi="Calibri" w:cs="Calibri"/>
                <w:b/>
                <w:bCs/>
                <w:color w:val="000000"/>
                <w:sz w:val="16"/>
                <w:szCs w:val="16"/>
                <w:lang w:val="en-US" w:eastAsia="fr-FR"/>
              </w:rPr>
            </w:pPr>
            <w:r w:rsidRPr="00F31719">
              <w:rPr>
                <w:rFonts w:ascii="Calibri" w:eastAsia="Times New Roman" w:hAnsi="Calibri" w:cs="Calibri"/>
                <w:b/>
                <w:bCs/>
                <w:color w:val="000000"/>
                <w:sz w:val="16"/>
                <w:szCs w:val="16"/>
                <w:lang w:val="en-US" w:eastAsia="fr-FR"/>
              </w:rPr>
              <w:t>OTHER CELLS</w:t>
            </w:r>
          </w:p>
        </w:tc>
      </w:tr>
      <w:tr w:rsidR="00016CB7" w:rsidRPr="007D6742" w14:paraId="0D89C6D4" w14:textId="77777777" w:rsidTr="00DC119E">
        <w:trPr>
          <w:trHeight w:val="310"/>
        </w:trPr>
        <w:tc>
          <w:tcPr>
            <w:tcW w:w="2544" w:type="dxa"/>
            <w:shd w:val="clear" w:color="auto" w:fill="auto"/>
            <w:vAlign w:val="center"/>
            <w:hideMark/>
          </w:tcPr>
          <w:p w14:paraId="2D5F2951"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 xml:space="preserve">COCHLEA </w:t>
            </w:r>
          </w:p>
        </w:tc>
        <w:tc>
          <w:tcPr>
            <w:tcW w:w="2914" w:type="dxa"/>
            <w:shd w:val="clear" w:color="auto" w:fill="auto"/>
            <w:vAlign w:val="center"/>
            <w:hideMark/>
          </w:tcPr>
          <w:p w14:paraId="36C0DE5F" w14:textId="77777777" w:rsidR="00016CB7" w:rsidRPr="00F31719" w:rsidRDefault="00016CB7" w:rsidP="00DC119E">
            <w:pPr>
              <w:spacing w:after="0" w:line="240" w:lineRule="auto"/>
              <w:jc w:val="center"/>
              <w:rPr>
                <w:rFonts w:ascii="Calibri" w:eastAsia="Times New Roman" w:hAnsi="Calibri" w:cs="Calibri"/>
                <w:color w:val="000000"/>
                <w:sz w:val="13"/>
                <w:szCs w:val="13"/>
                <w:lang w:val="en-US" w:eastAsia="fr-FR"/>
              </w:rPr>
            </w:pPr>
            <w:r w:rsidRPr="00F31719">
              <w:rPr>
                <w:rFonts w:ascii="Calibri" w:eastAsia="Times New Roman" w:hAnsi="Calibri" w:cs="Calibri"/>
                <w:color w:val="000000"/>
                <w:sz w:val="13"/>
                <w:szCs w:val="13"/>
                <w:lang w:val="en-US" w:eastAsia="fr-FR"/>
              </w:rPr>
              <w:t>Outer and inner hair cells</w:t>
            </w:r>
            <w:r w:rsidRPr="00F31719">
              <w:rPr>
                <w:rFonts w:ascii="Calibri" w:eastAsia="Times New Roman" w:hAnsi="Calibri" w:cs="Calibri"/>
                <w:color w:val="000000"/>
                <w:sz w:val="13"/>
                <w:szCs w:val="13"/>
                <w:lang w:val="en-US" w:eastAsia="fr-FR"/>
              </w:rPr>
              <w:fldChar w:fldCharType="begin"/>
            </w:r>
            <w:r w:rsidRPr="00F31719">
              <w:rPr>
                <w:rFonts w:ascii="Calibri" w:eastAsia="Times New Roman" w:hAnsi="Calibri" w:cs="Calibri"/>
                <w:color w:val="000000"/>
                <w:sz w:val="13"/>
                <w:szCs w:val="13"/>
                <w:lang w:val="en-US" w:eastAsia="fr-FR"/>
              </w:rPr>
              <w:instrText xml:space="preserve"> ADDIN ZOTERO_ITEM CSL_CITATION {"citationID":"lRpOQ6LO","properties":{"formattedCitation":"\\super 37\\nosupersub{}","plainCitation":"37","noteIndex":0},"citationItems":[{"id":338,"uris":["http://zotero.org/users/5359331/items/H27N5J2X"],"itemData":{"id":338,"type":"article-journal","abstract":"Previous studies have demonstrated the presence of cannabinoid 2 receptor (CB2R) in the rat cochlea which was induced by cisplatin. In an organ of Corti-derived cell culture model, it was also shown that an agonist of the CB2R protected these cells against cisplatin-induced apoptosis. In the current study, we determined the distribution of CB2R in the mouse and rat cochleae and examined whether these receptors provide protection against cisplatin-induced hearing loss. In a knock-in mouse model expressing the CB2R tagged with green fluorescent protein, we show distribution of CB2R in the organ of Corti, stria vascularis, spiral ligament and spiral ganglion cells. A similar distribution of CB2R was observed in the rat cochlea using a polyclonal antibody against CB2R. Trans-tympanic administration of (2-methyl-1-propyl-1H-indol-3-yl)-1-naphthalenylmethanone (JWH015), a selective agonist of the CB2R, protected against cisplatin-induced hearing loss which was reversed by blockade of this receptor with 6-iodo-2-methyl-1-[2-(4-morpholinyl)ethyl]-1H-indol-3-yl](4-methoxyphenyl)methanone (AM630), an antagonist of CB2R. JWH015 also reduced the loss of outer hair cells (OHCs) in the organ of Corti, loss of inner hair cell (IHC) ribbon synapses and loss of Na+/K+-ATPase immunoreactivity in the stria vascularis. Administration of AM630 alone produced significant hearing loss (measured by auditory brainstem responses) which was not associated with loss of OHCs, but led to reductions in the levels of IHC ribbon synapses and strial Na+/K+-ATPase immunoreactivity. Furthermore, knock-down of CB2R by trans-tympanic administration of siRNA sensitized the cochlea to cisplatin-induced hearing loss at the low and middle frequencies. Hearing loss induced by cisplatin and AM630 in the rat was associated with increased expression of genes for oxidative stress and inflammatory proteins in the rat cochlea. In vitro studies indicate that JWH015 did not alter cisplatin-induced killing of cancer cells suggesting this agent could be safely used during cisplatin chemotherapy. These data unmask a protective role of the cochlear endocannabinoid/CB2R system which appears tonically active under normal conditions to preserve normal hearing. However, an exogenous agonist is needed to boost the activity of endocannabinoid/CB2R system for protection against a more traumatic cochlear insult, as observed with cisplatin administration.","container-title":"Frontiers in Cellular Neuroscience","DOI":"10.3389/fncel.2018.00271","ISSN":"1662-5102","journalAbbreviation":"Front Cell Neurosci","note":"PMID: 30186120\nPMCID: PMC6110918","source":"PubMed Central","title":"The Endocannabinoid/Cannabinoid Receptor 2 System Protects Against Cisplatin-Induced Hearing Loss","URL":"https://www.ncbi.nlm.nih.gov/pmc/articles/PMC6110918/","volume":"12","author":[{"family":"Ghosh","given":"Sumana"},{"family":"Sheth","given":"Sandeep"},{"family":"Sheehan","given":"Kelly"},{"family":"Mukherjea","given":"Debashree"},{"family":"Dhukhwa","given":"Asmita"},{"family":"Borse","given":"Vikrant"},{"family":"Rybak","given":"Leonard P."},{"family":"Ramkumar","given":"Vickram"}],"accessed":{"date-parts":[["2020",4,8]]},"issued":{"date-parts":[["2018",8,21]]}}}],"schema":"https://github.com/citation-style-language/schema/raw/master/csl-citation.json"} </w:instrText>
            </w:r>
            <w:r w:rsidRPr="00F31719">
              <w:rPr>
                <w:rFonts w:ascii="Calibri" w:eastAsia="Times New Roman" w:hAnsi="Calibri" w:cs="Calibri"/>
                <w:color w:val="000000"/>
                <w:sz w:val="13"/>
                <w:szCs w:val="13"/>
                <w:lang w:val="en-US" w:eastAsia="fr-FR"/>
              </w:rPr>
              <w:fldChar w:fldCharType="separate"/>
            </w:r>
            <w:r w:rsidRPr="00F31719">
              <w:rPr>
                <w:rFonts w:ascii="Calibri" w:hAnsi="Calibri" w:cs="Calibri"/>
                <w:color w:val="000000"/>
                <w:sz w:val="13"/>
                <w:vertAlign w:val="superscript"/>
                <w:lang w:val="en-US"/>
              </w:rPr>
              <w:t>37</w:t>
            </w:r>
            <w:r w:rsidRPr="00F31719">
              <w:rPr>
                <w:rFonts w:ascii="Calibri" w:eastAsia="Times New Roman" w:hAnsi="Calibri" w:cs="Calibri"/>
                <w:color w:val="000000"/>
                <w:sz w:val="13"/>
                <w:szCs w:val="13"/>
                <w:lang w:val="en-US" w:eastAsia="fr-FR"/>
              </w:rPr>
              <w:fldChar w:fldCharType="end"/>
            </w:r>
            <w:r w:rsidRPr="00F31719">
              <w:rPr>
                <w:rFonts w:ascii="Calibri" w:eastAsia="Times New Roman" w:hAnsi="Calibri" w:cs="Calibri"/>
                <w:color w:val="000000"/>
                <w:sz w:val="13"/>
                <w:szCs w:val="13"/>
                <w:lang w:val="en-US" w:eastAsia="fr-FR"/>
              </w:rPr>
              <w:t xml:space="preserve"> with antibody C. </w:t>
            </w:r>
          </w:p>
        </w:tc>
        <w:tc>
          <w:tcPr>
            <w:tcW w:w="2549" w:type="dxa"/>
            <w:shd w:val="clear" w:color="auto" w:fill="auto"/>
            <w:vAlign w:val="center"/>
            <w:hideMark/>
          </w:tcPr>
          <w:p w14:paraId="201FA31A" w14:textId="77777777" w:rsidR="00016CB7" w:rsidRPr="00F31719" w:rsidRDefault="00016CB7" w:rsidP="00DC119E">
            <w:pPr>
              <w:spacing w:after="0" w:line="240" w:lineRule="auto"/>
              <w:jc w:val="center"/>
              <w:rPr>
                <w:rFonts w:ascii="Calibri" w:eastAsia="Times New Roman" w:hAnsi="Calibri" w:cs="Calibri"/>
                <w:color w:val="000000"/>
                <w:sz w:val="13"/>
                <w:szCs w:val="13"/>
                <w:lang w:val="en-US" w:eastAsia="fr-FR"/>
              </w:rPr>
            </w:pPr>
            <w:r w:rsidRPr="00F31719">
              <w:rPr>
                <w:rFonts w:ascii="Calibri" w:eastAsia="Times New Roman" w:hAnsi="Calibri" w:cs="Calibri"/>
                <w:color w:val="000000"/>
                <w:sz w:val="13"/>
                <w:szCs w:val="13"/>
                <w:lang w:val="en-US" w:eastAsia="fr-FR"/>
              </w:rPr>
              <w:t> </w:t>
            </w:r>
          </w:p>
        </w:tc>
        <w:tc>
          <w:tcPr>
            <w:tcW w:w="2733" w:type="dxa"/>
            <w:shd w:val="clear" w:color="auto" w:fill="auto"/>
            <w:vAlign w:val="center"/>
            <w:hideMark/>
          </w:tcPr>
          <w:p w14:paraId="78C0E5F2" w14:textId="77777777" w:rsidR="00016CB7" w:rsidRPr="00F31719" w:rsidRDefault="00016CB7" w:rsidP="00DC119E">
            <w:pPr>
              <w:spacing w:after="0" w:line="240" w:lineRule="auto"/>
              <w:jc w:val="center"/>
              <w:rPr>
                <w:rFonts w:ascii="Calibri" w:eastAsia="Times New Roman" w:hAnsi="Calibri" w:cs="Calibri"/>
                <w:color w:val="000000"/>
                <w:sz w:val="13"/>
                <w:szCs w:val="13"/>
                <w:lang w:val="en-US" w:eastAsia="fr-FR"/>
              </w:rPr>
            </w:pPr>
            <w:r w:rsidRPr="00F31719">
              <w:rPr>
                <w:rFonts w:ascii="Calibri" w:eastAsia="Times New Roman" w:hAnsi="Calibri" w:cs="Calibri"/>
                <w:color w:val="000000"/>
                <w:sz w:val="13"/>
                <w:szCs w:val="13"/>
                <w:lang w:val="en-US" w:eastAsia="fr-FR"/>
              </w:rPr>
              <w:t> </w:t>
            </w:r>
          </w:p>
          <w:p w14:paraId="1B427C63" w14:textId="77777777" w:rsidR="00016CB7" w:rsidRPr="00F31719" w:rsidRDefault="00016CB7" w:rsidP="00DC119E">
            <w:pPr>
              <w:spacing w:after="0" w:line="240" w:lineRule="auto"/>
              <w:jc w:val="center"/>
              <w:rPr>
                <w:rFonts w:ascii="Calibri" w:eastAsia="Times New Roman" w:hAnsi="Calibri" w:cs="Calibri"/>
                <w:color w:val="000000"/>
                <w:sz w:val="13"/>
                <w:szCs w:val="13"/>
                <w:lang w:val="en-US" w:eastAsia="fr-FR"/>
              </w:rPr>
            </w:pPr>
            <w:r w:rsidRPr="00F31719">
              <w:rPr>
                <w:rFonts w:ascii="Calibri" w:eastAsia="Times New Roman" w:hAnsi="Calibri" w:cs="Calibri"/>
                <w:color w:val="000000"/>
                <w:sz w:val="13"/>
                <w:szCs w:val="13"/>
                <w:lang w:val="en-US" w:eastAsia="fr-FR"/>
              </w:rPr>
              <w:t> </w:t>
            </w:r>
          </w:p>
          <w:p w14:paraId="60AAA506" w14:textId="77777777" w:rsidR="00016CB7" w:rsidRPr="00F31719" w:rsidRDefault="00016CB7" w:rsidP="00DC119E">
            <w:pPr>
              <w:spacing w:after="0" w:line="240" w:lineRule="auto"/>
              <w:jc w:val="center"/>
              <w:rPr>
                <w:rFonts w:ascii="Calibri" w:eastAsia="Times New Roman" w:hAnsi="Calibri" w:cs="Calibri"/>
                <w:color w:val="000000"/>
                <w:sz w:val="13"/>
                <w:szCs w:val="13"/>
                <w:lang w:val="en-US" w:eastAsia="fr-FR"/>
              </w:rPr>
            </w:pPr>
            <w:r w:rsidRPr="00F31719">
              <w:rPr>
                <w:rFonts w:ascii="Calibri" w:eastAsia="Times New Roman" w:hAnsi="Calibri" w:cs="Calibri"/>
                <w:color w:val="000000"/>
                <w:sz w:val="13"/>
                <w:szCs w:val="13"/>
                <w:lang w:val="en-US" w:eastAsia="fr-FR"/>
              </w:rPr>
              <w:t> </w:t>
            </w:r>
          </w:p>
        </w:tc>
      </w:tr>
      <w:tr w:rsidR="00016CB7" w:rsidRPr="00F31719" w14:paraId="3A48CEAE" w14:textId="77777777" w:rsidTr="00DC119E">
        <w:trPr>
          <w:trHeight w:val="414"/>
        </w:trPr>
        <w:tc>
          <w:tcPr>
            <w:tcW w:w="2544" w:type="dxa"/>
            <w:shd w:val="clear" w:color="auto" w:fill="auto"/>
            <w:vAlign w:val="center"/>
            <w:hideMark/>
          </w:tcPr>
          <w:p w14:paraId="799D58DA"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eastAsia="fr-FR"/>
              </w:rPr>
            </w:pPr>
            <w:r w:rsidRPr="00F31719">
              <w:rPr>
                <w:rFonts w:ascii="Calibri" w:eastAsia="Times New Roman" w:hAnsi="Calibri" w:cs="Calibri"/>
                <w:b/>
                <w:bCs/>
                <w:color w:val="000000"/>
                <w:sz w:val="15"/>
                <w:szCs w:val="15"/>
                <w:lang w:eastAsia="fr-FR"/>
              </w:rPr>
              <w:t>CORPUS CALLOSUM</w:t>
            </w:r>
          </w:p>
        </w:tc>
        <w:tc>
          <w:tcPr>
            <w:tcW w:w="2914" w:type="dxa"/>
            <w:shd w:val="clear" w:color="auto" w:fill="auto"/>
            <w:vAlign w:val="center"/>
            <w:hideMark/>
          </w:tcPr>
          <w:p w14:paraId="246698FC" w14:textId="77777777" w:rsidR="00016CB7" w:rsidRPr="00F31719" w:rsidRDefault="00016CB7" w:rsidP="00DC119E">
            <w:pPr>
              <w:spacing w:after="0" w:line="240" w:lineRule="auto"/>
              <w:jc w:val="center"/>
              <w:rPr>
                <w:rFonts w:ascii="Calibri" w:eastAsia="Times New Roman" w:hAnsi="Calibri" w:cs="Calibri"/>
                <w:color w:val="000000"/>
                <w:sz w:val="13"/>
                <w:szCs w:val="13"/>
                <w:lang w:eastAsia="fr-FR"/>
              </w:rPr>
            </w:pPr>
            <w:r w:rsidRPr="00F31719">
              <w:rPr>
                <w:rFonts w:ascii="Calibri" w:eastAsia="Times New Roman" w:hAnsi="Calibri" w:cs="Calibri"/>
                <w:color w:val="000000"/>
                <w:sz w:val="13"/>
                <w:szCs w:val="13"/>
                <w:lang w:eastAsia="fr-FR"/>
              </w:rPr>
              <w:t> </w:t>
            </w:r>
          </w:p>
        </w:tc>
        <w:tc>
          <w:tcPr>
            <w:tcW w:w="2549" w:type="dxa"/>
            <w:shd w:val="clear" w:color="auto" w:fill="auto"/>
            <w:vAlign w:val="center"/>
            <w:hideMark/>
          </w:tcPr>
          <w:p w14:paraId="0F07C3B5" w14:textId="77777777" w:rsidR="00016CB7" w:rsidRPr="00F31719" w:rsidRDefault="00016CB7" w:rsidP="00DC119E">
            <w:pPr>
              <w:spacing w:after="0" w:line="240" w:lineRule="auto"/>
              <w:jc w:val="center"/>
              <w:rPr>
                <w:rFonts w:ascii="Calibri" w:eastAsia="Times New Roman" w:hAnsi="Calibri" w:cs="Calibri"/>
                <w:color w:val="000000"/>
                <w:sz w:val="13"/>
                <w:szCs w:val="13"/>
                <w:lang w:eastAsia="fr-FR"/>
              </w:rPr>
            </w:pPr>
            <w:r w:rsidRPr="00F31719">
              <w:rPr>
                <w:rFonts w:ascii="Calibri" w:eastAsia="Times New Roman" w:hAnsi="Calibri" w:cs="Calibri"/>
                <w:color w:val="000000"/>
                <w:sz w:val="13"/>
                <w:szCs w:val="13"/>
                <w:lang w:val="en-US" w:eastAsia="fr-FR"/>
              </w:rPr>
              <w:t>GFAP-positive cells</w:t>
            </w:r>
            <w:r w:rsidRPr="00F31719">
              <w:rPr>
                <w:rFonts w:ascii="Calibri" w:eastAsia="Times New Roman" w:hAnsi="Calibri" w:cs="Calibri"/>
                <w:color w:val="000000"/>
                <w:sz w:val="13"/>
                <w:szCs w:val="13"/>
                <w:lang w:val="en-US" w:eastAsia="fr-FR"/>
              </w:rPr>
              <w:fldChar w:fldCharType="begin"/>
            </w:r>
            <w:r w:rsidRPr="00F31719">
              <w:rPr>
                <w:rFonts w:ascii="Calibri" w:eastAsia="Times New Roman" w:hAnsi="Calibri" w:cs="Calibri"/>
                <w:color w:val="000000"/>
                <w:sz w:val="13"/>
                <w:szCs w:val="13"/>
                <w:lang w:val="en-US" w:eastAsia="fr-FR"/>
              </w:rPr>
              <w:instrText xml:space="preserve"> ADDIN ZOTERO_ITEM CSL_CITATION {"citationID":"w65A9TFF","properties":{"formattedCitation":"\\super 71\\nosupersub{}","plainCitation":"71","dontUpdate":true,"noteIndex":0},"citationItems":[{"id":440,"uris":["http://zotero.org/users/5359331/items/LGVPNN92"],"itemData":{"id":440,"type":"article-journal","abstract":"Background and Purpose—Ischemic stroke continues to be one of the main causes of death worldwide. Inflammation accounts for a large part of damage in this pathology. The cannabinoid type 2 receptor (CB2R) has been proposed to have neuroprotective properties in neurological diseases. Therefore, our aim was to determine the effects of the activation of CB2R on infarct outcome and on ischemia-induced brain expression of classic and alternative markers of macrophage/microglial activation.\nMethods—Swiss wild-type and CB2R knockout male mice were subjected to a permanent middle cerebral artery occlusion. Mice were treated with either a CB2R agonist (JWH-133), with or without a CB2R antagonist (SR144528) or vehicle. Infarct outcome was determined by measuring infarct volume and neurological outcome. An additional group of animals was used to assess mRNA and protein expression of CB2R, interleukin (IL)-1</w:instrText>
            </w:r>
            <w:r w:rsidRPr="00F31719">
              <w:rPr>
                <w:rFonts w:ascii="Segoe UI Symbol" w:eastAsia="Times New Roman" w:hAnsi="Segoe UI Symbol" w:cs="Segoe UI Symbol"/>
                <w:color w:val="000000"/>
                <w:sz w:val="13"/>
                <w:szCs w:val="13"/>
                <w:lang w:val="en-US" w:eastAsia="fr-FR"/>
              </w:rPr>
              <w:instrText>␤</w:instrText>
            </w:r>
            <w:r w:rsidRPr="00F31719">
              <w:rPr>
                <w:rFonts w:ascii="Calibri" w:eastAsia="Times New Roman" w:hAnsi="Calibri" w:cs="Calibri"/>
                <w:color w:val="000000"/>
                <w:sz w:val="13"/>
                <w:szCs w:val="13"/>
                <w:lang w:val="en-US" w:eastAsia="fr-FR"/>
              </w:rPr>
              <w:instrText xml:space="preserve">, IL-6, tumor necrosis factor </w:instrText>
            </w:r>
            <w:r w:rsidRPr="00F31719">
              <w:rPr>
                <w:rFonts w:ascii="Segoe UI Symbol" w:eastAsia="Times New Roman" w:hAnsi="Segoe UI Symbol" w:cs="Segoe UI Symbol"/>
                <w:color w:val="000000"/>
                <w:sz w:val="13"/>
                <w:szCs w:val="13"/>
                <w:lang w:val="en-US" w:eastAsia="fr-FR"/>
              </w:rPr>
              <w:instrText>␣</w:instrText>
            </w:r>
            <w:r w:rsidRPr="00F31719">
              <w:rPr>
                <w:rFonts w:ascii="Calibri" w:eastAsia="Times New Roman" w:hAnsi="Calibri" w:cs="Calibri"/>
                <w:color w:val="000000"/>
                <w:sz w:val="13"/>
                <w:szCs w:val="13"/>
                <w:lang w:val="en-US" w:eastAsia="fr-FR"/>
              </w:rPr>
              <w:instrText xml:space="preserve"> (TNF-</w:instrText>
            </w:r>
            <w:r w:rsidRPr="00F31719">
              <w:rPr>
                <w:rFonts w:ascii="Segoe UI Symbol" w:eastAsia="Times New Roman" w:hAnsi="Segoe UI Symbol" w:cs="Segoe UI Symbol"/>
                <w:color w:val="000000"/>
                <w:sz w:val="13"/>
                <w:szCs w:val="13"/>
                <w:lang w:val="en-US" w:eastAsia="fr-FR"/>
              </w:rPr>
              <w:instrText>␣</w:instrText>
            </w:r>
            <w:r w:rsidRPr="00F31719">
              <w:rPr>
                <w:rFonts w:ascii="Calibri" w:eastAsia="Times New Roman" w:hAnsi="Calibri" w:cs="Calibri"/>
                <w:color w:val="000000"/>
                <w:sz w:val="13"/>
                <w:szCs w:val="13"/>
                <w:lang w:val="en-US" w:eastAsia="fr-FR"/>
              </w:rPr>
              <w:instrText>), monocyte chemoattractant protein–1 (MCP-1), macrophage inflammatory peptide (MIP) –1</w:instrText>
            </w:r>
            <w:r w:rsidRPr="00F31719">
              <w:rPr>
                <w:rFonts w:ascii="Segoe UI Symbol" w:eastAsia="Times New Roman" w:hAnsi="Segoe UI Symbol" w:cs="Segoe UI Symbol"/>
                <w:color w:val="000000"/>
                <w:sz w:val="13"/>
                <w:szCs w:val="13"/>
                <w:lang w:val="en-US" w:eastAsia="fr-FR"/>
              </w:rPr>
              <w:instrText>␣</w:instrText>
            </w:r>
            <w:r w:rsidRPr="00F31719">
              <w:rPr>
                <w:rFonts w:ascii="Calibri" w:eastAsia="Times New Roman" w:hAnsi="Calibri" w:cs="Calibri"/>
                <w:color w:val="000000"/>
                <w:sz w:val="13"/>
                <w:szCs w:val="13"/>
                <w:lang w:val="en-US" w:eastAsia="fr-FR"/>
              </w:rPr>
              <w:instrText xml:space="preserve">, RANTES, inducible nitric oxide synthase (iNOS), cyclooxygenase-2, IL-4, IL-10, transforming growth factor </w:instrText>
            </w:r>
            <w:r w:rsidRPr="00F31719">
              <w:rPr>
                <w:rFonts w:ascii="Segoe UI Symbol" w:eastAsia="Times New Roman" w:hAnsi="Segoe UI Symbol" w:cs="Segoe UI Symbol"/>
                <w:color w:val="000000"/>
                <w:sz w:val="13"/>
                <w:szCs w:val="13"/>
                <w:lang w:val="en-US" w:eastAsia="fr-FR"/>
              </w:rPr>
              <w:instrText>␤</w:instrText>
            </w:r>
            <w:r w:rsidRPr="00F31719">
              <w:rPr>
                <w:rFonts w:ascii="Calibri" w:eastAsia="Times New Roman" w:hAnsi="Calibri" w:cs="Calibri"/>
                <w:color w:val="000000"/>
                <w:sz w:val="13"/>
                <w:szCs w:val="13"/>
                <w:lang w:val="en-US" w:eastAsia="fr-FR"/>
              </w:rPr>
              <w:instrText xml:space="preserve"> (TGF-</w:instrText>
            </w:r>
            <w:r w:rsidRPr="00F31719">
              <w:rPr>
                <w:rFonts w:ascii="Segoe UI Symbol" w:eastAsia="Times New Roman" w:hAnsi="Segoe UI Symbol" w:cs="Segoe UI Symbol"/>
                <w:color w:val="000000"/>
                <w:sz w:val="13"/>
                <w:szCs w:val="13"/>
                <w:lang w:val="en-US" w:eastAsia="fr-FR"/>
              </w:rPr>
              <w:instrText>␤</w:instrText>
            </w:r>
            <w:r w:rsidRPr="00F31719">
              <w:rPr>
                <w:rFonts w:ascii="Calibri" w:eastAsia="Times New Roman" w:hAnsi="Calibri" w:cs="Calibri"/>
                <w:color w:val="000000"/>
                <w:sz w:val="13"/>
                <w:szCs w:val="13"/>
                <w:lang w:val="en-US" w:eastAsia="fr-FR"/>
              </w:rPr>
              <w:instrText>), arginase I, and Ym1.\nResults—Administration of JWH-133 significantly improved infarct outcome, as shown by a reduction in brain infarction and neurological impairment. This effect was reversed by the CB2R antagonist and was absent in CB2R knockout mice. Concomitantly, administration of JWH-133 led to a lower intensity of Iba1ϩ microglia/macrophages and a decrease in middle cerebral artery occlusion–induced gene expression of both classic (IL-6, TNF-</w:instrText>
            </w:r>
            <w:r w:rsidRPr="00F31719">
              <w:rPr>
                <w:rFonts w:ascii="Segoe UI Symbol" w:eastAsia="Times New Roman" w:hAnsi="Segoe UI Symbol" w:cs="Segoe UI Symbol"/>
                <w:color w:val="000000"/>
                <w:sz w:val="13"/>
                <w:szCs w:val="13"/>
                <w:lang w:val="en-US" w:eastAsia="fr-FR"/>
              </w:rPr>
              <w:instrText>␣</w:instrText>
            </w:r>
            <w:r w:rsidRPr="00F31719">
              <w:rPr>
                <w:rFonts w:ascii="Calibri" w:eastAsia="Times New Roman" w:hAnsi="Calibri" w:cs="Calibri"/>
                <w:color w:val="000000"/>
                <w:sz w:val="13"/>
                <w:szCs w:val="13"/>
                <w:lang w:val="en-US" w:eastAsia="fr-FR"/>
              </w:rPr>
              <w:instrText>, MCP-1, MIP-1</w:instrText>
            </w:r>
            <w:r w:rsidRPr="00F31719">
              <w:rPr>
                <w:rFonts w:ascii="Segoe UI Symbol" w:eastAsia="Times New Roman" w:hAnsi="Segoe UI Symbol" w:cs="Segoe UI Symbol"/>
                <w:color w:val="000000"/>
                <w:sz w:val="13"/>
                <w:szCs w:val="13"/>
                <w:lang w:val="en-US" w:eastAsia="fr-FR"/>
              </w:rPr>
              <w:instrText>␣</w:instrText>
            </w:r>
            <w:r w:rsidRPr="00F31719">
              <w:rPr>
                <w:rFonts w:ascii="Calibri" w:eastAsia="Times New Roman" w:hAnsi="Calibri" w:cs="Calibri"/>
                <w:color w:val="000000"/>
                <w:sz w:val="13"/>
                <w:szCs w:val="13"/>
                <w:lang w:val="en-US" w:eastAsia="fr-FR"/>
              </w:rPr>
              <w:instrText>, RANTES, and iNOS) and alternative mediators/markers (IL-10, TGF-</w:instrText>
            </w:r>
            <w:r w:rsidRPr="00F31719">
              <w:rPr>
                <w:rFonts w:ascii="Segoe UI Symbol" w:eastAsia="Times New Roman" w:hAnsi="Segoe UI Symbol" w:cs="Segoe UI Symbol"/>
                <w:color w:val="000000"/>
                <w:sz w:val="13"/>
                <w:szCs w:val="13"/>
                <w:lang w:val="en-US" w:eastAsia="fr-FR"/>
              </w:rPr>
              <w:instrText>␤</w:instrText>
            </w:r>
            <w:r w:rsidRPr="00F31719">
              <w:rPr>
                <w:rFonts w:ascii="Calibri" w:eastAsia="Times New Roman" w:hAnsi="Calibri" w:cs="Calibri"/>
                <w:color w:val="000000"/>
                <w:sz w:val="13"/>
                <w:szCs w:val="13"/>
                <w:lang w:val="en-US" w:eastAsia="fr-FR"/>
              </w:rPr>
              <w:instrText xml:space="preserve">, and Ym1) of microglial/macrophage activation after permanent middle cerebral artery occlusion.\nConclusions—The inhibitory effect of CB2R on the activation of different subpopulations of microglia/macrophages may account for the protective effect of the selective CB2R agonist JWH-133 after stroke. (Stroke. 2012;43:211-219.)","container-title":"Stroke","DOI":"10.1161/STROKEAHA.111.631044","ISSN":"0039-2499, 1524-4628","issue":"1","journalAbbreviation":"Stroke","language":"en","page":"211-219","source":"DOI.org (Crossref)","title":"Cannabinoid Type 2 Receptor Activation Downregulates Stroke-Induced Classic and Alternative Brain Macrophage/Microglial Activation Concomitant to Neuroprotection","volume":"43","author":[{"family":"Zarruk","given":"Juan G."},{"family":"Fernández-López","given":"David"},{"family":"García-Yébenes","given":"Isaac"},{"family":"García-Gutiérrez","given":"María S."},{"family":"Vivancos","given":"José"},{"family":"Nombela","given":"Florentino"},{"family":"Torres","given":"Magdalena"},{"family":"Burguete","given":"María C."},{"family":"Manzanares","given":"Jorge"},{"family":"Lizasoain","given":"Ignacio"},{"family":"Moro","given":"María A."}],"issued":{"date-parts":[["2012",1]]}}}],"schema":"https://github.com/citation-style-language/schema/raw/master/csl-citation.json"} </w:instrText>
            </w:r>
            <w:r w:rsidRPr="00F31719">
              <w:rPr>
                <w:rFonts w:ascii="Calibri" w:eastAsia="Times New Roman" w:hAnsi="Calibri" w:cs="Calibri"/>
                <w:color w:val="000000"/>
                <w:sz w:val="13"/>
                <w:szCs w:val="13"/>
                <w:lang w:val="en-US" w:eastAsia="fr-FR"/>
              </w:rPr>
              <w:fldChar w:fldCharType="separate"/>
            </w:r>
            <w:r w:rsidRPr="00F31719">
              <w:rPr>
                <w:rFonts w:ascii="Calibri" w:hAnsi="Calibri" w:cs="Calibri"/>
                <w:color w:val="000000"/>
                <w:sz w:val="13"/>
                <w:vertAlign w:val="superscript"/>
              </w:rPr>
              <w:t>63</w:t>
            </w:r>
            <w:r w:rsidRPr="00F31719">
              <w:rPr>
                <w:rFonts w:ascii="Calibri" w:eastAsia="Times New Roman" w:hAnsi="Calibri" w:cs="Calibri"/>
                <w:color w:val="000000"/>
                <w:sz w:val="13"/>
                <w:szCs w:val="13"/>
                <w:lang w:val="en-US" w:eastAsia="fr-FR"/>
              </w:rPr>
              <w:fldChar w:fldCharType="end"/>
            </w:r>
            <w:r w:rsidRPr="00F31719">
              <w:rPr>
                <w:rFonts w:ascii="Calibri" w:eastAsia="Times New Roman" w:hAnsi="Calibri" w:cs="Calibri"/>
                <w:color w:val="000000"/>
                <w:sz w:val="13"/>
                <w:szCs w:val="13"/>
                <w:lang w:val="en-US" w:eastAsia="fr-FR"/>
              </w:rPr>
              <w:t xml:space="preserve"> with antibody B. </w:t>
            </w:r>
          </w:p>
        </w:tc>
        <w:tc>
          <w:tcPr>
            <w:tcW w:w="2733" w:type="dxa"/>
            <w:shd w:val="clear" w:color="auto" w:fill="auto"/>
            <w:vAlign w:val="center"/>
            <w:hideMark/>
          </w:tcPr>
          <w:p w14:paraId="37EBA729" w14:textId="77777777" w:rsidR="00016CB7" w:rsidRPr="00F31719" w:rsidRDefault="00016CB7" w:rsidP="00DC119E">
            <w:pPr>
              <w:spacing w:after="0" w:line="240" w:lineRule="auto"/>
              <w:jc w:val="center"/>
              <w:rPr>
                <w:rFonts w:ascii="Calibri" w:eastAsia="Times New Roman" w:hAnsi="Calibri" w:cs="Calibri"/>
                <w:color w:val="000000"/>
                <w:sz w:val="13"/>
                <w:szCs w:val="13"/>
                <w:lang w:val="en-US" w:eastAsia="fr-FR"/>
              </w:rPr>
            </w:pPr>
            <w:r w:rsidRPr="00F31719">
              <w:rPr>
                <w:rFonts w:ascii="Calibri" w:eastAsia="Times New Roman" w:hAnsi="Calibri" w:cs="Calibri"/>
                <w:color w:val="000000"/>
                <w:sz w:val="13"/>
                <w:szCs w:val="13"/>
                <w:lang w:val="en-US" w:eastAsia="fr-FR"/>
              </w:rPr>
              <w:t> </w:t>
            </w:r>
          </w:p>
          <w:p w14:paraId="66789068" w14:textId="77777777" w:rsidR="00016CB7" w:rsidRPr="00F31719" w:rsidRDefault="00016CB7" w:rsidP="00DC119E">
            <w:pPr>
              <w:spacing w:after="0" w:line="240" w:lineRule="auto"/>
              <w:jc w:val="center"/>
              <w:rPr>
                <w:rFonts w:ascii="Calibri" w:eastAsia="Times New Roman" w:hAnsi="Calibri" w:cs="Calibri"/>
                <w:color w:val="000000"/>
                <w:sz w:val="13"/>
                <w:szCs w:val="13"/>
                <w:lang w:val="en-US" w:eastAsia="fr-FR"/>
              </w:rPr>
            </w:pPr>
            <w:r w:rsidRPr="00F31719">
              <w:rPr>
                <w:rFonts w:ascii="Calibri" w:eastAsia="Times New Roman" w:hAnsi="Calibri" w:cs="Calibri"/>
                <w:color w:val="000000"/>
                <w:sz w:val="13"/>
                <w:szCs w:val="13"/>
                <w:lang w:val="en-US" w:eastAsia="fr-FR"/>
              </w:rPr>
              <w:t> </w:t>
            </w:r>
          </w:p>
        </w:tc>
      </w:tr>
      <w:tr w:rsidR="00016CB7" w:rsidRPr="00B845EF" w14:paraId="4A452A76" w14:textId="77777777" w:rsidTr="00DC119E">
        <w:trPr>
          <w:trHeight w:val="539"/>
        </w:trPr>
        <w:tc>
          <w:tcPr>
            <w:tcW w:w="2544" w:type="dxa"/>
            <w:shd w:val="clear" w:color="auto" w:fill="auto"/>
            <w:vAlign w:val="center"/>
            <w:hideMark/>
          </w:tcPr>
          <w:p w14:paraId="162DCE71"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eastAsia="fr-FR"/>
              </w:rPr>
            </w:pPr>
            <w:r w:rsidRPr="00F31719">
              <w:rPr>
                <w:rFonts w:ascii="Calibri" w:eastAsia="Times New Roman" w:hAnsi="Calibri" w:cs="Calibri"/>
                <w:b/>
                <w:bCs/>
                <w:color w:val="000000"/>
                <w:sz w:val="15"/>
                <w:szCs w:val="15"/>
                <w:lang w:eastAsia="fr-FR"/>
              </w:rPr>
              <w:t xml:space="preserve">MIDBRAIN AND PONS NUCLEI </w:t>
            </w:r>
          </w:p>
        </w:tc>
        <w:tc>
          <w:tcPr>
            <w:tcW w:w="8196" w:type="dxa"/>
            <w:gridSpan w:val="3"/>
            <w:shd w:val="clear" w:color="auto" w:fill="auto"/>
            <w:vAlign w:val="center"/>
            <w:hideMark/>
          </w:tcPr>
          <w:p w14:paraId="765587BC" w14:textId="77777777" w:rsidR="00016CB7" w:rsidRPr="00F31719" w:rsidRDefault="00016CB7" w:rsidP="00DC119E">
            <w:pPr>
              <w:spacing w:after="0" w:line="240" w:lineRule="auto"/>
              <w:jc w:val="center"/>
              <w:rPr>
                <w:rFonts w:ascii="Calibri" w:eastAsia="Times New Roman" w:hAnsi="Calibri" w:cs="Calibri"/>
                <w:color w:val="000000"/>
                <w:sz w:val="13"/>
                <w:szCs w:val="13"/>
                <w:lang w:val="en-US" w:eastAsia="fr-FR"/>
              </w:rPr>
            </w:pPr>
            <w:proofErr w:type="spellStart"/>
            <w:r w:rsidRPr="00F31719">
              <w:rPr>
                <w:rFonts w:ascii="Calibri" w:eastAsia="Times New Roman" w:hAnsi="Calibri" w:cs="Calibri"/>
                <w:color w:val="000000"/>
                <w:sz w:val="13"/>
                <w:szCs w:val="13"/>
                <w:lang w:val="en-US" w:eastAsia="fr-FR"/>
              </w:rPr>
              <w:t>Paratrochlear</w:t>
            </w:r>
            <w:proofErr w:type="spellEnd"/>
            <w:r w:rsidRPr="00F31719">
              <w:rPr>
                <w:rFonts w:ascii="Calibri" w:eastAsia="Times New Roman" w:hAnsi="Calibri" w:cs="Calibri"/>
                <w:color w:val="000000"/>
                <w:sz w:val="13"/>
                <w:szCs w:val="13"/>
                <w:lang w:val="en-US" w:eastAsia="fr-FR"/>
              </w:rPr>
              <w:t xml:space="preserve"> nucleus, </w:t>
            </w:r>
            <w:proofErr w:type="spellStart"/>
            <w:r w:rsidRPr="00F31719">
              <w:rPr>
                <w:rFonts w:ascii="Calibri" w:eastAsia="Times New Roman" w:hAnsi="Calibri" w:cs="Calibri"/>
                <w:color w:val="000000"/>
                <w:sz w:val="13"/>
                <w:szCs w:val="13"/>
                <w:lang w:val="en-US" w:eastAsia="fr-FR"/>
              </w:rPr>
              <w:t>paralemnniscal</w:t>
            </w:r>
            <w:proofErr w:type="spellEnd"/>
            <w:r w:rsidRPr="00F31719">
              <w:rPr>
                <w:rFonts w:ascii="Calibri" w:eastAsia="Times New Roman" w:hAnsi="Calibri" w:cs="Calibri"/>
                <w:color w:val="000000"/>
                <w:sz w:val="13"/>
                <w:szCs w:val="13"/>
                <w:lang w:val="en-US" w:eastAsia="fr-FR"/>
              </w:rPr>
              <w:t xml:space="preserve"> nucleus, red nucleus. Staining was also observed in the pontine nucleus, dorsal nucleus of lateral lemniscus, vestibular nucleus, dorsal cochlear nucleus, nucleus of spinal tract trigeminal nerve, oral part and lateral vestibular nucleus, parvocellular reticular nucleus and facial nucleus. No cellular marker was investigated to determine the identity of these CB2R-positive cells</w:t>
            </w:r>
            <w:r w:rsidRPr="00F31719">
              <w:rPr>
                <w:rFonts w:ascii="Calibri" w:eastAsia="Times New Roman" w:hAnsi="Calibri" w:cs="Calibri"/>
                <w:color w:val="000000"/>
                <w:sz w:val="13"/>
                <w:szCs w:val="13"/>
                <w:lang w:val="en-US" w:eastAsia="fr-FR"/>
              </w:rPr>
              <w:fldChar w:fldCharType="begin"/>
            </w:r>
            <w:r w:rsidRPr="00F31719">
              <w:rPr>
                <w:rFonts w:ascii="Calibri" w:eastAsia="Times New Roman" w:hAnsi="Calibri" w:cs="Calibri"/>
                <w:color w:val="000000"/>
                <w:sz w:val="13"/>
                <w:szCs w:val="13"/>
                <w:lang w:val="en-US" w:eastAsia="fr-FR"/>
              </w:rPr>
              <w:instrText xml:space="preserve"> ADDIN ZOTERO_ITEM CSL_CITATION {"citationID":"70VdoCBK","properties":{"formattedCitation":"\\super 38\\nosupersub{}","plainCitation":"38","dontUpdate":true,"noteIndex":0},"citationItems":[{"id":362,"uris":["http://zotero.org/users/5359331/items/NGAS7VQY"],"itemData":{"id":362,"type":"article-journal","abstract":"Brain expression of CB2 cannabinoid receptors has been much less well established and characterized in comparison to the expression of brain CB1 receptors. Since CB2 receptors are intensely expressed in peripheral and immune tissues, expression in brain microglia has been anticipated. Nevertheless, we now describe expression of CB2-receptor-like immunoreactivity in brain in neuronal patterns that support broader CNS roles for this receptor. Two anti-CB2 affinity purified polyclonal antibodies were raised in rabbits immunized with peptide conjugates that corresponded to amino acids 1–33 and 20–33. Western blot analyses revealed specific bands that were identified using these sera and were absent when the sera were preadsorbed with 8.3 μg/ml of the immunizing peptides. These studies, and initial RT-PCR analyses of brain CB1 and CB2 mRNAs, also support the expression of brain CB2 receptor transcripts at levels much lower than those of CB1 receptors. CB2 cannabinoid receptor mRNA was clearly expressed in the cerebellum of wild type but not in CB2 knockout mice. CB2 immunostaining was detected in the interpolar part of spinal 5th nucleus of wild type but not in CB2 knockout mice, using a mouse C-terminal CB2 receptor antibody. Immunohistochemical analyses revealed abundant immunostaining for CB2 receptors in apparent neuronal and glial processes in a number of rat brain areas. Cerebellar Purkinje cells and hippocampal pyramidal cells revealed substantial immunoreactivity that was absent when sections were stained with preadsorbed sera. CB2 immunoreactivity was also observed in olfactory tubercle, islands of Calleja, cerebral cortex, striatum, thalamic nuclei, hippocampus, amygdala, substantia nigra, periaqueductal gray, paratrochlear nucleus, paralemniscal nucleus, red nucleus, pontine nuclei, inferior colliculus and the parvocellular portion of the medial vestibular nucleus. In-vitro, CB2 immunoreactivity was also present in hippocampal cell cultures. The multifocal expression of CB2 immunoreactivity in glial and neuronal patterns in a number of brain regions suggests reevaluation of the possible roles that CB2 receptors may play in the brain.","container-title":"Brain Research","DOI":"10.1016/j.brainres.2005.11.035","ISSN":"00068993","issue":"1","journalAbbreviation":"Brain Research","language":"en","page":"10-23","source":"DOI.org (Crossref)","title":"Cannabinoid CB2 receptors: Immunohistochemical localization in rat brain","title-short":"Cannabinoid CB2 receptors","volume":"1071","author":[{"family":"Gong","given":"Jian-Ping"},{"family":"Onaivi","given":"Emmanuel S."},{"family":"Ishiguro","given":"Hiroki"},{"family":"Liu","given":"Qing-Rong"},{"family":"Tagliaferro","given":"Patricia A."},{"family":"Brusco","given":"Alicia"},{"family":"Uhl","given":"George R."}],"issued":{"date-parts":[["2006",2]]}}}],"schema":"https://github.com/citation-style-language/schema/raw/master/csl-citation.json"} </w:instrText>
            </w:r>
            <w:r w:rsidRPr="00F31719">
              <w:rPr>
                <w:rFonts w:ascii="Calibri" w:eastAsia="Times New Roman" w:hAnsi="Calibri" w:cs="Calibri"/>
                <w:color w:val="000000"/>
                <w:sz w:val="13"/>
                <w:szCs w:val="13"/>
                <w:lang w:val="en-US" w:eastAsia="fr-FR"/>
              </w:rPr>
              <w:fldChar w:fldCharType="separate"/>
            </w:r>
            <w:r w:rsidRPr="00F31719">
              <w:rPr>
                <w:rFonts w:ascii="Calibri" w:hAnsi="Calibri" w:cs="Calibri"/>
                <w:color w:val="000000"/>
                <w:sz w:val="13"/>
                <w:vertAlign w:val="superscript"/>
                <w:lang w:val="en-US"/>
              </w:rPr>
              <w:t>92</w:t>
            </w:r>
            <w:r w:rsidRPr="00F31719">
              <w:rPr>
                <w:rFonts w:ascii="Calibri" w:eastAsia="Times New Roman" w:hAnsi="Calibri" w:cs="Calibri"/>
                <w:color w:val="000000"/>
                <w:sz w:val="13"/>
                <w:szCs w:val="13"/>
                <w:lang w:val="en-US" w:eastAsia="fr-FR"/>
              </w:rPr>
              <w:fldChar w:fldCharType="end"/>
            </w:r>
            <w:r w:rsidRPr="00F31719">
              <w:rPr>
                <w:rFonts w:ascii="Calibri" w:eastAsia="Times New Roman" w:hAnsi="Calibri" w:cs="Calibri"/>
                <w:color w:val="000000"/>
                <w:sz w:val="13"/>
                <w:szCs w:val="13"/>
                <w:lang w:val="en-US" w:eastAsia="fr-FR"/>
              </w:rPr>
              <w:t xml:space="preserve"> with antibodies A and u. Mice </w:t>
            </w:r>
            <w:proofErr w:type="spellStart"/>
            <w:r w:rsidRPr="00F31719">
              <w:rPr>
                <w:rFonts w:ascii="Calibri" w:eastAsia="Times New Roman" w:hAnsi="Calibri" w:cs="Calibri"/>
                <w:color w:val="000000"/>
                <w:sz w:val="13"/>
                <w:szCs w:val="13"/>
                <w:lang w:val="en-US" w:eastAsia="fr-FR"/>
              </w:rPr>
              <w:t>paratrochlear</w:t>
            </w:r>
            <w:proofErr w:type="spellEnd"/>
            <w:r w:rsidRPr="00F31719">
              <w:rPr>
                <w:rFonts w:ascii="Calibri" w:eastAsia="Times New Roman" w:hAnsi="Calibri" w:cs="Calibri"/>
                <w:color w:val="000000"/>
                <w:sz w:val="13"/>
                <w:szCs w:val="13"/>
                <w:lang w:val="en-US" w:eastAsia="fr-FR"/>
              </w:rPr>
              <w:t xml:space="preserve"> nucleus, </w:t>
            </w:r>
            <w:proofErr w:type="spellStart"/>
            <w:r w:rsidRPr="00F31719">
              <w:rPr>
                <w:rFonts w:ascii="Calibri" w:eastAsia="Times New Roman" w:hAnsi="Calibri" w:cs="Calibri"/>
                <w:color w:val="000000"/>
                <w:sz w:val="13"/>
                <w:szCs w:val="13"/>
                <w:lang w:val="en-US" w:eastAsia="fr-FR"/>
              </w:rPr>
              <w:t>paralemniscal</w:t>
            </w:r>
            <w:proofErr w:type="spellEnd"/>
            <w:r w:rsidRPr="00F31719">
              <w:rPr>
                <w:rFonts w:ascii="Calibri" w:eastAsia="Times New Roman" w:hAnsi="Calibri" w:cs="Calibri"/>
                <w:color w:val="000000"/>
                <w:sz w:val="13"/>
                <w:szCs w:val="13"/>
                <w:lang w:val="en-US" w:eastAsia="fr-FR"/>
              </w:rPr>
              <w:t xml:space="preserve"> nucleus, red nucleus, pontine nuclei, inferior colliculus, and the parvicellular portion of the medial vestibular nucleus</w:t>
            </w:r>
            <w:r w:rsidRPr="00F31719">
              <w:rPr>
                <w:rFonts w:ascii="Calibri" w:eastAsia="Times New Roman" w:hAnsi="Calibri" w:cs="Calibri"/>
                <w:color w:val="000000"/>
                <w:sz w:val="13"/>
                <w:szCs w:val="13"/>
                <w:lang w:val="en-US" w:eastAsia="fr-FR"/>
              </w:rPr>
              <w:fldChar w:fldCharType="begin"/>
            </w:r>
            <w:r w:rsidRPr="00F31719">
              <w:rPr>
                <w:rFonts w:ascii="Calibri" w:eastAsia="Times New Roman" w:hAnsi="Calibri" w:cs="Calibri"/>
                <w:color w:val="000000"/>
                <w:sz w:val="13"/>
                <w:szCs w:val="13"/>
                <w:lang w:val="en-US" w:eastAsia="fr-FR"/>
              </w:rPr>
              <w:instrText xml:space="preserve"> ADDIN ZOTERO_ITEM CSL_CITATION {"citationID":"fH1f5HIl","properties":{"formattedCitation":"\\super 66\\nosupersub{}","plainCitation":"66","noteIndex":0},"citationItems":[{"id":168,"uris":["http://zotero.org/users/5359331/items/I8TRVQZV"],"itemData":{"id":168,"type":"article-journal","container-title":"Neuropsychobiology","DOI":"10.1159/000100778","ISSN":"1423-0224, 0302-282X","issue":"4","journalAbbreviation":"Neuropsychobiology","language":"en","page":"231-246","source":"DOI.org (Crossref)","title":"Neuropsychobiological Evidence for the Functional Presence and Expression of Cannabinoid CB2 Receptors in the Brain","volume":"54","author":[{"family":"Onaivi","given":"Emmanuel S."}],"issued":{"date-parts":[["2006"]]}}}],"schema":"https://github.com/citation-style-language/schema/raw/master/csl-citation.json"} </w:instrText>
            </w:r>
            <w:r w:rsidRPr="00F31719">
              <w:rPr>
                <w:rFonts w:ascii="Calibri" w:eastAsia="Times New Roman" w:hAnsi="Calibri" w:cs="Calibri"/>
                <w:color w:val="000000"/>
                <w:sz w:val="13"/>
                <w:szCs w:val="13"/>
                <w:lang w:val="en-US" w:eastAsia="fr-FR"/>
              </w:rPr>
              <w:fldChar w:fldCharType="separate"/>
            </w:r>
            <w:r w:rsidRPr="00F31719">
              <w:rPr>
                <w:rFonts w:ascii="Calibri" w:hAnsi="Calibri" w:cs="Calibri"/>
                <w:color w:val="000000"/>
                <w:sz w:val="13"/>
                <w:vertAlign w:val="superscript"/>
                <w:lang w:val="en-US"/>
              </w:rPr>
              <w:t>66</w:t>
            </w:r>
            <w:r w:rsidRPr="00F31719">
              <w:rPr>
                <w:rFonts w:ascii="Calibri" w:eastAsia="Times New Roman" w:hAnsi="Calibri" w:cs="Calibri"/>
                <w:color w:val="000000"/>
                <w:sz w:val="13"/>
                <w:szCs w:val="13"/>
                <w:lang w:val="en-US" w:eastAsia="fr-FR"/>
              </w:rPr>
              <w:fldChar w:fldCharType="end"/>
            </w:r>
            <w:r w:rsidRPr="00F31719">
              <w:rPr>
                <w:rFonts w:ascii="Calibri" w:eastAsia="Times New Roman" w:hAnsi="Calibri" w:cs="Calibri"/>
                <w:color w:val="000000"/>
                <w:sz w:val="13"/>
                <w:szCs w:val="13"/>
                <w:lang w:val="en-US" w:eastAsia="fr-FR"/>
              </w:rPr>
              <w:t xml:space="preserve"> with antibody v.</w:t>
            </w:r>
          </w:p>
        </w:tc>
      </w:tr>
      <w:tr w:rsidR="00016CB7" w:rsidRPr="00B845EF" w14:paraId="4BCB37B6" w14:textId="77777777" w:rsidTr="00DC119E">
        <w:trPr>
          <w:trHeight w:val="310"/>
        </w:trPr>
        <w:tc>
          <w:tcPr>
            <w:tcW w:w="2544" w:type="dxa"/>
            <w:shd w:val="clear" w:color="auto" w:fill="auto"/>
            <w:vAlign w:val="center"/>
            <w:hideMark/>
          </w:tcPr>
          <w:p w14:paraId="5A7AD1C0" w14:textId="77777777" w:rsidR="00016CB7" w:rsidRPr="00F31719" w:rsidRDefault="00016CB7" w:rsidP="00DC119E">
            <w:pPr>
              <w:spacing w:after="0" w:line="240" w:lineRule="auto"/>
              <w:jc w:val="center"/>
              <w:rPr>
                <w:rFonts w:ascii="Calibri" w:eastAsia="Times New Roman" w:hAnsi="Calibri" w:cs="Calibri"/>
                <w:b/>
                <w:bCs/>
                <w:color w:val="000000"/>
                <w:sz w:val="15"/>
                <w:szCs w:val="15"/>
                <w:lang w:val="en-US" w:eastAsia="fr-FR"/>
              </w:rPr>
            </w:pPr>
            <w:r w:rsidRPr="00F31719">
              <w:rPr>
                <w:rFonts w:ascii="Calibri" w:eastAsia="Times New Roman" w:hAnsi="Calibri" w:cs="Calibri"/>
                <w:b/>
                <w:bCs/>
                <w:color w:val="000000"/>
                <w:sz w:val="15"/>
                <w:szCs w:val="15"/>
                <w:lang w:val="en-US" w:eastAsia="fr-FR"/>
              </w:rPr>
              <w:t xml:space="preserve">LATERAL HABENULA </w:t>
            </w:r>
          </w:p>
        </w:tc>
        <w:tc>
          <w:tcPr>
            <w:tcW w:w="8196" w:type="dxa"/>
            <w:gridSpan w:val="3"/>
            <w:shd w:val="clear" w:color="auto" w:fill="auto"/>
            <w:vAlign w:val="center"/>
            <w:hideMark/>
          </w:tcPr>
          <w:p w14:paraId="34CD8745" w14:textId="77777777" w:rsidR="00016CB7" w:rsidRPr="00F31719" w:rsidRDefault="00016CB7" w:rsidP="00DC119E">
            <w:pPr>
              <w:spacing w:after="0" w:line="240" w:lineRule="auto"/>
              <w:jc w:val="center"/>
              <w:rPr>
                <w:rFonts w:ascii="Calibri" w:eastAsia="Times New Roman" w:hAnsi="Calibri" w:cs="Calibri"/>
                <w:color w:val="000000"/>
                <w:sz w:val="13"/>
                <w:szCs w:val="13"/>
                <w:lang w:val="en-US" w:eastAsia="fr-FR"/>
              </w:rPr>
            </w:pPr>
            <w:r w:rsidRPr="00F31719">
              <w:rPr>
                <w:rFonts w:ascii="Calibri" w:eastAsia="Times New Roman" w:hAnsi="Calibri" w:cs="Calibri"/>
                <w:color w:val="000000"/>
                <w:sz w:val="13"/>
                <w:szCs w:val="13"/>
                <w:lang w:val="en-US" w:eastAsia="fr-FR"/>
              </w:rPr>
              <w:t xml:space="preserve">Unidentified cells </w:t>
            </w:r>
            <w:r w:rsidRPr="00F31719">
              <w:rPr>
                <w:rFonts w:ascii="Calibri" w:eastAsia="Times New Roman" w:hAnsi="Calibri" w:cs="Calibri"/>
                <w:color w:val="000000"/>
                <w:sz w:val="13"/>
                <w:szCs w:val="13"/>
                <w:lang w:val="en-US" w:eastAsia="fr-FR"/>
              </w:rPr>
              <w:fldChar w:fldCharType="begin"/>
            </w:r>
            <w:r w:rsidRPr="00F31719">
              <w:rPr>
                <w:rFonts w:ascii="Calibri" w:eastAsia="Times New Roman" w:hAnsi="Calibri" w:cs="Calibri"/>
                <w:color w:val="000000"/>
                <w:sz w:val="13"/>
                <w:szCs w:val="13"/>
                <w:lang w:val="en-US" w:eastAsia="fr-FR"/>
              </w:rPr>
              <w:instrText xml:space="preserve"> ADDIN ZOTERO_ITEM CSL_CITATION {"citationID":"GdmYcuUq","properties":{"formattedCitation":"\\super 98\\nosupersub{}","plainCitation":"98","noteIndex":0},"citationItems":[{"id":314,"uris":["http://zotero.org/users/5359331/items/JAWG7CBW"],"itemData":{"id":314,"type":"article-journal","container-title":"Brain Structure and Function","DOI":"10.1007/s00429-016-1195-z","ISSN":"1863-2653, 1863-2661","issue":"9","journalAbbreviation":"Brain Struct Funct","language":"en","page":"4663-4689","source":"DOI.org (Crossref)","title":"Microarray analysis of transcripts with elevated expressions in the rat medial or lateral habenula suggest fast GABAergic excitation in the medial habenula and habenular involvement in the regulation of feeding and energy balance","volume":"221","author":[{"family":"Wagner","given":"Franziska"},{"family":"Bernard","given":"René"},{"family":"Derst","given":"Christian"},{"family":"French","given":"Leon"},{"family":"Veh","given":"Rüdiger W."}],"issued":{"date-parts":[["2016",12]]}}}],"schema":"https://github.com/citation-style-language/schema/raw/master/csl-citation.json"} </w:instrText>
            </w:r>
            <w:r w:rsidRPr="00F31719">
              <w:rPr>
                <w:rFonts w:ascii="Calibri" w:eastAsia="Times New Roman" w:hAnsi="Calibri" w:cs="Calibri"/>
                <w:color w:val="000000"/>
                <w:sz w:val="13"/>
                <w:szCs w:val="13"/>
                <w:lang w:val="en-US" w:eastAsia="fr-FR"/>
              </w:rPr>
              <w:fldChar w:fldCharType="separate"/>
            </w:r>
            <w:r w:rsidRPr="00F31719">
              <w:rPr>
                <w:rFonts w:ascii="Calibri" w:hAnsi="Calibri" w:cs="Calibri"/>
                <w:color w:val="000000"/>
                <w:sz w:val="13"/>
                <w:vertAlign w:val="superscript"/>
                <w:lang w:val="en-US"/>
              </w:rPr>
              <w:t>98</w:t>
            </w:r>
            <w:r w:rsidRPr="00F31719">
              <w:rPr>
                <w:rFonts w:ascii="Calibri" w:eastAsia="Times New Roman" w:hAnsi="Calibri" w:cs="Calibri"/>
                <w:color w:val="000000"/>
                <w:sz w:val="13"/>
                <w:szCs w:val="13"/>
                <w:lang w:val="en-US" w:eastAsia="fr-FR"/>
              </w:rPr>
              <w:fldChar w:fldCharType="end"/>
            </w:r>
            <w:r w:rsidRPr="00F31719">
              <w:rPr>
                <w:rFonts w:ascii="Calibri" w:eastAsia="Times New Roman" w:hAnsi="Calibri" w:cs="Calibri"/>
                <w:color w:val="000000"/>
                <w:sz w:val="13"/>
                <w:szCs w:val="13"/>
                <w:lang w:val="en-US" w:eastAsia="fr-FR"/>
              </w:rPr>
              <w:t xml:space="preserve"> with antibody M. </w:t>
            </w:r>
          </w:p>
        </w:tc>
      </w:tr>
    </w:tbl>
    <w:p w14:paraId="4E250C32" w14:textId="77777777" w:rsidR="00016CB7" w:rsidRPr="00F31719" w:rsidRDefault="00016CB7" w:rsidP="00016CB7">
      <w:pPr>
        <w:rPr>
          <w:rFonts w:cstheme="minorHAnsi"/>
          <w:b/>
          <w:bCs/>
          <w:lang w:val="en-US"/>
        </w:rPr>
      </w:pPr>
    </w:p>
    <w:p w14:paraId="7E51B426" w14:textId="77777777" w:rsidR="00016CB7" w:rsidRPr="00F31719" w:rsidRDefault="00016CB7" w:rsidP="00016CB7">
      <w:pPr>
        <w:rPr>
          <w:rFonts w:cstheme="minorHAnsi"/>
          <w:b/>
          <w:bCs/>
          <w:lang w:val="en-US"/>
        </w:rPr>
      </w:pPr>
    </w:p>
    <w:p w14:paraId="1F791BC7" w14:textId="77777777" w:rsidR="00016CB7" w:rsidRPr="00F31719" w:rsidRDefault="00016CB7" w:rsidP="00016CB7">
      <w:pPr>
        <w:rPr>
          <w:rFonts w:cstheme="minorHAnsi"/>
          <w:b/>
          <w:bCs/>
          <w:lang w:val="en-US"/>
        </w:rPr>
      </w:pPr>
    </w:p>
    <w:p w14:paraId="042B7272" w14:textId="77777777" w:rsidR="00016CB7" w:rsidRPr="00F31719" w:rsidRDefault="00016CB7" w:rsidP="00016CB7">
      <w:pPr>
        <w:rPr>
          <w:rFonts w:cstheme="minorHAnsi"/>
          <w:b/>
          <w:bCs/>
          <w:lang w:val="en-US"/>
        </w:rPr>
      </w:pPr>
    </w:p>
    <w:p w14:paraId="11D22807" w14:textId="77777777" w:rsidR="00016CB7" w:rsidRPr="00F31719" w:rsidRDefault="00016CB7" w:rsidP="00016CB7">
      <w:pPr>
        <w:rPr>
          <w:rFonts w:cstheme="minorHAnsi"/>
          <w:b/>
          <w:bCs/>
          <w:lang w:val="en-US"/>
        </w:rPr>
      </w:pPr>
    </w:p>
    <w:p w14:paraId="46565941" w14:textId="77777777" w:rsidR="00016CB7" w:rsidRPr="00F31719" w:rsidRDefault="00016CB7" w:rsidP="00016CB7">
      <w:pPr>
        <w:rPr>
          <w:rFonts w:cstheme="minorHAnsi"/>
          <w:b/>
          <w:bCs/>
          <w:lang w:val="en-US"/>
        </w:rPr>
      </w:pPr>
    </w:p>
    <w:p w14:paraId="79AADBBD" w14:textId="77777777" w:rsidR="00016CB7" w:rsidRPr="00F31719" w:rsidRDefault="00016CB7" w:rsidP="00016CB7">
      <w:pPr>
        <w:rPr>
          <w:rFonts w:cstheme="minorHAnsi"/>
          <w:b/>
          <w:bCs/>
          <w:lang w:val="en-US"/>
        </w:rPr>
      </w:pPr>
    </w:p>
    <w:p w14:paraId="2ABCECA7" w14:textId="77777777" w:rsidR="00016CB7" w:rsidRPr="00F31719" w:rsidRDefault="00016CB7" w:rsidP="00016CB7">
      <w:pPr>
        <w:jc w:val="both"/>
        <w:rPr>
          <w:rFonts w:eastAsia="Times New Roman" w:cstheme="minorHAnsi"/>
          <w:color w:val="000000" w:themeColor="text1"/>
          <w:sz w:val="18"/>
          <w:szCs w:val="18"/>
          <w:lang w:val="en-US" w:eastAsia="fr-FR"/>
        </w:rPr>
      </w:pPr>
      <w:r w:rsidRPr="00F31719">
        <w:rPr>
          <w:rFonts w:cstheme="minorHAnsi"/>
          <w:color w:val="000000" w:themeColor="text1"/>
          <w:sz w:val="18"/>
          <w:szCs w:val="18"/>
          <w:lang w:val="en-US"/>
        </w:rPr>
        <w:t>Regions where CB2R protein has been detected with antibodies that have not been fully validated in physiological conditions in areas where the presence of CB2R mRNA has never been investigated to the best of our knowledge. Abbreviations: CB2R, cannabinoid receptor type 2</w:t>
      </w:r>
      <w:r w:rsidRPr="00F31719">
        <w:rPr>
          <w:rFonts w:eastAsia="Times New Roman" w:cstheme="minorHAnsi"/>
          <w:color w:val="000000" w:themeColor="text1"/>
          <w:sz w:val="18"/>
          <w:szCs w:val="18"/>
          <w:shd w:val="clear" w:color="auto" w:fill="FFFFFF"/>
          <w:lang w:val="en-US" w:eastAsia="fr-FR"/>
        </w:rPr>
        <w:t xml:space="preserve">; GFAP, Glial fibrillary acidic protein; </w:t>
      </w:r>
      <w:r w:rsidRPr="00F31719">
        <w:rPr>
          <w:rFonts w:cstheme="minorHAnsi"/>
          <w:color w:val="000000" w:themeColor="text1"/>
          <w:sz w:val="18"/>
          <w:szCs w:val="18"/>
          <w:lang w:val="en-US"/>
        </w:rPr>
        <w:t xml:space="preserve">mRNA, </w:t>
      </w:r>
      <w:r w:rsidRPr="00F31719">
        <w:rPr>
          <w:rFonts w:eastAsia="Times New Roman" w:cstheme="minorHAnsi"/>
          <w:color w:val="000000" w:themeColor="text1"/>
          <w:sz w:val="18"/>
          <w:szCs w:val="18"/>
          <w:shd w:val="clear" w:color="auto" w:fill="FFFFFF"/>
          <w:lang w:val="en-US" w:eastAsia="fr-FR"/>
        </w:rPr>
        <w:t>messenger ribonucleic acid.</w:t>
      </w:r>
    </w:p>
    <w:p w14:paraId="2CCF9A69" w14:textId="77777777" w:rsidR="00016CB7" w:rsidRPr="00F31719" w:rsidRDefault="00016CB7" w:rsidP="00016CB7">
      <w:pPr>
        <w:tabs>
          <w:tab w:val="left" w:pos="1461"/>
        </w:tabs>
        <w:rPr>
          <w:rFonts w:cstheme="minorHAnsi"/>
          <w:b/>
          <w:bCs/>
          <w:sz w:val="16"/>
          <w:szCs w:val="16"/>
          <w:lang w:val="en-US"/>
        </w:rPr>
      </w:pPr>
    </w:p>
    <w:p w14:paraId="1C453169" w14:textId="77777777" w:rsidR="00016CB7" w:rsidRPr="00025154" w:rsidRDefault="00016CB7" w:rsidP="002A0CB5">
      <w:pPr>
        <w:spacing w:after="0" w:line="276" w:lineRule="auto"/>
        <w:jc w:val="both"/>
        <w:rPr>
          <w:b/>
          <w:bCs/>
          <w:sz w:val="24"/>
          <w:szCs w:val="24"/>
          <w:lang w:val="en-US"/>
        </w:rPr>
      </w:pPr>
    </w:p>
    <w:p w14:paraId="4F24F9AA" w14:textId="7D8DFE5B" w:rsidR="00FB6E24" w:rsidRPr="00025154" w:rsidRDefault="00FB6E24" w:rsidP="002A0CB5">
      <w:pPr>
        <w:spacing w:after="0" w:line="276" w:lineRule="auto"/>
        <w:jc w:val="both"/>
        <w:rPr>
          <w:b/>
          <w:bCs/>
          <w:sz w:val="21"/>
          <w:szCs w:val="21"/>
          <w:lang w:val="en-US"/>
        </w:rPr>
      </w:pPr>
    </w:p>
    <w:p w14:paraId="4B63EA63" w14:textId="54EAFBCD" w:rsidR="00D90FC6" w:rsidRDefault="00D90FC6" w:rsidP="002A0CB5">
      <w:pPr>
        <w:spacing w:after="0" w:line="276" w:lineRule="auto"/>
        <w:jc w:val="both"/>
        <w:rPr>
          <w:b/>
          <w:bCs/>
          <w:sz w:val="21"/>
          <w:szCs w:val="21"/>
          <w:lang w:val="en-US"/>
        </w:rPr>
      </w:pPr>
    </w:p>
    <w:p w14:paraId="55CACDC0" w14:textId="56B70E89" w:rsidR="00B845EF" w:rsidRDefault="00B845EF" w:rsidP="002A0CB5">
      <w:pPr>
        <w:spacing w:after="0" w:line="276" w:lineRule="auto"/>
        <w:jc w:val="both"/>
        <w:rPr>
          <w:b/>
          <w:bCs/>
          <w:sz w:val="21"/>
          <w:szCs w:val="21"/>
          <w:lang w:val="en-US"/>
        </w:rPr>
      </w:pPr>
    </w:p>
    <w:p w14:paraId="47B582B3" w14:textId="3307779D" w:rsidR="00B845EF" w:rsidRDefault="00B845EF" w:rsidP="002A0CB5">
      <w:pPr>
        <w:spacing w:after="0" w:line="276" w:lineRule="auto"/>
        <w:jc w:val="both"/>
        <w:rPr>
          <w:b/>
          <w:bCs/>
          <w:sz w:val="21"/>
          <w:szCs w:val="21"/>
          <w:lang w:val="en-US"/>
        </w:rPr>
      </w:pPr>
    </w:p>
    <w:p w14:paraId="40849249" w14:textId="0762E62E" w:rsidR="00B845EF" w:rsidRDefault="00B845EF" w:rsidP="002A0CB5">
      <w:pPr>
        <w:spacing w:after="0" w:line="276" w:lineRule="auto"/>
        <w:jc w:val="both"/>
        <w:rPr>
          <w:b/>
          <w:bCs/>
          <w:sz w:val="21"/>
          <w:szCs w:val="21"/>
          <w:lang w:val="en-US"/>
        </w:rPr>
      </w:pPr>
    </w:p>
    <w:p w14:paraId="78253432" w14:textId="3340E4F6" w:rsidR="00B845EF" w:rsidRDefault="00B845EF" w:rsidP="002A0CB5">
      <w:pPr>
        <w:spacing w:after="0" w:line="276" w:lineRule="auto"/>
        <w:jc w:val="both"/>
        <w:rPr>
          <w:b/>
          <w:bCs/>
          <w:sz w:val="21"/>
          <w:szCs w:val="21"/>
          <w:lang w:val="en-US"/>
        </w:rPr>
      </w:pPr>
    </w:p>
    <w:p w14:paraId="5B9C83F0" w14:textId="3CCDCDBD" w:rsidR="00B845EF" w:rsidRDefault="00B845EF" w:rsidP="002A0CB5">
      <w:pPr>
        <w:spacing w:after="0" w:line="276" w:lineRule="auto"/>
        <w:jc w:val="both"/>
        <w:rPr>
          <w:b/>
          <w:bCs/>
          <w:sz w:val="21"/>
          <w:szCs w:val="21"/>
          <w:lang w:val="en-US"/>
        </w:rPr>
      </w:pPr>
    </w:p>
    <w:p w14:paraId="3E5A8E59" w14:textId="3055E44A" w:rsidR="00B845EF" w:rsidRDefault="00B845EF" w:rsidP="002A0CB5">
      <w:pPr>
        <w:spacing w:after="0" w:line="276" w:lineRule="auto"/>
        <w:jc w:val="both"/>
        <w:rPr>
          <w:b/>
          <w:bCs/>
          <w:sz w:val="21"/>
          <w:szCs w:val="21"/>
          <w:lang w:val="en-US"/>
        </w:rPr>
      </w:pPr>
    </w:p>
    <w:p w14:paraId="6A23A579" w14:textId="78844313" w:rsidR="00B845EF" w:rsidRDefault="00B845EF" w:rsidP="002A0CB5">
      <w:pPr>
        <w:spacing w:after="0" w:line="276" w:lineRule="auto"/>
        <w:jc w:val="both"/>
        <w:rPr>
          <w:b/>
          <w:bCs/>
          <w:sz w:val="21"/>
          <w:szCs w:val="21"/>
          <w:lang w:val="en-US"/>
        </w:rPr>
      </w:pPr>
    </w:p>
    <w:p w14:paraId="050E28C4" w14:textId="11115983" w:rsidR="00B845EF" w:rsidRDefault="00B845EF" w:rsidP="002A0CB5">
      <w:pPr>
        <w:spacing w:after="0" w:line="276" w:lineRule="auto"/>
        <w:jc w:val="both"/>
        <w:rPr>
          <w:b/>
          <w:bCs/>
          <w:sz w:val="21"/>
          <w:szCs w:val="21"/>
          <w:lang w:val="en-US"/>
        </w:rPr>
      </w:pPr>
    </w:p>
    <w:p w14:paraId="61A3BBF9" w14:textId="61BE521C" w:rsidR="00B845EF" w:rsidRDefault="00B845EF" w:rsidP="002A0CB5">
      <w:pPr>
        <w:spacing w:after="0" w:line="276" w:lineRule="auto"/>
        <w:jc w:val="both"/>
        <w:rPr>
          <w:b/>
          <w:bCs/>
          <w:sz w:val="21"/>
          <w:szCs w:val="21"/>
          <w:lang w:val="en-US"/>
        </w:rPr>
      </w:pPr>
    </w:p>
    <w:p w14:paraId="5D60E944" w14:textId="15D1965B" w:rsidR="00B845EF" w:rsidRDefault="00B845EF" w:rsidP="002A0CB5">
      <w:pPr>
        <w:spacing w:after="0" w:line="276" w:lineRule="auto"/>
        <w:jc w:val="both"/>
        <w:rPr>
          <w:b/>
          <w:bCs/>
          <w:sz w:val="21"/>
          <w:szCs w:val="21"/>
          <w:lang w:val="en-US"/>
        </w:rPr>
      </w:pPr>
    </w:p>
    <w:p w14:paraId="6747D4CA" w14:textId="77777777" w:rsidR="00B845EF" w:rsidRDefault="00B845EF" w:rsidP="00B845EF">
      <w:pPr>
        <w:spacing w:after="0" w:line="276" w:lineRule="auto"/>
        <w:jc w:val="both"/>
        <w:rPr>
          <w:b/>
          <w:bCs/>
          <w:sz w:val="21"/>
          <w:szCs w:val="21"/>
          <w:lang w:val="en-US"/>
        </w:rPr>
      </w:pPr>
      <w:r>
        <w:rPr>
          <w:b/>
          <w:bCs/>
          <w:sz w:val="21"/>
          <w:szCs w:val="21"/>
          <w:lang w:val="en-US"/>
        </w:rPr>
        <w:br w:type="page"/>
      </w:r>
      <w:bookmarkEnd w:id="0"/>
    </w:p>
    <w:p w14:paraId="57EB0C44" w14:textId="751FFD5D" w:rsidR="00B845EF" w:rsidRPr="00B845EF" w:rsidRDefault="00B845EF" w:rsidP="00B845EF">
      <w:pPr>
        <w:spacing w:after="0" w:line="276" w:lineRule="auto"/>
        <w:jc w:val="both"/>
        <w:rPr>
          <w:b/>
          <w:bCs/>
          <w:sz w:val="21"/>
          <w:szCs w:val="21"/>
          <w:lang w:val="en-US"/>
        </w:rPr>
      </w:pPr>
      <w:r w:rsidRPr="00F31719">
        <w:rPr>
          <w:b/>
          <w:bCs/>
          <w:lang w:val="en-US"/>
        </w:rPr>
        <w:t xml:space="preserve">Supplementary Table 4. Summary of the brain areas likely to express CB2R protein </w:t>
      </w:r>
    </w:p>
    <w:tbl>
      <w:tblPr>
        <w:tblStyle w:val="Tableausimple5"/>
        <w:tblW w:w="9200" w:type="dxa"/>
        <w:tblLook w:val="04A0" w:firstRow="1" w:lastRow="0" w:firstColumn="1" w:lastColumn="0" w:noHBand="0" w:noVBand="1"/>
      </w:tblPr>
      <w:tblGrid>
        <w:gridCol w:w="1960"/>
        <w:gridCol w:w="2160"/>
        <w:gridCol w:w="1660"/>
        <w:gridCol w:w="2040"/>
        <w:gridCol w:w="1380"/>
      </w:tblGrid>
      <w:tr w:rsidR="00B845EF" w:rsidRPr="00F31719" w14:paraId="208EEF57" w14:textId="77777777" w:rsidTr="00DC119E">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960" w:type="dxa"/>
            <w:noWrap/>
            <w:vAlign w:val="center"/>
            <w:hideMark/>
          </w:tcPr>
          <w:p w14:paraId="6F426AA9" w14:textId="77777777" w:rsidR="00B845EF" w:rsidRPr="00F31719" w:rsidRDefault="00B845EF" w:rsidP="00DC119E">
            <w:pPr>
              <w:rPr>
                <w:rFonts w:ascii="Times New Roman" w:eastAsia="Times New Roman" w:hAnsi="Times New Roman" w:cs="Times New Roman"/>
                <w:sz w:val="16"/>
                <w:szCs w:val="16"/>
                <w:lang w:val="en-US" w:eastAsia="fr-FR"/>
              </w:rPr>
            </w:pPr>
          </w:p>
        </w:tc>
        <w:tc>
          <w:tcPr>
            <w:tcW w:w="3820" w:type="dxa"/>
            <w:gridSpan w:val="2"/>
            <w:tcBorders>
              <w:right w:val="single" w:sz="4" w:space="0" w:color="FFFFFF" w:themeColor="background1"/>
            </w:tcBorders>
            <w:noWrap/>
            <w:vAlign w:val="center"/>
            <w:hideMark/>
          </w:tcPr>
          <w:p w14:paraId="6202CD0E" w14:textId="77777777" w:rsidR="00B845EF" w:rsidRPr="00F31719" w:rsidRDefault="00B845EF" w:rsidP="00DC11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i w:val="0"/>
                <w:iCs w:val="0"/>
                <w:color w:val="000000"/>
                <w:sz w:val="18"/>
                <w:szCs w:val="18"/>
                <w:lang w:eastAsia="fr-FR"/>
              </w:rPr>
            </w:pPr>
            <w:proofErr w:type="spellStart"/>
            <w:proofErr w:type="gramStart"/>
            <w:r w:rsidRPr="00F31719">
              <w:rPr>
                <w:rFonts w:ascii="Calibri" w:eastAsia="Times New Roman" w:hAnsi="Calibri" w:cs="Calibri"/>
                <w:b/>
                <w:bCs/>
                <w:i w:val="0"/>
                <w:iCs w:val="0"/>
                <w:color w:val="000000"/>
                <w:sz w:val="18"/>
                <w:szCs w:val="18"/>
                <w:lang w:eastAsia="fr-FR"/>
              </w:rPr>
              <w:t>mRNA</w:t>
            </w:r>
            <w:proofErr w:type="spellEnd"/>
            <w:proofErr w:type="gramEnd"/>
            <w:r w:rsidRPr="00F31719">
              <w:rPr>
                <w:rFonts w:ascii="Calibri" w:eastAsia="Times New Roman" w:hAnsi="Calibri" w:cs="Calibri"/>
                <w:b/>
                <w:bCs/>
                <w:i w:val="0"/>
                <w:iCs w:val="0"/>
                <w:color w:val="000000"/>
                <w:sz w:val="18"/>
                <w:szCs w:val="18"/>
                <w:lang w:eastAsia="fr-FR"/>
              </w:rPr>
              <w:t>+</w:t>
            </w:r>
          </w:p>
        </w:tc>
        <w:tc>
          <w:tcPr>
            <w:tcW w:w="3420" w:type="dxa"/>
            <w:gridSpan w:val="2"/>
            <w:tcBorders>
              <w:left w:val="single" w:sz="4" w:space="0" w:color="FFFFFF" w:themeColor="background1"/>
            </w:tcBorders>
            <w:noWrap/>
            <w:vAlign w:val="center"/>
            <w:hideMark/>
          </w:tcPr>
          <w:p w14:paraId="20816F13" w14:textId="77777777" w:rsidR="00B845EF" w:rsidRPr="00F31719" w:rsidRDefault="00B845EF" w:rsidP="00DC11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i w:val="0"/>
                <w:iCs w:val="0"/>
                <w:color w:val="000000"/>
                <w:sz w:val="18"/>
                <w:szCs w:val="18"/>
                <w:lang w:eastAsia="fr-FR"/>
              </w:rPr>
            </w:pPr>
            <w:proofErr w:type="spellStart"/>
            <w:proofErr w:type="gramStart"/>
            <w:r w:rsidRPr="00F31719">
              <w:rPr>
                <w:rFonts w:ascii="Calibri" w:eastAsia="Times New Roman" w:hAnsi="Calibri" w:cs="Calibri"/>
                <w:b/>
                <w:bCs/>
                <w:i w:val="0"/>
                <w:iCs w:val="0"/>
                <w:color w:val="000000"/>
                <w:sz w:val="18"/>
                <w:szCs w:val="18"/>
                <w:lang w:eastAsia="fr-FR"/>
              </w:rPr>
              <w:t>mRNA</w:t>
            </w:r>
            <w:proofErr w:type="spellEnd"/>
            <w:proofErr w:type="gramEnd"/>
            <w:r w:rsidRPr="00F31719">
              <w:rPr>
                <w:rFonts w:ascii="Calibri" w:eastAsia="Times New Roman" w:hAnsi="Calibri" w:cs="Calibri"/>
                <w:b/>
                <w:bCs/>
                <w:i w:val="0"/>
                <w:iCs w:val="0"/>
                <w:color w:val="000000"/>
                <w:sz w:val="18"/>
                <w:szCs w:val="18"/>
                <w:lang w:eastAsia="fr-FR"/>
              </w:rPr>
              <w:t xml:space="preserve"> ?</w:t>
            </w:r>
          </w:p>
        </w:tc>
      </w:tr>
      <w:tr w:rsidR="00B845EF" w:rsidRPr="00F31719" w14:paraId="30EE899E" w14:textId="77777777" w:rsidTr="00DC11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0" w:type="dxa"/>
            <w:noWrap/>
            <w:vAlign w:val="center"/>
            <w:hideMark/>
          </w:tcPr>
          <w:p w14:paraId="2680A25E" w14:textId="77777777" w:rsidR="00B845EF" w:rsidRPr="00F31719" w:rsidRDefault="00B845EF" w:rsidP="00DC119E">
            <w:pPr>
              <w:jc w:val="center"/>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c>
          <w:tcPr>
            <w:tcW w:w="2160" w:type="dxa"/>
            <w:noWrap/>
            <w:vAlign w:val="center"/>
            <w:hideMark/>
          </w:tcPr>
          <w:p w14:paraId="2FE1A7BF" w14:textId="77777777" w:rsidR="00B845EF" w:rsidRPr="00F31719" w:rsidRDefault="00B845EF" w:rsidP="00DC119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Brain area</w:t>
            </w:r>
          </w:p>
        </w:tc>
        <w:tc>
          <w:tcPr>
            <w:tcW w:w="1660" w:type="dxa"/>
            <w:tcBorders>
              <w:right w:val="single" w:sz="4" w:space="0" w:color="808080" w:themeColor="background1" w:themeShade="80"/>
            </w:tcBorders>
            <w:noWrap/>
            <w:vAlign w:val="center"/>
            <w:hideMark/>
          </w:tcPr>
          <w:p w14:paraId="7EED1BAE" w14:textId="77777777" w:rsidR="00B845EF" w:rsidRPr="00F31719" w:rsidRDefault="00B845EF" w:rsidP="00DC119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fr-FR"/>
              </w:rPr>
            </w:pPr>
            <w:proofErr w:type="spellStart"/>
            <w:r w:rsidRPr="00F31719">
              <w:rPr>
                <w:rFonts w:ascii="Calibri" w:eastAsia="Times New Roman" w:hAnsi="Calibri" w:cs="Calibri"/>
                <w:b/>
                <w:bCs/>
                <w:color w:val="000000"/>
                <w:sz w:val="16"/>
                <w:szCs w:val="16"/>
                <w:lang w:eastAsia="fr-FR"/>
              </w:rPr>
              <w:t>Cell</w:t>
            </w:r>
            <w:proofErr w:type="spellEnd"/>
            <w:r w:rsidRPr="00F31719">
              <w:rPr>
                <w:rFonts w:ascii="Calibri" w:eastAsia="Times New Roman" w:hAnsi="Calibri" w:cs="Calibri"/>
                <w:b/>
                <w:bCs/>
                <w:color w:val="000000"/>
                <w:sz w:val="16"/>
                <w:szCs w:val="16"/>
                <w:lang w:eastAsia="fr-FR"/>
              </w:rPr>
              <w:t xml:space="preserve"> types</w:t>
            </w:r>
          </w:p>
        </w:tc>
        <w:tc>
          <w:tcPr>
            <w:tcW w:w="2040" w:type="dxa"/>
            <w:tcBorders>
              <w:left w:val="single" w:sz="4" w:space="0" w:color="808080" w:themeColor="background1" w:themeShade="80"/>
            </w:tcBorders>
            <w:noWrap/>
            <w:vAlign w:val="center"/>
            <w:hideMark/>
          </w:tcPr>
          <w:p w14:paraId="694BE57C" w14:textId="77777777" w:rsidR="00B845EF" w:rsidRPr="00F31719" w:rsidRDefault="00B845EF" w:rsidP="00DC119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fr-FR"/>
              </w:rPr>
            </w:pPr>
            <w:r w:rsidRPr="00F31719">
              <w:rPr>
                <w:rFonts w:ascii="Calibri" w:eastAsia="Times New Roman" w:hAnsi="Calibri" w:cs="Calibri"/>
                <w:b/>
                <w:bCs/>
                <w:color w:val="000000"/>
                <w:sz w:val="16"/>
                <w:szCs w:val="16"/>
                <w:lang w:eastAsia="fr-FR"/>
              </w:rPr>
              <w:t>Brain area</w:t>
            </w:r>
          </w:p>
        </w:tc>
        <w:tc>
          <w:tcPr>
            <w:tcW w:w="1380" w:type="dxa"/>
            <w:noWrap/>
            <w:vAlign w:val="center"/>
            <w:hideMark/>
          </w:tcPr>
          <w:p w14:paraId="1FAFA8E1" w14:textId="77777777" w:rsidR="00B845EF" w:rsidRPr="00F31719" w:rsidRDefault="00B845EF" w:rsidP="00DC119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fr-FR"/>
              </w:rPr>
            </w:pPr>
            <w:proofErr w:type="spellStart"/>
            <w:r w:rsidRPr="00F31719">
              <w:rPr>
                <w:rFonts w:ascii="Calibri" w:eastAsia="Times New Roman" w:hAnsi="Calibri" w:cs="Calibri"/>
                <w:b/>
                <w:bCs/>
                <w:color w:val="000000"/>
                <w:sz w:val="16"/>
                <w:szCs w:val="16"/>
                <w:lang w:eastAsia="fr-FR"/>
              </w:rPr>
              <w:t>Cell</w:t>
            </w:r>
            <w:proofErr w:type="spellEnd"/>
            <w:r w:rsidRPr="00F31719">
              <w:rPr>
                <w:rFonts w:ascii="Calibri" w:eastAsia="Times New Roman" w:hAnsi="Calibri" w:cs="Calibri"/>
                <w:b/>
                <w:bCs/>
                <w:color w:val="000000"/>
                <w:sz w:val="16"/>
                <w:szCs w:val="16"/>
                <w:lang w:eastAsia="fr-FR"/>
              </w:rPr>
              <w:t xml:space="preserve"> types</w:t>
            </w:r>
          </w:p>
        </w:tc>
      </w:tr>
      <w:tr w:rsidR="00B845EF" w:rsidRPr="00F31719" w14:paraId="218E269E" w14:textId="77777777" w:rsidTr="00DC119E">
        <w:trPr>
          <w:trHeight w:val="520"/>
        </w:trPr>
        <w:tc>
          <w:tcPr>
            <w:cnfStyle w:val="001000000000" w:firstRow="0" w:lastRow="0" w:firstColumn="1" w:lastColumn="0" w:oddVBand="0" w:evenVBand="0" w:oddHBand="0" w:evenHBand="0" w:firstRowFirstColumn="0" w:firstRowLastColumn="0" w:lastRowFirstColumn="0" w:lastRowLastColumn="0"/>
            <w:tcW w:w="1960" w:type="dxa"/>
            <w:vAlign w:val="center"/>
            <w:hideMark/>
          </w:tcPr>
          <w:p w14:paraId="4A224FFC" w14:textId="77777777" w:rsidR="00B845EF" w:rsidRPr="00F31719" w:rsidRDefault="00B845EF" w:rsidP="00DC119E">
            <w:pPr>
              <w:jc w:val="center"/>
              <w:rPr>
                <w:rFonts w:ascii="Calibri" w:eastAsia="Times New Roman" w:hAnsi="Calibri" w:cs="Calibri"/>
                <w:b/>
                <w:bCs/>
                <w:i w:val="0"/>
                <w:iCs w:val="0"/>
                <w:color w:val="000000"/>
                <w:sz w:val="16"/>
                <w:szCs w:val="16"/>
                <w:lang w:val="en-US" w:eastAsia="fr-FR"/>
              </w:rPr>
            </w:pPr>
            <w:r w:rsidRPr="00F31719">
              <w:rPr>
                <w:rFonts w:ascii="Calibri" w:eastAsia="Times New Roman" w:hAnsi="Calibri" w:cs="Calibri"/>
                <w:b/>
                <w:bCs/>
                <w:i w:val="0"/>
                <w:iCs w:val="0"/>
                <w:color w:val="000000"/>
                <w:sz w:val="16"/>
                <w:szCs w:val="16"/>
                <w:lang w:val="en-US" w:eastAsia="fr-FR"/>
              </w:rPr>
              <w:t>Validated antibodies (D, G, H and K)</w:t>
            </w:r>
          </w:p>
        </w:tc>
        <w:tc>
          <w:tcPr>
            <w:tcW w:w="2160" w:type="dxa"/>
            <w:vAlign w:val="center"/>
            <w:hideMark/>
          </w:tcPr>
          <w:p w14:paraId="21634B5E" w14:textId="77777777" w:rsidR="00B845EF" w:rsidRPr="00F31719" w:rsidRDefault="00B845EF" w:rsidP="00DC11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val="en-US" w:eastAsia="fr-FR"/>
              </w:rPr>
            </w:pPr>
            <w:r w:rsidRPr="00F31719">
              <w:rPr>
                <w:rFonts w:ascii="Calibri" w:eastAsia="Times New Roman" w:hAnsi="Calibri" w:cs="Calibri"/>
                <w:color w:val="000000"/>
                <w:sz w:val="16"/>
                <w:szCs w:val="16"/>
                <w:lang w:val="en-US" w:eastAsia="fr-FR"/>
              </w:rPr>
              <w:t>Hippocampus, VTA, Red Nucleus, Brainstem, Retina</w:t>
            </w:r>
          </w:p>
        </w:tc>
        <w:tc>
          <w:tcPr>
            <w:tcW w:w="1660" w:type="dxa"/>
            <w:tcBorders>
              <w:right w:val="single" w:sz="4" w:space="0" w:color="808080" w:themeColor="background1" w:themeShade="80"/>
            </w:tcBorders>
            <w:vAlign w:val="center"/>
            <w:hideMark/>
          </w:tcPr>
          <w:p w14:paraId="794F204C" w14:textId="77777777" w:rsidR="00B845EF" w:rsidRPr="00F31719" w:rsidRDefault="00B845EF" w:rsidP="00DC11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fr-FR"/>
              </w:rPr>
            </w:pPr>
            <w:proofErr w:type="spellStart"/>
            <w:r w:rsidRPr="00F31719">
              <w:rPr>
                <w:rFonts w:ascii="Calibri" w:eastAsia="Times New Roman" w:hAnsi="Calibri" w:cs="Calibri"/>
                <w:color w:val="000000"/>
                <w:sz w:val="16"/>
                <w:szCs w:val="16"/>
                <w:lang w:eastAsia="fr-FR"/>
              </w:rPr>
              <w:t>Neurons</w:t>
            </w:r>
            <w:proofErr w:type="spellEnd"/>
            <w:r w:rsidRPr="00F31719">
              <w:rPr>
                <w:rFonts w:ascii="Calibri" w:eastAsia="Times New Roman" w:hAnsi="Calibri" w:cs="Calibri"/>
                <w:color w:val="000000"/>
                <w:sz w:val="16"/>
                <w:szCs w:val="16"/>
                <w:lang w:eastAsia="fr-FR"/>
              </w:rPr>
              <w:t xml:space="preserve">, </w:t>
            </w:r>
            <w:proofErr w:type="spellStart"/>
            <w:r w:rsidRPr="00F31719">
              <w:rPr>
                <w:rFonts w:ascii="Calibri" w:eastAsia="Times New Roman" w:hAnsi="Calibri" w:cs="Calibri"/>
                <w:color w:val="000000"/>
                <w:sz w:val="16"/>
                <w:szCs w:val="16"/>
                <w:lang w:eastAsia="fr-FR"/>
              </w:rPr>
              <w:t>microglia</w:t>
            </w:r>
            <w:proofErr w:type="spellEnd"/>
            <w:r w:rsidRPr="00F31719">
              <w:rPr>
                <w:rFonts w:ascii="Calibri" w:eastAsia="Times New Roman" w:hAnsi="Calibri" w:cs="Calibri"/>
                <w:color w:val="000000"/>
                <w:sz w:val="16"/>
                <w:szCs w:val="16"/>
                <w:lang w:eastAsia="fr-FR"/>
              </w:rPr>
              <w:t>, astrocytes</w:t>
            </w:r>
          </w:p>
        </w:tc>
        <w:tc>
          <w:tcPr>
            <w:tcW w:w="2040" w:type="dxa"/>
            <w:tcBorders>
              <w:left w:val="single" w:sz="4" w:space="0" w:color="808080" w:themeColor="background1" w:themeShade="80"/>
            </w:tcBorders>
            <w:vAlign w:val="center"/>
            <w:hideMark/>
          </w:tcPr>
          <w:p w14:paraId="6B970AED" w14:textId="77777777" w:rsidR="00B845EF" w:rsidRPr="00F31719" w:rsidRDefault="00B845EF" w:rsidP="00DC11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c>
          <w:tcPr>
            <w:tcW w:w="1380" w:type="dxa"/>
            <w:vAlign w:val="center"/>
            <w:hideMark/>
          </w:tcPr>
          <w:p w14:paraId="1C8B281A" w14:textId="77777777" w:rsidR="00B845EF" w:rsidRPr="00F31719" w:rsidRDefault="00B845EF" w:rsidP="00DC11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 </w:t>
            </w:r>
          </w:p>
        </w:tc>
      </w:tr>
      <w:tr w:rsidR="00B845EF" w:rsidRPr="00F31719" w14:paraId="22390B09" w14:textId="77777777" w:rsidTr="00DC119E">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1960" w:type="dxa"/>
            <w:vAlign w:val="center"/>
            <w:hideMark/>
          </w:tcPr>
          <w:p w14:paraId="656C4593" w14:textId="77777777" w:rsidR="00B845EF" w:rsidRPr="00F31719" w:rsidRDefault="00B845EF" w:rsidP="00DC119E">
            <w:pPr>
              <w:jc w:val="center"/>
              <w:rPr>
                <w:rFonts w:ascii="Calibri" w:eastAsia="Times New Roman" w:hAnsi="Calibri" w:cs="Calibri"/>
                <w:b/>
                <w:bCs/>
                <w:i w:val="0"/>
                <w:iCs w:val="0"/>
                <w:color w:val="000000"/>
                <w:sz w:val="16"/>
                <w:szCs w:val="16"/>
                <w:lang w:val="en-US" w:eastAsia="fr-FR"/>
              </w:rPr>
            </w:pPr>
            <w:r w:rsidRPr="00F31719">
              <w:rPr>
                <w:rFonts w:ascii="Calibri" w:eastAsia="Times New Roman" w:hAnsi="Calibri" w:cs="Calibri"/>
                <w:b/>
                <w:bCs/>
                <w:i w:val="0"/>
                <w:iCs w:val="0"/>
                <w:color w:val="000000"/>
                <w:sz w:val="16"/>
                <w:szCs w:val="16"/>
                <w:lang w:val="en-US" w:eastAsia="fr-FR"/>
              </w:rPr>
              <w:t>Unvalidated antibodies (A, B, C, E, F, I, J, L, M, N O, P, Q, R, s, t, u and v)</w:t>
            </w:r>
          </w:p>
        </w:tc>
        <w:tc>
          <w:tcPr>
            <w:tcW w:w="2160" w:type="dxa"/>
            <w:vAlign w:val="center"/>
            <w:hideMark/>
          </w:tcPr>
          <w:p w14:paraId="05B611DD" w14:textId="77777777" w:rsidR="00B845EF" w:rsidRPr="00F31719" w:rsidRDefault="00B845EF" w:rsidP="00DC119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val="en-US" w:eastAsia="fr-FR"/>
              </w:rPr>
            </w:pPr>
            <w:r w:rsidRPr="00F31719">
              <w:rPr>
                <w:rFonts w:ascii="Calibri" w:eastAsia="Times New Roman" w:hAnsi="Calibri" w:cs="Calibri"/>
                <w:color w:val="000000"/>
                <w:sz w:val="16"/>
                <w:szCs w:val="16"/>
                <w:lang w:val="en-US" w:eastAsia="fr-FR"/>
              </w:rPr>
              <w:t>Neocortex, Nucleus Accumbens, Striatum, Amygdala, Substantia Nigra, Cerebellum, Spinal Cord, Hypothalamus</w:t>
            </w:r>
          </w:p>
        </w:tc>
        <w:tc>
          <w:tcPr>
            <w:tcW w:w="1660" w:type="dxa"/>
            <w:tcBorders>
              <w:right w:val="single" w:sz="4" w:space="0" w:color="808080" w:themeColor="background1" w:themeShade="80"/>
            </w:tcBorders>
            <w:vAlign w:val="center"/>
            <w:hideMark/>
          </w:tcPr>
          <w:p w14:paraId="34D80F9F" w14:textId="77777777" w:rsidR="00B845EF" w:rsidRPr="00F31719" w:rsidRDefault="00B845EF" w:rsidP="00DC119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fr-FR"/>
              </w:rPr>
            </w:pPr>
            <w:proofErr w:type="spellStart"/>
            <w:r w:rsidRPr="00F31719">
              <w:rPr>
                <w:rFonts w:ascii="Calibri" w:eastAsia="Times New Roman" w:hAnsi="Calibri" w:cs="Calibri"/>
                <w:color w:val="000000"/>
                <w:sz w:val="16"/>
                <w:szCs w:val="16"/>
                <w:lang w:eastAsia="fr-FR"/>
              </w:rPr>
              <w:t>Neurons</w:t>
            </w:r>
            <w:proofErr w:type="spellEnd"/>
            <w:r w:rsidRPr="00F31719">
              <w:rPr>
                <w:rFonts w:ascii="Calibri" w:eastAsia="Times New Roman" w:hAnsi="Calibri" w:cs="Calibri"/>
                <w:color w:val="000000"/>
                <w:sz w:val="16"/>
                <w:szCs w:val="16"/>
                <w:lang w:eastAsia="fr-FR"/>
              </w:rPr>
              <w:t xml:space="preserve">, </w:t>
            </w:r>
            <w:proofErr w:type="spellStart"/>
            <w:r w:rsidRPr="00F31719">
              <w:rPr>
                <w:rFonts w:ascii="Calibri" w:eastAsia="Times New Roman" w:hAnsi="Calibri" w:cs="Calibri"/>
                <w:color w:val="000000"/>
                <w:sz w:val="16"/>
                <w:szCs w:val="16"/>
                <w:lang w:eastAsia="fr-FR"/>
              </w:rPr>
              <w:t>microglia</w:t>
            </w:r>
            <w:proofErr w:type="spellEnd"/>
            <w:r w:rsidRPr="00F31719">
              <w:rPr>
                <w:rFonts w:ascii="Calibri" w:eastAsia="Times New Roman" w:hAnsi="Calibri" w:cs="Calibri"/>
                <w:color w:val="000000"/>
                <w:sz w:val="16"/>
                <w:szCs w:val="16"/>
                <w:lang w:eastAsia="fr-FR"/>
              </w:rPr>
              <w:t>, astrocytes</w:t>
            </w:r>
          </w:p>
        </w:tc>
        <w:tc>
          <w:tcPr>
            <w:tcW w:w="2040" w:type="dxa"/>
            <w:tcBorders>
              <w:left w:val="single" w:sz="4" w:space="0" w:color="808080" w:themeColor="background1" w:themeShade="80"/>
            </w:tcBorders>
            <w:vAlign w:val="center"/>
            <w:hideMark/>
          </w:tcPr>
          <w:p w14:paraId="5FDC1369" w14:textId="77777777" w:rsidR="00B845EF" w:rsidRPr="00F31719" w:rsidRDefault="00B845EF" w:rsidP="00DC119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val="en-US" w:eastAsia="fr-FR"/>
              </w:rPr>
            </w:pPr>
            <w:r w:rsidRPr="00F31719">
              <w:rPr>
                <w:rFonts w:ascii="Calibri" w:eastAsia="Times New Roman" w:hAnsi="Calibri" w:cs="Calibri"/>
                <w:color w:val="000000"/>
                <w:sz w:val="16"/>
                <w:szCs w:val="16"/>
                <w:lang w:val="en-US" w:eastAsia="fr-FR"/>
              </w:rPr>
              <w:t>Lateral Habenula, Corpus callosum, Midbrain and Pons nuclei, Cochlea,</w:t>
            </w:r>
          </w:p>
        </w:tc>
        <w:tc>
          <w:tcPr>
            <w:tcW w:w="1380" w:type="dxa"/>
            <w:vAlign w:val="center"/>
            <w:hideMark/>
          </w:tcPr>
          <w:p w14:paraId="18E19C62" w14:textId="77777777" w:rsidR="00B845EF" w:rsidRPr="00F31719" w:rsidRDefault="00B845EF" w:rsidP="00DC119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fr-FR"/>
              </w:rPr>
            </w:pPr>
            <w:r w:rsidRPr="00F31719">
              <w:rPr>
                <w:rFonts w:ascii="Calibri" w:eastAsia="Times New Roman" w:hAnsi="Calibri" w:cs="Calibri"/>
                <w:color w:val="000000"/>
                <w:sz w:val="16"/>
                <w:szCs w:val="16"/>
                <w:lang w:eastAsia="fr-FR"/>
              </w:rPr>
              <w:t>Astrocytes, ?</w:t>
            </w:r>
          </w:p>
        </w:tc>
      </w:tr>
    </w:tbl>
    <w:p w14:paraId="01690AED" w14:textId="77777777" w:rsidR="00B845EF" w:rsidRPr="00F31719" w:rsidRDefault="00B845EF" w:rsidP="00B845EF">
      <w:pPr>
        <w:jc w:val="both"/>
        <w:rPr>
          <w:rFonts w:cstheme="minorHAnsi"/>
          <w:sz w:val="16"/>
          <w:szCs w:val="16"/>
          <w:lang w:val="en-US"/>
        </w:rPr>
      </w:pPr>
    </w:p>
    <w:p w14:paraId="35D4D17B" w14:textId="77777777" w:rsidR="00B845EF" w:rsidRPr="00BA250A" w:rsidRDefault="00B845EF" w:rsidP="00B845EF">
      <w:pPr>
        <w:spacing w:after="240" w:line="276" w:lineRule="auto"/>
        <w:jc w:val="both"/>
        <w:rPr>
          <w:b/>
          <w:bCs/>
          <w:sz w:val="18"/>
          <w:szCs w:val="18"/>
          <w:lang w:val="en-US"/>
        </w:rPr>
      </w:pPr>
      <w:r w:rsidRPr="00F31719">
        <w:rPr>
          <w:rFonts w:cstheme="minorHAnsi"/>
          <w:sz w:val="18"/>
          <w:szCs w:val="18"/>
          <w:lang w:val="en-US"/>
        </w:rPr>
        <w:t>The regions listed in the left columns (mRNA +) correspond to the regions for which studies have shown the presence of CB2R transcript (by RT-qPCR and/or in situ hybridization), as detailed in section 3. “</w:t>
      </w:r>
      <w:r w:rsidRPr="00F31719">
        <w:rPr>
          <w:b/>
          <w:bCs/>
          <w:sz w:val="18"/>
          <w:szCs w:val="18"/>
          <w:lang w:val="en-US"/>
        </w:rPr>
        <w:t>Brain regions and cell types found to express CB2R at the mRNA level</w:t>
      </w:r>
      <w:r w:rsidRPr="00F31719">
        <w:rPr>
          <w:rFonts w:cstheme="minorHAnsi"/>
          <w:sz w:val="18"/>
          <w:szCs w:val="18"/>
          <w:lang w:val="en-US"/>
        </w:rPr>
        <w:t>”. The regions listed in the right columns (mRNA?) correspond to the regions for which we have not identified any studies that have detected CB2R transcript. The letters assigned to the antibodies correspond to those assigned in Table 2. Abbreviations: CB2R</w:t>
      </w:r>
      <w:r w:rsidRPr="00F31719">
        <w:rPr>
          <w:rFonts w:cstheme="minorHAnsi"/>
          <w:color w:val="000000" w:themeColor="text1"/>
          <w:sz w:val="18"/>
          <w:szCs w:val="18"/>
          <w:lang w:val="en-US"/>
        </w:rPr>
        <w:t xml:space="preserve">, cannabinoid receptor type 2; mRNA, </w:t>
      </w:r>
      <w:r w:rsidRPr="00F31719">
        <w:rPr>
          <w:rFonts w:eastAsia="Times New Roman" w:cstheme="minorHAnsi"/>
          <w:color w:val="000000" w:themeColor="text1"/>
          <w:sz w:val="18"/>
          <w:szCs w:val="18"/>
          <w:shd w:val="clear" w:color="auto" w:fill="FFFFFF"/>
          <w:lang w:val="en-US" w:eastAsia="fr-FR"/>
        </w:rPr>
        <w:t>messenger ribonucleic acid</w:t>
      </w:r>
      <w:r w:rsidRPr="00F31719">
        <w:rPr>
          <w:rFonts w:cstheme="minorHAnsi"/>
          <w:sz w:val="18"/>
          <w:szCs w:val="18"/>
          <w:lang w:val="en-US"/>
        </w:rPr>
        <w:t>; VTA, Ventral Tegmental Area.</w:t>
      </w:r>
    </w:p>
    <w:p w14:paraId="5B8E6AEF" w14:textId="77777777" w:rsidR="00B845EF" w:rsidRPr="00025154" w:rsidRDefault="00B845EF" w:rsidP="002A0CB5">
      <w:pPr>
        <w:spacing w:after="0" w:line="276" w:lineRule="auto"/>
        <w:jc w:val="both"/>
        <w:rPr>
          <w:b/>
          <w:bCs/>
          <w:sz w:val="21"/>
          <w:szCs w:val="21"/>
          <w:lang w:val="en-US"/>
        </w:rPr>
      </w:pPr>
    </w:p>
    <w:sectPr w:rsidR="00B845EF" w:rsidRPr="00025154" w:rsidSect="00B845EF">
      <w:headerReference w:type="default" r:id="rId10"/>
      <w:footerReference w:type="even" r:id="rId11"/>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E489C" w14:textId="77777777" w:rsidR="00F47246" w:rsidRDefault="00F47246">
      <w:pPr>
        <w:spacing w:after="0" w:line="240" w:lineRule="auto"/>
      </w:pPr>
      <w:r>
        <w:separator/>
      </w:r>
    </w:p>
  </w:endnote>
  <w:endnote w:type="continuationSeparator" w:id="0">
    <w:p w14:paraId="555F20EB" w14:textId="77777777" w:rsidR="00F47246" w:rsidRDefault="00F47246">
      <w:pPr>
        <w:spacing w:after="0" w:line="240" w:lineRule="auto"/>
      </w:pPr>
      <w:r>
        <w:continuationSeparator/>
      </w:r>
    </w:p>
  </w:endnote>
  <w:endnote w:type="continuationNotice" w:id="1">
    <w:p w14:paraId="4232E157" w14:textId="77777777" w:rsidR="00F47246" w:rsidRDefault="00F472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40800168"/>
      <w:docPartObj>
        <w:docPartGallery w:val="Page Numbers (Bottom of Page)"/>
        <w:docPartUnique/>
      </w:docPartObj>
    </w:sdtPr>
    <w:sdtEndPr>
      <w:rPr>
        <w:rStyle w:val="Numrodepage"/>
      </w:rPr>
    </w:sdtEndPr>
    <w:sdtContent>
      <w:p w14:paraId="33637C85" w14:textId="77777777" w:rsidR="00016CB7" w:rsidRDefault="00016CB7" w:rsidP="00E5100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20</w:t>
        </w:r>
        <w:r>
          <w:rPr>
            <w:rStyle w:val="Numrodepage"/>
          </w:rPr>
          <w:fldChar w:fldCharType="end"/>
        </w:r>
      </w:p>
    </w:sdtContent>
  </w:sdt>
  <w:p w14:paraId="0AACD402" w14:textId="77777777" w:rsidR="00016CB7" w:rsidRDefault="00016CB7" w:rsidP="00F25CB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533308358"/>
      <w:docPartObj>
        <w:docPartGallery w:val="Page Numbers (Bottom of Page)"/>
        <w:docPartUnique/>
      </w:docPartObj>
    </w:sdtPr>
    <w:sdtEndPr>
      <w:rPr>
        <w:rStyle w:val="Numrodepage"/>
      </w:rPr>
    </w:sdtEndPr>
    <w:sdtContent>
      <w:p w14:paraId="0573D481" w14:textId="77777777" w:rsidR="00016CB7" w:rsidRDefault="00016CB7" w:rsidP="00E5100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47ABFFFA" w14:textId="77777777" w:rsidR="00016CB7" w:rsidRDefault="00016CB7" w:rsidP="00F25CBF">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914972643"/>
      <w:docPartObj>
        <w:docPartGallery w:val="Page Numbers (Bottom of Page)"/>
        <w:docPartUnique/>
      </w:docPartObj>
    </w:sdtPr>
    <w:sdtEndPr>
      <w:rPr>
        <w:rStyle w:val="Numrodepage"/>
      </w:rPr>
    </w:sdtEndPr>
    <w:sdtContent>
      <w:p w14:paraId="67068319" w14:textId="77777777" w:rsidR="00ED14DA" w:rsidRDefault="00CC0283" w:rsidP="00E5100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sidR="00B845EF">
          <w:rPr>
            <w:rStyle w:val="Numrodepage"/>
          </w:rPr>
          <w:fldChar w:fldCharType="separate"/>
        </w:r>
        <w:r>
          <w:rPr>
            <w:rStyle w:val="Numrodepage"/>
          </w:rPr>
          <w:fldChar w:fldCharType="end"/>
        </w:r>
      </w:p>
    </w:sdtContent>
  </w:sdt>
  <w:p w14:paraId="7FE04965" w14:textId="77777777" w:rsidR="00ED14DA" w:rsidRDefault="00ED14DA" w:rsidP="00F25CBF">
    <w:pPr>
      <w:pStyle w:val="Pieddepag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720947682"/>
      <w:docPartObj>
        <w:docPartGallery w:val="Page Numbers (Bottom of Page)"/>
        <w:docPartUnique/>
      </w:docPartObj>
    </w:sdtPr>
    <w:sdtEndPr>
      <w:rPr>
        <w:rStyle w:val="Numrodepage"/>
      </w:rPr>
    </w:sdtEndPr>
    <w:sdtContent>
      <w:p w14:paraId="12D40C26" w14:textId="77777777" w:rsidR="00ED14DA" w:rsidRDefault="00CC0283" w:rsidP="00E5100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BE2CFE4" w14:textId="77777777" w:rsidR="00ED14DA" w:rsidRDefault="00ED14DA" w:rsidP="00F25CB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EEF90" w14:textId="77777777" w:rsidR="00F47246" w:rsidRDefault="00F47246">
      <w:pPr>
        <w:spacing w:after="0" w:line="240" w:lineRule="auto"/>
      </w:pPr>
      <w:r>
        <w:separator/>
      </w:r>
    </w:p>
  </w:footnote>
  <w:footnote w:type="continuationSeparator" w:id="0">
    <w:p w14:paraId="7F9CD2BC" w14:textId="77777777" w:rsidR="00F47246" w:rsidRDefault="00F47246">
      <w:pPr>
        <w:spacing w:after="0" w:line="240" w:lineRule="auto"/>
      </w:pPr>
      <w:r>
        <w:continuationSeparator/>
      </w:r>
    </w:p>
  </w:footnote>
  <w:footnote w:type="continuationNotice" w:id="1">
    <w:p w14:paraId="3C0A26C8" w14:textId="77777777" w:rsidR="00F47246" w:rsidRDefault="00F472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F62A" w14:textId="77777777" w:rsidR="008574E7" w:rsidRDefault="008574E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45B88"/>
    <w:multiLevelType w:val="hybridMultilevel"/>
    <w:tmpl w:val="CAB6356E"/>
    <w:lvl w:ilvl="0" w:tplc="0B70083C">
      <w:start w:val="1"/>
      <w:numFmt w:val="bullet"/>
      <w:lvlText w:val=""/>
      <w:lvlJc w:val="left"/>
      <w:pPr>
        <w:ind w:left="720" w:hanging="360"/>
      </w:pPr>
      <w:rPr>
        <w:rFonts w:ascii="Wingdings" w:hAnsi="Wingdings" w:hint="default"/>
      </w:rPr>
    </w:lvl>
    <w:lvl w:ilvl="1" w:tplc="30AA6236" w:tentative="1">
      <w:start w:val="1"/>
      <w:numFmt w:val="bullet"/>
      <w:lvlText w:val="o"/>
      <w:lvlJc w:val="left"/>
      <w:pPr>
        <w:ind w:left="1440" w:hanging="360"/>
      </w:pPr>
      <w:rPr>
        <w:rFonts w:ascii="Courier New" w:hAnsi="Courier New" w:cs="Courier New" w:hint="default"/>
      </w:rPr>
    </w:lvl>
    <w:lvl w:ilvl="2" w:tplc="2EA82D60" w:tentative="1">
      <w:start w:val="1"/>
      <w:numFmt w:val="bullet"/>
      <w:lvlText w:val=""/>
      <w:lvlJc w:val="left"/>
      <w:pPr>
        <w:ind w:left="2160" w:hanging="360"/>
      </w:pPr>
      <w:rPr>
        <w:rFonts w:ascii="Wingdings" w:hAnsi="Wingdings" w:cs="Wingdings" w:hint="default"/>
      </w:rPr>
    </w:lvl>
    <w:lvl w:ilvl="3" w:tplc="0E5C528C" w:tentative="1">
      <w:start w:val="1"/>
      <w:numFmt w:val="bullet"/>
      <w:lvlText w:val=""/>
      <w:lvlJc w:val="left"/>
      <w:pPr>
        <w:ind w:left="2880" w:hanging="360"/>
      </w:pPr>
      <w:rPr>
        <w:rFonts w:ascii="Symbol" w:hAnsi="Symbol" w:cs="Symbol" w:hint="default"/>
      </w:rPr>
    </w:lvl>
    <w:lvl w:ilvl="4" w:tplc="309882F2" w:tentative="1">
      <w:start w:val="1"/>
      <w:numFmt w:val="bullet"/>
      <w:lvlText w:val="o"/>
      <w:lvlJc w:val="left"/>
      <w:pPr>
        <w:ind w:left="3600" w:hanging="360"/>
      </w:pPr>
      <w:rPr>
        <w:rFonts w:ascii="Courier New" w:hAnsi="Courier New" w:cs="Courier New" w:hint="default"/>
      </w:rPr>
    </w:lvl>
    <w:lvl w:ilvl="5" w:tplc="FA789174" w:tentative="1">
      <w:start w:val="1"/>
      <w:numFmt w:val="bullet"/>
      <w:lvlText w:val=""/>
      <w:lvlJc w:val="left"/>
      <w:pPr>
        <w:ind w:left="4320" w:hanging="360"/>
      </w:pPr>
      <w:rPr>
        <w:rFonts w:ascii="Wingdings" w:hAnsi="Wingdings" w:cs="Wingdings" w:hint="default"/>
      </w:rPr>
    </w:lvl>
    <w:lvl w:ilvl="6" w:tplc="8A240A2A" w:tentative="1">
      <w:start w:val="1"/>
      <w:numFmt w:val="bullet"/>
      <w:lvlText w:val=""/>
      <w:lvlJc w:val="left"/>
      <w:pPr>
        <w:ind w:left="5040" w:hanging="360"/>
      </w:pPr>
      <w:rPr>
        <w:rFonts w:ascii="Symbol" w:hAnsi="Symbol" w:cs="Symbol" w:hint="default"/>
      </w:rPr>
    </w:lvl>
    <w:lvl w:ilvl="7" w:tplc="3C8C33B0" w:tentative="1">
      <w:start w:val="1"/>
      <w:numFmt w:val="bullet"/>
      <w:lvlText w:val="o"/>
      <w:lvlJc w:val="left"/>
      <w:pPr>
        <w:ind w:left="5760" w:hanging="360"/>
      </w:pPr>
      <w:rPr>
        <w:rFonts w:ascii="Courier New" w:hAnsi="Courier New" w:cs="Courier New" w:hint="default"/>
      </w:rPr>
    </w:lvl>
    <w:lvl w:ilvl="8" w:tplc="45261E5E" w:tentative="1">
      <w:start w:val="1"/>
      <w:numFmt w:val="bullet"/>
      <w:lvlText w:val=""/>
      <w:lvlJc w:val="left"/>
      <w:pPr>
        <w:ind w:left="6480" w:hanging="360"/>
      </w:pPr>
      <w:rPr>
        <w:rFonts w:ascii="Wingdings" w:hAnsi="Wingdings" w:cs="Wingdings" w:hint="default"/>
      </w:rPr>
    </w:lvl>
  </w:abstractNum>
  <w:abstractNum w:abstractNumId="1" w15:restartNumberingAfterBreak="0">
    <w:nsid w:val="0C7D47E9"/>
    <w:multiLevelType w:val="multilevel"/>
    <w:tmpl w:val="545A6E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187603"/>
    <w:multiLevelType w:val="hybridMultilevel"/>
    <w:tmpl w:val="49BADBBE"/>
    <w:lvl w:ilvl="0" w:tplc="F3023958">
      <w:start w:val="1"/>
      <w:numFmt w:val="bullet"/>
      <w:lvlText w:val="o"/>
      <w:lvlJc w:val="left"/>
      <w:pPr>
        <w:ind w:left="720" w:hanging="360"/>
      </w:pPr>
      <w:rPr>
        <w:rFonts w:ascii="Courier New" w:hAnsi="Courier New" w:cs="Courier New" w:hint="default"/>
      </w:rPr>
    </w:lvl>
    <w:lvl w:ilvl="1" w:tplc="6162699A" w:tentative="1">
      <w:start w:val="1"/>
      <w:numFmt w:val="bullet"/>
      <w:lvlText w:val="o"/>
      <w:lvlJc w:val="left"/>
      <w:pPr>
        <w:ind w:left="1440" w:hanging="360"/>
      </w:pPr>
      <w:rPr>
        <w:rFonts w:ascii="Courier New" w:hAnsi="Courier New" w:cs="Courier New" w:hint="default"/>
      </w:rPr>
    </w:lvl>
    <w:lvl w:ilvl="2" w:tplc="D38A16D4" w:tentative="1">
      <w:start w:val="1"/>
      <w:numFmt w:val="bullet"/>
      <w:lvlText w:val=""/>
      <w:lvlJc w:val="left"/>
      <w:pPr>
        <w:ind w:left="2160" w:hanging="360"/>
      </w:pPr>
      <w:rPr>
        <w:rFonts w:ascii="Wingdings" w:hAnsi="Wingdings" w:hint="default"/>
      </w:rPr>
    </w:lvl>
    <w:lvl w:ilvl="3" w:tplc="4570314A" w:tentative="1">
      <w:start w:val="1"/>
      <w:numFmt w:val="bullet"/>
      <w:lvlText w:val=""/>
      <w:lvlJc w:val="left"/>
      <w:pPr>
        <w:ind w:left="2880" w:hanging="360"/>
      </w:pPr>
      <w:rPr>
        <w:rFonts w:ascii="Symbol" w:hAnsi="Symbol" w:hint="default"/>
      </w:rPr>
    </w:lvl>
    <w:lvl w:ilvl="4" w:tplc="35AEA116" w:tentative="1">
      <w:start w:val="1"/>
      <w:numFmt w:val="bullet"/>
      <w:lvlText w:val="o"/>
      <w:lvlJc w:val="left"/>
      <w:pPr>
        <w:ind w:left="3600" w:hanging="360"/>
      </w:pPr>
      <w:rPr>
        <w:rFonts w:ascii="Courier New" w:hAnsi="Courier New" w:cs="Courier New" w:hint="default"/>
      </w:rPr>
    </w:lvl>
    <w:lvl w:ilvl="5" w:tplc="47C0064C" w:tentative="1">
      <w:start w:val="1"/>
      <w:numFmt w:val="bullet"/>
      <w:lvlText w:val=""/>
      <w:lvlJc w:val="left"/>
      <w:pPr>
        <w:ind w:left="4320" w:hanging="360"/>
      </w:pPr>
      <w:rPr>
        <w:rFonts w:ascii="Wingdings" w:hAnsi="Wingdings" w:hint="default"/>
      </w:rPr>
    </w:lvl>
    <w:lvl w:ilvl="6" w:tplc="FBCEB79E" w:tentative="1">
      <w:start w:val="1"/>
      <w:numFmt w:val="bullet"/>
      <w:lvlText w:val=""/>
      <w:lvlJc w:val="left"/>
      <w:pPr>
        <w:ind w:left="5040" w:hanging="360"/>
      </w:pPr>
      <w:rPr>
        <w:rFonts w:ascii="Symbol" w:hAnsi="Symbol" w:hint="default"/>
      </w:rPr>
    </w:lvl>
    <w:lvl w:ilvl="7" w:tplc="B0DEEA46" w:tentative="1">
      <w:start w:val="1"/>
      <w:numFmt w:val="bullet"/>
      <w:lvlText w:val="o"/>
      <w:lvlJc w:val="left"/>
      <w:pPr>
        <w:ind w:left="5760" w:hanging="360"/>
      </w:pPr>
      <w:rPr>
        <w:rFonts w:ascii="Courier New" w:hAnsi="Courier New" w:cs="Courier New" w:hint="default"/>
      </w:rPr>
    </w:lvl>
    <w:lvl w:ilvl="8" w:tplc="4192FA68" w:tentative="1">
      <w:start w:val="1"/>
      <w:numFmt w:val="bullet"/>
      <w:lvlText w:val=""/>
      <w:lvlJc w:val="left"/>
      <w:pPr>
        <w:ind w:left="6480" w:hanging="360"/>
      </w:pPr>
      <w:rPr>
        <w:rFonts w:ascii="Wingdings" w:hAnsi="Wingdings" w:hint="default"/>
      </w:rPr>
    </w:lvl>
  </w:abstractNum>
  <w:abstractNum w:abstractNumId="3" w15:restartNumberingAfterBreak="0">
    <w:nsid w:val="13A31045"/>
    <w:multiLevelType w:val="hybridMultilevel"/>
    <w:tmpl w:val="BD725FAC"/>
    <w:lvl w:ilvl="0" w:tplc="EB2A5F4A">
      <w:start w:val="1"/>
      <w:numFmt w:val="bullet"/>
      <w:lvlText w:val=""/>
      <w:lvlJc w:val="left"/>
      <w:pPr>
        <w:ind w:left="720" w:hanging="360"/>
      </w:pPr>
      <w:rPr>
        <w:rFonts w:ascii="Wingdings" w:hAnsi="Wingdings" w:hint="default"/>
      </w:rPr>
    </w:lvl>
    <w:lvl w:ilvl="1" w:tplc="F152629A" w:tentative="1">
      <w:start w:val="1"/>
      <w:numFmt w:val="bullet"/>
      <w:lvlText w:val="o"/>
      <w:lvlJc w:val="left"/>
      <w:pPr>
        <w:ind w:left="1440" w:hanging="360"/>
      </w:pPr>
      <w:rPr>
        <w:rFonts w:ascii="Courier New" w:hAnsi="Courier New" w:cs="Courier New" w:hint="default"/>
      </w:rPr>
    </w:lvl>
    <w:lvl w:ilvl="2" w:tplc="263AF6C2" w:tentative="1">
      <w:start w:val="1"/>
      <w:numFmt w:val="bullet"/>
      <w:lvlText w:val=""/>
      <w:lvlJc w:val="left"/>
      <w:pPr>
        <w:ind w:left="2160" w:hanging="360"/>
      </w:pPr>
      <w:rPr>
        <w:rFonts w:ascii="Wingdings" w:hAnsi="Wingdings" w:hint="default"/>
      </w:rPr>
    </w:lvl>
    <w:lvl w:ilvl="3" w:tplc="2B608636" w:tentative="1">
      <w:start w:val="1"/>
      <w:numFmt w:val="bullet"/>
      <w:lvlText w:val=""/>
      <w:lvlJc w:val="left"/>
      <w:pPr>
        <w:ind w:left="2880" w:hanging="360"/>
      </w:pPr>
      <w:rPr>
        <w:rFonts w:ascii="Symbol" w:hAnsi="Symbol" w:hint="default"/>
      </w:rPr>
    </w:lvl>
    <w:lvl w:ilvl="4" w:tplc="2C6A6CDA" w:tentative="1">
      <w:start w:val="1"/>
      <w:numFmt w:val="bullet"/>
      <w:lvlText w:val="o"/>
      <w:lvlJc w:val="left"/>
      <w:pPr>
        <w:ind w:left="3600" w:hanging="360"/>
      </w:pPr>
      <w:rPr>
        <w:rFonts w:ascii="Courier New" w:hAnsi="Courier New" w:cs="Courier New" w:hint="default"/>
      </w:rPr>
    </w:lvl>
    <w:lvl w:ilvl="5" w:tplc="60586B76" w:tentative="1">
      <w:start w:val="1"/>
      <w:numFmt w:val="bullet"/>
      <w:lvlText w:val=""/>
      <w:lvlJc w:val="left"/>
      <w:pPr>
        <w:ind w:left="4320" w:hanging="360"/>
      </w:pPr>
      <w:rPr>
        <w:rFonts w:ascii="Wingdings" w:hAnsi="Wingdings" w:hint="default"/>
      </w:rPr>
    </w:lvl>
    <w:lvl w:ilvl="6" w:tplc="2FBE0166" w:tentative="1">
      <w:start w:val="1"/>
      <w:numFmt w:val="bullet"/>
      <w:lvlText w:val=""/>
      <w:lvlJc w:val="left"/>
      <w:pPr>
        <w:ind w:left="5040" w:hanging="360"/>
      </w:pPr>
      <w:rPr>
        <w:rFonts w:ascii="Symbol" w:hAnsi="Symbol" w:hint="default"/>
      </w:rPr>
    </w:lvl>
    <w:lvl w:ilvl="7" w:tplc="25BADCB8" w:tentative="1">
      <w:start w:val="1"/>
      <w:numFmt w:val="bullet"/>
      <w:lvlText w:val="o"/>
      <w:lvlJc w:val="left"/>
      <w:pPr>
        <w:ind w:left="5760" w:hanging="360"/>
      </w:pPr>
      <w:rPr>
        <w:rFonts w:ascii="Courier New" w:hAnsi="Courier New" w:cs="Courier New" w:hint="default"/>
      </w:rPr>
    </w:lvl>
    <w:lvl w:ilvl="8" w:tplc="300467F8" w:tentative="1">
      <w:start w:val="1"/>
      <w:numFmt w:val="bullet"/>
      <w:lvlText w:val=""/>
      <w:lvlJc w:val="left"/>
      <w:pPr>
        <w:ind w:left="6480" w:hanging="360"/>
      </w:pPr>
      <w:rPr>
        <w:rFonts w:ascii="Wingdings" w:hAnsi="Wingdings" w:hint="default"/>
      </w:rPr>
    </w:lvl>
  </w:abstractNum>
  <w:abstractNum w:abstractNumId="4" w15:restartNumberingAfterBreak="0">
    <w:nsid w:val="245D37CA"/>
    <w:multiLevelType w:val="hybridMultilevel"/>
    <w:tmpl w:val="2CDEA9E4"/>
    <w:lvl w:ilvl="0" w:tplc="1D1886B6">
      <w:start w:val="1"/>
      <w:numFmt w:val="decimal"/>
      <w:lvlText w:val="%1."/>
      <w:lvlJc w:val="left"/>
      <w:pPr>
        <w:ind w:left="720" w:hanging="360"/>
      </w:pPr>
      <w:rPr>
        <w:rFonts w:hint="default"/>
      </w:rPr>
    </w:lvl>
    <w:lvl w:ilvl="1" w:tplc="53A8B102" w:tentative="1">
      <w:start w:val="1"/>
      <w:numFmt w:val="lowerLetter"/>
      <w:lvlText w:val="%2."/>
      <w:lvlJc w:val="left"/>
      <w:pPr>
        <w:ind w:left="1440" w:hanging="360"/>
      </w:pPr>
    </w:lvl>
    <w:lvl w:ilvl="2" w:tplc="177E953E" w:tentative="1">
      <w:start w:val="1"/>
      <w:numFmt w:val="lowerRoman"/>
      <w:lvlText w:val="%3."/>
      <w:lvlJc w:val="right"/>
      <w:pPr>
        <w:ind w:left="2160" w:hanging="180"/>
      </w:pPr>
    </w:lvl>
    <w:lvl w:ilvl="3" w:tplc="E7680E50" w:tentative="1">
      <w:start w:val="1"/>
      <w:numFmt w:val="decimal"/>
      <w:lvlText w:val="%4."/>
      <w:lvlJc w:val="left"/>
      <w:pPr>
        <w:ind w:left="2880" w:hanging="360"/>
      </w:pPr>
    </w:lvl>
    <w:lvl w:ilvl="4" w:tplc="6A385670" w:tentative="1">
      <w:start w:val="1"/>
      <w:numFmt w:val="lowerLetter"/>
      <w:lvlText w:val="%5."/>
      <w:lvlJc w:val="left"/>
      <w:pPr>
        <w:ind w:left="3600" w:hanging="360"/>
      </w:pPr>
    </w:lvl>
    <w:lvl w:ilvl="5" w:tplc="6C8241CC" w:tentative="1">
      <w:start w:val="1"/>
      <w:numFmt w:val="lowerRoman"/>
      <w:lvlText w:val="%6."/>
      <w:lvlJc w:val="right"/>
      <w:pPr>
        <w:ind w:left="4320" w:hanging="180"/>
      </w:pPr>
    </w:lvl>
    <w:lvl w:ilvl="6" w:tplc="B84E3D92" w:tentative="1">
      <w:start w:val="1"/>
      <w:numFmt w:val="decimal"/>
      <w:lvlText w:val="%7."/>
      <w:lvlJc w:val="left"/>
      <w:pPr>
        <w:ind w:left="5040" w:hanging="360"/>
      </w:pPr>
    </w:lvl>
    <w:lvl w:ilvl="7" w:tplc="6B9EF370" w:tentative="1">
      <w:start w:val="1"/>
      <w:numFmt w:val="lowerLetter"/>
      <w:lvlText w:val="%8."/>
      <w:lvlJc w:val="left"/>
      <w:pPr>
        <w:ind w:left="5760" w:hanging="360"/>
      </w:pPr>
    </w:lvl>
    <w:lvl w:ilvl="8" w:tplc="C060AD04" w:tentative="1">
      <w:start w:val="1"/>
      <w:numFmt w:val="lowerRoman"/>
      <w:lvlText w:val="%9."/>
      <w:lvlJc w:val="right"/>
      <w:pPr>
        <w:ind w:left="6480" w:hanging="180"/>
      </w:pPr>
    </w:lvl>
  </w:abstractNum>
  <w:abstractNum w:abstractNumId="5" w15:restartNumberingAfterBreak="0">
    <w:nsid w:val="25271150"/>
    <w:multiLevelType w:val="hybridMultilevel"/>
    <w:tmpl w:val="9C18C4CA"/>
    <w:lvl w:ilvl="0" w:tplc="2E944B6C">
      <w:start w:val="1"/>
      <w:numFmt w:val="bullet"/>
      <w:lvlText w:val=""/>
      <w:lvlJc w:val="left"/>
      <w:pPr>
        <w:ind w:left="720" w:hanging="360"/>
      </w:pPr>
      <w:rPr>
        <w:rFonts w:ascii="Wingdings" w:hAnsi="Wingdings" w:hint="default"/>
      </w:rPr>
    </w:lvl>
    <w:lvl w:ilvl="1" w:tplc="C3FC203E" w:tentative="1">
      <w:start w:val="1"/>
      <w:numFmt w:val="bullet"/>
      <w:lvlText w:val="o"/>
      <w:lvlJc w:val="left"/>
      <w:pPr>
        <w:ind w:left="1440" w:hanging="360"/>
      </w:pPr>
      <w:rPr>
        <w:rFonts w:ascii="Courier New" w:hAnsi="Courier New" w:cs="Courier New" w:hint="default"/>
      </w:rPr>
    </w:lvl>
    <w:lvl w:ilvl="2" w:tplc="72582CD6" w:tentative="1">
      <w:start w:val="1"/>
      <w:numFmt w:val="bullet"/>
      <w:lvlText w:val=""/>
      <w:lvlJc w:val="left"/>
      <w:pPr>
        <w:ind w:left="2160" w:hanging="360"/>
      </w:pPr>
      <w:rPr>
        <w:rFonts w:ascii="Wingdings" w:hAnsi="Wingdings" w:hint="default"/>
      </w:rPr>
    </w:lvl>
    <w:lvl w:ilvl="3" w:tplc="7306199A" w:tentative="1">
      <w:start w:val="1"/>
      <w:numFmt w:val="bullet"/>
      <w:lvlText w:val=""/>
      <w:lvlJc w:val="left"/>
      <w:pPr>
        <w:ind w:left="2880" w:hanging="360"/>
      </w:pPr>
      <w:rPr>
        <w:rFonts w:ascii="Symbol" w:hAnsi="Symbol" w:hint="default"/>
      </w:rPr>
    </w:lvl>
    <w:lvl w:ilvl="4" w:tplc="A0A6698C" w:tentative="1">
      <w:start w:val="1"/>
      <w:numFmt w:val="bullet"/>
      <w:lvlText w:val="o"/>
      <w:lvlJc w:val="left"/>
      <w:pPr>
        <w:ind w:left="3600" w:hanging="360"/>
      </w:pPr>
      <w:rPr>
        <w:rFonts w:ascii="Courier New" w:hAnsi="Courier New" w:cs="Courier New" w:hint="default"/>
      </w:rPr>
    </w:lvl>
    <w:lvl w:ilvl="5" w:tplc="91C6DDD0" w:tentative="1">
      <w:start w:val="1"/>
      <w:numFmt w:val="bullet"/>
      <w:lvlText w:val=""/>
      <w:lvlJc w:val="left"/>
      <w:pPr>
        <w:ind w:left="4320" w:hanging="360"/>
      </w:pPr>
      <w:rPr>
        <w:rFonts w:ascii="Wingdings" w:hAnsi="Wingdings" w:hint="default"/>
      </w:rPr>
    </w:lvl>
    <w:lvl w:ilvl="6" w:tplc="ED706842" w:tentative="1">
      <w:start w:val="1"/>
      <w:numFmt w:val="bullet"/>
      <w:lvlText w:val=""/>
      <w:lvlJc w:val="left"/>
      <w:pPr>
        <w:ind w:left="5040" w:hanging="360"/>
      </w:pPr>
      <w:rPr>
        <w:rFonts w:ascii="Symbol" w:hAnsi="Symbol" w:hint="default"/>
      </w:rPr>
    </w:lvl>
    <w:lvl w:ilvl="7" w:tplc="1964506A" w:tentative="1">
      <w:start w:val="1"/>
      <w:numFmt w:val="bullet"/>
      <w:lvlText w:val="o"/>
      <w:lvlJc w:val="left"/>
      <w:pPr>
        <w:ind w:left="5760" w:hanging="360"/>
      </w:pPr>
      <w:rPr>
        <w:rFonts w:ascii="Courier New" w:hAnsi="Courier New" w:cs="Courier New" w:hint="default"/>
      </w:rPr>
    </w:lvl>
    <w:lvl w:ilvl="8" w:tplc="448635A6" w:tentative="1">
      <w:start w:val="1"/>
      <w:numFmt w:val="bullet"/>
      <w:lvlText w:val=""/>
      <w:lvlJc w:val="left"/>
      <w:pPr>
        <w:ind w:left="6480" w:hanging="360"/>
      </w:pPr>
      <w:rPr>
        <w:rFonts w:ascii="Wingdings" w:hAnsi="Wingdings" w:hint="default"/>
      </w:rPr>
    </w:lvl>
  </w:abstractNum>
  <w:abstractNum w:abstractNumId="6" w15:restartNumberingAfterBreak="0">
    <w:nsid w:val="271B68C6"/>
    <w:multiLevelType w:val="multilevel"/>
    <w:tmpl w:val="B45822A6"/>
    <w:styleLink w:val="Listeactuelle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C0B4FB9"/>
    <w:multiLevelType w:val="multilevel"/>
    <w:tmpl w:val="8A46465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587325"/>
    <w:multiLevelType w:val="hybridMultilevel"/>
    <w:tmpl w:val="B9BC1B9E"/>
    <w:lvl w:ilvl="0" w:tplc="F648C166">
      <w:start w:val="2"/>
      <w:numFmt w:val="bullet"/>
      <w:lvlText w:val="-"/>
      <w:lvlJc w:val="left"/>
      <w:pPr>
        <w:ind w:left="720" w:hanging="360"/>
      </w:pPr>
      <w:rPr>
        <w:rFonts w:ascii="Calibri" w:eastAsiaTheme="minorHAnsi" w:hAnsi="Calibri" w:cs="Calibri" w:hint="default"/>
      </w:rPr>
    </w:lvl>
    <w:lvl w:ilvl="1" w:tplc="DE38BA1C">
      <w:start w:val="1"/>
      <w:numFmt w:val="bullet"/>
      <w:lvlText w:val="o"/>
      <w:lvlJc w:val="left"/>
      <w:pPr>
        <w:ind w:left="1440" w:hanging="360"/>
      </w:pPr>
      <w:rPr>
        <w:rFonts w:ascii="Courier New" w:hAnsi="Courier New" w:cs="Courier New" w:hint="default"/>
      </w:rPr>
    </w:lvl>
    <w:lvl w:ilvl="2" w:tplc="6292D4F8">
      <w:start w:val="1"/>
      <w:numFmt w:val="bullet"/>
      <w:lvlText w:val=""/>
      <w:lvlJc w:val="left"/>
      <w:pPr>
        <w:ind w:left="2160" w:hanging="360"/>
      </w:pPr>
      <w:rPr>
        <w:rFonts w:ascii="Wingdings" w:hAnsi="Wingdings" w:cs="Wingdings" w:hint="default"/>
      </w:rPr>
    </w:lvl>
    <w:lvl w:ilvl="3" w:tplc="EBEC7AA0" w:tentative="1">
      <w:start w:val="1"/>
      <w:numFmt w:val="bullet"/>
      <w:lvlText w:val=""/>
      <w:lvlJc w:val="left"/>
      <w:pPr>
        <w:ind w:left="2880" w:hanging="360"/>
      </w:pPr>
      <w:rPr>
        <w:rFonts w:ascii="Symbol" w:hAnsi="Symbol" w:cs="Symbol" w:hint="default"/>
      </w:rPr>
    </w:lvl>
    <w:lvl w:ilvl="4" w:tplc="AF9A4BB4" w:tentative="1">
      <w:start w:val="1"/>
      <w:numFmt w:val="bullet"/>
      <w:lvlText w:val="o"/>
      <w:lvlJc w:val="left"/>
      <w:pPr>
        <w:ind w:left="3600" w:hanging="360"/>
      </w:pPr>
      <w:rPr>
        <w:rFonts w:ascii="Courier New" w:hAnsi="Courier New" w:cs="Courier New" w:hint="default"/>
      </w:rPr>
    </w:lvl>
    <w:lvl w:ilvl="5" w:tplc="BE7C1950" w:tentative="1">
      <w:start w:val="1"/>
      <w:numFmt w:val="bullet"/>
      <w:lvlText w:val=""/>
      <w:lvlJc w:val="left"/>
      <w:pPr>
        <w:ind w:left="4320" w:hanging="360"/>
      </w:pPr>
      <w:rPr>
        <w:rFonts w:ascii="Wingdings" w:hAnsi="Wingdings" w:cs="Wingdings" w:hint="default"/>
      </w:rPr>
    </w:lvl>
    <w:lvl w:ilvl="6" w:tplc="837E05E8" w:tentative="1">
      <w:start w:val="1"/>
      <w:numFmt w:val="bullet"/>
      <w:lvlText w:val=""/>
      <w:lvlJc w:val="left"/>
      <w:pPr>
        <w:ind w:left="5040" w:hanging="360"/>
      </w:pPr>
      <w:rPr>
        <w:rFonts w:ascii="Symbol" w:hAnsi="Symbol" w:cs="Symbol" w:hint="default"/>
      </w:rPr>
    </w:lvl>
    <w:lvl w:ilvl="7" w:tplc="EDA22624" w:tentative="1">
      <w:start w:val="1"/>
      <w:numFmt w:val="bullet"/>
      <w:lvlText w:val="o"/>
      <w:lvlJc w:val="left"/>
      <w:pPr>
        <w:ind w:left="5760" w:hanging="360"/>
      </w:pPr>
      <w:rPr>
        <w:rFonts w:ascii="Courier New" w:hAnsi="Courier New" w:cs="Courier New" w:hint="default"/>
      </w:rPr>
    </w:lvl>
    <w:lvl w:ilvl="8" w:tplc="84789858" w:tentative="1">
      <w:start w:val="1"/>
      <w:numFmt w:val="bullet"/>
      <w:lvlText w:val=""/>
      <w:lvlJc w:val="left"/>
      <w:pPr>
        <w:ind w:left="6480" w:hanging="360"/>
      </w:pPr>
      <w:rPr>
        <w:rFonts w:ascii="Wingdings" w:hAnsi="Wingdings" w:cs="Wingdings" w:hint="default"/>
      </w:rPr>
    </w:lvl>
  </w:abstractNum>
  <w:abstractNum w:abstractNumId="9" w15:restartNumberingAfterBreak="0">
    <w:nsid w:val="39DB561F"/>
    <w:multiLevelType w:val="multilevel"/>
    <w:tmpl w:val="796EFB8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0FE1BFF"/>
    <w:multiLevelType w:val="hybridMultilevel"/>
    <w:tmpl w:val="2CDEA9E4"/>
    <w:lvl w:ilvl="0" w:tplc="DF72AF62">
      <w:start w:val="1"/>
      <w:numFmt w:val="decimal"/>
      <w:lvlText w:val="%1."/>
      <w:lvlJc w:val="left"/>
      <w:pPr>
        <w:ind w:left="720" w:hanging="360"/>
      </w:pPr>
      <w:rPr>
        <w:rFonts w:hint="default"/>
      </w:rPr>
    </w:lvl>
    <w:lvl w:ilvl="1" w:tplc="ED603804" w:tentative="1">
      <w:start w:val="1"/>
      <w:numFmt w:val="lowerLetter"/>
      <w:lvlText w:val="%2."/>
      <w:lvlJc w:val="left"/>
      <w:pPr>
        <w:ind w:left="1440" w:hanging="360"/>
      </w:pPr>
    </w:lvl>
    <w:lvl w:ilvl="2" w:tplc="7AAC98C4" w:tentative="1">
      <w:start w:val="1"/>
      <w:numFmt w:val="lowerRoman"/>
      <w:lvlText w:val="%3."/>
      <w:lvlJc w:val="right"/>
      <w:pPr>
        <w:ind w:left="2160" w:hanging="180"/>
      </w:pPr>
    </w:lvl>
    <w:lvl w:ilvl="3" w:tplc="2026D85A" w:tentative="1">
      <w:start w:val="1"/>
      <w:numFmt w:val="decimal"/>
      <w:lvlText w:val="%4."/>
      <w:lvlJc w:val="left"/>
      <w:pPr>
        <w:ind w:left="2880" w:hanging="360"/>
      </w:pPr>
    </w:lvl>
    <w:lvl w:ilvl="4" w:tplc="7F18198A" w:tentative="1">
      <w:start w:val="1"/>
      <w:numFmt w:val="lowerLetter"/>
      <w:lvlText w:val="%5."/>
      <w:lvlJc w:val="left"/>
      <w:pPr>
        <w:ind w:left="3600" w:hanging="360"/>
      </w:pPr>
    </w:lvl>
    <w:lvl w:ilvl="5" w:tplc="3140B876" w:tentative="1">
      <w:start w:val="1"/>
      <w:numFmt w:val="lowerRoman"/>
      <w:lvlText w:val="%6."/>
      <w:lvlJc w:val="right"/>
      <w:pPr>
        <w:ind w:left="4320" w:hanging="180"/>
      </w:pPr>
    </w:lvl>
    <w:lvl w:ilvl="6" w:tplc="170A2BA4" w:tentative="1">
      <w:start w:val="1"/>
      <w:numFmt w:val="decimal"/>
      <w:lvlText w:val="%7."/>
      <w:lvlJc w:val="left"/>
      <w:pPr>
        <w:ind w:left="5040" w:hanging="360"/>
      </w:pPr>
    </w:lvl>
    <w:lvl w:ilvl="7" w:tplc="86062092" w:tentative="1">
      <w:start w:val="1"/>
      <w:numFmt w:val="lowerLetter"/>
      <w:lvlText w:val="%8."/>
      <w:lvlJc w:val="left"/>
      <w:pPr>
        <w:ind w:left="5760" w:hanging="360"/>
      </w:pPr>
    </w:lvl>
    <w:lvl w:ilvl="8" w:tplc="00A89074" w:tentative="1">
      <w:start w:val="1"/>
      <w:numFmt w:val="lowerRoman"/>
      <w:lvlText w:val="%9."/>
      <w:lvlJc w:val="right"/>
      <w:pPr>
        <w:ind w:left="6480" w:hanging="180"/>
      </w:pPr>
    </w:lvl>
  </w:abstractNum>
  <w:abstractNum w:abstractNumId="11" w15:restartNumberingAfterBreak="0">
    <w:nsid w:val="427252F9"/>
    <w:multiLevelType w:val="hybridMultilevel"/>
    <w:tmpl w:val="4BE2B29A"/>
    <w:lvl w:ilvl="0" w:tplc="E1A4E19C">
      <w:start w:val="1"/>
      <w:numFmt w:val="bullet"/>
      <w:lvlText w:val=""/>
      <w:lvlJc w:val="left"/>
      <w:pPr>
        <w:ind w:left="720" w:hanging="360"/>
      </w:pPr>
      <w:rPr>
        <w:rFonts w:ascii="Wingdings" w:hAnsi="Wingdings" w:hint="default"/>
      </w:rPr>
    </w:lvl>
    <w:lvl w:ilvl="1" w:tplc="DACE910C" w:tentative="1">
      <w:start w:val="1"/>
      <w:numFmt w:val="bullet"/>
      <w:lvlText w:val="o"/>
      <w:lvlJc w:val="left"/>
      <w:pPr>
        <w:ind w:left="1440" w:hanging="360"/>
      </w:pPr>
      <w:rPr>
        <w:rFonts w:ascii="Courier New" w:hAnsi="Courier New" w:cs="Courier New" w:hint="default"/>
      </w:rPr>
    </w:lvl>
    <w:lvl w:ilvl="2" w:tplc="DCF2B670" w:tentative="1">
      <w:start w:val="1"/>
      <w:numFmt w:val="bullet"/>
      <w:lvlText w:val=""/>
      <w:lvlJc w:val="left"/>
      <w:pPr>
        <w:ind w:left="2160" w:hanging="360"/>
      </w:pPr>
      <w:rPr>
        <w:rFonts w:ascii="Wingdings" w:hAnsi="Wingdings" w:cs="Wingdings" w:hint="default"/>
      </w:rPr>
    </w:lvl>
    <w:lvl w:ilvl="3" w:tplc="5AD8A252" w:tentative="1">
      <w:start w:val="1"/>
      <w:numFmt w:val="bullet"/>
      <w:lvlText w:val=""/>
      <w:lvlJc w:val="left"/>
      <w:pPr>
        <w:ind w:left="2880" w:hanging="360"/>
      </w:pPr>
      <w:rPr>
        <w:rFonts w:ascii="Symbol" w:hAnsi="Symbol" w:cs="Symbol" w:hint="default"/>
      </w:rPr>
    </w:lvl>
    <w:lvl w:ilvl="4" w:tplc="CA8268E6" w:tentative="1">
      <w:start w:val="1"/>
      <w:numFmt w:val="bullet"/>
      <w:lvlText w:val="o"/>
      <w:lvlJc w:val="left"/>
      <w:pPr>
        <w:ind w:left="3600" w:hanging="360"/>
      </w:pPr>
      <w:rPr>
        <w:rFonts w:ascii="Courier New" w:hAnsi="Courier New" w:cs="Courier New" w:hint="default"/>
      </w:rPr>
    </w:lvl>
    <w:lvl w:ilvl="5" w:tplc="AC8880F4" w:tentative="1">
      <w:start w:val="1"/>
      <w:numFmt w:val="bullet"/>
      <w:lvlText w:val=""/>
      <w:lvlJc w:val="left"/>
      <w:pPr>
        <w:ind w:left="4320" w:hanging="360"/>
      </w:pPr>
      <w:rPr>
        <w:rFonts w:ascii="Wingdings" w:hAnsi="Wingdings" w:cs="Wingdings" w:hint="default"/>
      </w:rPr>
    </w:lvl>
    <w:lvl w:ilvl="6" w:tplc="81041C72" w:tentative="1">
      <w:start w:val="1"/>
      <w:numFmt w:val="bullet"/>
      <w:lvlText w:val=""/>
      <w:lvlJc w:val="left"/>
      <w:pPr>
        <w:ind w:left="5040" w:hanging="360"/>
      </w:pPr>
      <w:rPr>
        <w:rFonts w:ascii="Symbol" w:hAnsi="Symbol" w:cs="Symbol" w:hint="default"/>
      </w:rPr>
    </w:lvl>
    <w:lvl w:ilvl="7" w:tplc="A920C03E" w:tentative="1">
      <w:start w:val="1"/>
      <w:numFmt w:val="bullet"/>
      <w:lvlText w:val="o"/>
      <w:lvlJc w:val="left"/>
      <w:pPr>
        <w:ind w:left="5760" w:hanging="360"/>
      </w:pPr>
      <w:rPr>
        <w:rFonts w:ascii="Courier New" w:hAnsi="Courier New" w:cs="Courier New" w:hint="default"/>
      </w:rPr>
    </w:lvl>
    <w:lvl w:ilvl="8" w:tplc="8F8C97A6" w:tentative="1">
      <w:start w:val="1"/>
      <w:numFmt w:val="bullet"/>
      <w:lvlText w:val=""/>
      <w:lvlJc w:val="left"/>
      <w:pPr>
        <w:ind w:left="6480" w:hanging="360"/>
      </w:pPr>
      <w:rPr>
        <w:rFonts w:ascii="Wingdings" w:hAnsi="Wingdings" w:cs="Wingdings" w:hint="default"/>
      </w:rPr>
    </w:lvl>
  </w:abstractNum>
  <w:abstractNum w:abstractNumId="12" w15:restartNumberingAfterBreak="0">
    <w:nsid w:val="46E46C0C"/>
    <w:multiLevelType w:val="hybridMultilevel"/>
    <w:tmpl w:val="2CDEA9E4"/>
    <w:lvl w:ilvl="0" w:tplc="EA94BF04">
      <w:start w:val="1"/>
      <w:numFmt w:val="decimal"/>
      <w:lvlText w:val="%1."/>
      <w:lvlJc w:val="left"/>
      <w:pPr>
        <w:ind w:left="720" w:hanging="360"/>
      </w:pPr>
      <w:rPr>
        <w:rFonts w:hint="default"/>
      </w:rPr>
    </w:lvl>
    <w:lvl w:ilvl="1" w:tplc="798EE0A4" w:tentative="1">
      <w:start w:val="1"/>
      <w:numFmt w:val="lowerLetter"/>
      <w:lvlText w:val="%2."/>
      <w:lvlJc w:val="left"/>
      <w:pPr>
        <w:ind w:left="1440" w:hanging="360"/>
      </w:pPr>
    </w:lvl>
    <w:lvl w:ilvl="2" w:tplc="A01E2E68" w:tentative="1">
      <w:start w:val="1"/>
      <w:numFmt w:val="lowerRoman"/>
      <w:lvlText w:val="%3."/>
      <w:lvlJc w:val="right"/>
      <w:pPr>
        <w:ind w:left="2160" w:hanging="180"/>
      </w:pPr>
    </w:lvl>
    <w:lvl w:ilvl="3" w:tplc="A93A9414" w:tentative="1">
      <w:start w:val="1"/>
      <w:numFmt w:val="decimal"/>
      <w:lvlText w:val="%4."/>
      <w:lvlJc w:val="left"/>
      <w:pPr>
        <w:ind w:left="2880" w:hanging="360"/>
      </w:pPr>
    </w:lvl>
    <w:lvl w:ilvl="4" w:tplc="46AE08D8" w:tentative="1">
      <w:start w:val="1"/>
      <w:numFmt w:val="lowerLetter"/>
      <w:lvlText w:val="%5."/>
      <w:lvlJc w:val="left"/>
      <w:pPr>
        <w:ind w:left="3600" w:hanging="360"/>
      </w:pPr>
    </w:lvl>
    <w:lvl w:ilvl="5" w:tplc="8C3AFE82" w:tentative="1">
      <w:start w:val="1"/>
      <w:numFmt w:val="lowerRoman"/>
      <w:lvlText w:val="%6."/>
      <w:lvlJc w:val="right"/>
      <w:pPr>
        <w:ind w:left="4320" w:hanging="180"/>
      </w:pPr>
    </w:lvl>
    <w:lvl w:ilvl="6" w:tplc="44B07ED4" w:tentative="1">
      <w:start w:val="1"/>
      <w:numFmt w:val="decimal"/>
      <w:lvlText w:val="%7."/>
      <w:lvlJc w:val="left"/>
      <w:pPr>
        <w:ind w:left="5040" w:hanging="360"/>
      </w:pPr>
    </w:lvl>
    <w:lvl w:ilvl="7" w:tplc="0D6C5F3C" w:tentative="1">
      <w:start w:val="1"/>
      <w:numFmt w:val="lowerLetter"/>
      <w:lvlText w:val="%8."/>
      <w:lvlJc w:val="left"/>
      <w:pPr>
        <w:ind w:left="5760" w:hanging="360"/>
      </w:pPr>
    </w:lvl>
    <w:lvl w:ilvl="8" w:tplc="DBD87EC0" w:tentative="1">
      <w:start w:val="1"/>
      <w:numFmt w:val="lowerRoman"/>
      <w:lvlText w:val="%9."/>
      <w:lvlJc w:val="right"/>
      <w:pPr>
        <w:ind w:left="6480" w:hanging="180"/>
      </w:pPr>
    </w:lvl>
  </w:abstractNum>
  <w:abstractNum w:abstractNumId="13" w15:restartNumberingAfterBreak="0">
    <w:nsid w:val="67C54BF2"/>
    <w:multiLevelType w:val="multilevel"/>
    <w:tmpl w:val="6AE2E23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E783CFE"/>
    <w:multiLevelType w:val="hybridMultilevel"/>
    <w:tmpl w:val="4CA02A90"/>
    <w:lvl w:ilvl="0" w:tplc="4170B26E">
      <w:start w:val="1"/>
      <w:numFmt w:val="decimal"/>
      <w:lvlText w:val="%1."/>
      <w:lvlJc w:val="left"/>
      <w:pPr>
        <w:ind w:left="720" w:hanging="360"/>
      </w:pPr>
    </w:lvl>
    <w:lvl w:ilvl="1" w:tplc="92487A28" w:tentative="1">
      <w:start w:val="1"/>
      <w:numFmt w:val="lowerLetter"/>
      <w:lvlText w:val="%2."/>
      <w:lvlJc w:val="left"/>
      <w:pPr>
        <w:ind w:left="1440" w:hanging="360"/>
      </w:pPr>
    </w:lvl>
    <w:lvl w:ilvl="2" w:tplc="EB5CDE52" w:tentative="1">
      <w:start w:val="1"/>
      <w:numFmt w:val="lowerRoman"/>
      <w:lvlText w:val="%3."/>
      <w:lvlJc w:val="right"/>
      <w:pPr>
        <w:ind w:left="2160" w:hanging="180"/>
      </w:pPr>
    </w:lvl>
    <w:lvl w:ilvl="3" w:tplc="B438514C" w:tentative="1">
      <w:start w:val="1"/>
      <w:numFmt w:val="decimal"/>
      <w:lvlText w:val="%4."/>
      <w:lvlJc w:val="left"/>
      <w:pPr>
        <w:ind w:left="2880" w:hanging="360"/>
      </w:pPr>
    </w:lvl>
    <w:lvl w:ilvl="4" w:tplc="322E8E0C" w:tentative="1">
      <w:start w:val="1"/>
      <w:numFmt w:val="lowerLetter"/>
      <w:lvlText w:val="%5."/>
      <w:lvlJc w:val="left"/>
      <w:pPr>
        <w:ind w:left="3600" w:hanging="360"/>
      </w:pPr>
    </w:lvl>
    <w:lvl w:ilvl="5" w:tplc="CA8273C0" w:tentative="1">
      <w:start w:val="1"/>
      <w:numFmt w:val="lowerRoman"/>
      <w:lvlText w:val="%6."/>
      <w:lvlJc w:val="right"/>
      <w:pPr>
        <w:ind w:left="4320" w:hanging="180"/>
      </w:pPr>
    </w:lvl>
    <w:lvl w:ilvl="6" w:tplc="F05217E6" w:tentative="1">
      <w:start w:val="1"/>
      <w:numFmt w:val="decimal"/>
      <w:lvlText w:val="%7."/>
      <w:lvlJc w:val="left"/>
      <w:pPr>
        <w:ind w:left="5040" w:hanging="360"/>
      </w:pPr>
    </w:lvl>
    <w:lvl w:ilvl="7" w:tplc="3718217E" w:tentative="1">
      <w:start w:val="1"/>
      <w:numFmt w:val="lowerLetter"/>
      <w:lvlText w:val="%8."/>
      <w:lvlJc w:val="left"/>
      <w:pPr>
        <w:ind w:left="5760" w:hanging="360"/>
      </w:pPr>
    </w:lvl>
    <w:lvl w:ilvl="8" w:tplc="40F2D6EE" w:tentative="1">
      <w:start w:val="1"/>
      <w:numFmt w:val="lowerRoman"/>
      <w:lvlText w:val="%9."/>
      <w:lvlJc w:val="right"/>
      <w:pPr>
        <w:ind w:left="6480" w:hanging="180"/>
      </w:pPr>
    </w:lvl>
  </w:abstractNum>
  <w:abstractNum w:abstractNumId="15" w15:restartNumberingAfterBreak="0">
    <w:nsid w:val="76920DB8"/>
    <w:multiLevelType w:val="multilevel"/>
    <w:tmpl w:val="204A15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7EC6219"/>
    <w:multiLevelType w:val="multilevel"/>
    <w:tmpl w:val="634A87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A2369AF"/>
    <w:multiLevelType w:val="multilevel"/>
    <w:tmpl w:val="BC0212C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23507103">
    <w:abstractNumId w:val="1"/>
  </w:num>
  <w:num w:numId="2" w16cid:durableId="1395004203">
    <w:abstractNumId w:val="8"/>
  </w:num>
  <w:num w:numId="3" w16cid:durableId="1227297236">
    <w:abstractNumId w:val="11"/>
  </w:num>
  <w:num w:numId="4" w16cid:durableId="1007906099">
    <w:abstractNumId w:val="0"/>
  </w:num>
  <w:num w:numId="5" w16cid:durableId="472410847">
    <w:abstractNumId w:val="9"/>
  </w:num>
  <w:num w:numId="6" w16cid:durableId="1099839133">
    <w:abstractNumId w:val="6"/>
  </w:num>
  <w:num w:numId="7" w16cid:durableId="1532306894">
    <w:abstractNumId w:val="7"/>
  </w:num>
  <w:num w:numId="8" w16cid:durableId="205607811">
    <w:abstractNumId w:val="2"/>
  </w:num>
  <w:num w:numId="9" w16cid:durableId="1375933423">
    <w:abstractNumId w:val="3"/>
  </w:num>
  <w:num w:numId="10" w16cid:durableId="1732073701">
    <w:abstractNumId w:val="15"/>
  </w:num>
  <w:num w:numId="11" w16cid:durableId="1286159437">
    <w:abstractNumId w:val="13"/>
  </w:num>
  <w:num w:numId="12" w16cid:durableId="2100714380">
    <w:abstractNumId w:val="17"/>
  </w:num>
  <w:num w:numId="13" w16cid:durableId="1910385979">
    <w:abstractNumId w:val="14"/>
  </w:num>
  <w:num w:numId="14" w16cid:durableId="2778909">
    <w:abstractNumId w:val="10"/>
  </w:num>
  <w:num w:numId="15" w16cid:durableId="518011942">
    <w:abstractNumId w:val="4"/>
  </w:num>
  <w:num w:numId="16" w16cid:durableId="92096689">
    <w:abstractNumId w:val="12"/>
  </w:num>
  <w:num w:numId="17" w16cid:durableId="1161505652">
    <w:abstractNumId w:val="16"/>
  </w:num>
  <w:num w:numId="18" w16cid:durableId="7403755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3DA"/>
    <w:rsid w:val="000019F8"/>
    <w:rsid w:val="00003C57"/>
    <w:rsid w:val="00007157"/>
    <w:rsid w:val="00012F1D"/>
    <w:rsid w:val="000134FC"/>
    <w:rsid w:val="00013B9D"/>
    <w:rsid w:val="000147DB"/>
    <w:rsid w:val="0001666A"/>
    <w:rsid w:val="00016CB7"/>
    <w:rsid w:val="000173E5"/>
    <w:rsid w:val="0001780E"/>
    <w:rsid w:val="0002501A"/>
    <w:rsid w:val="00025154"/>
    <w:rsid w:val="00025860"/>
    <w:rsid w:val="0002623E"/>
    <w:rsid w:val="0003011B"/>
    <w:rsid w:val="00030A48"/>
    <w:rsid w:val="00033E27"/>
    <w:rsid w:val="00035441"/>
    <w:rsid w:val="00035B0F"/>
    <w:rsid w:val="00035D43"/>
    <w:rsid w:val="00040E5D"/>
    <w:rsid w:val="0004194A"/>
    <w:rsid w:val="00043627"/>
    <w:rsid w:val="00043646"/>
    <w:rsid w:val="000445C1"/>
    <w:rsid w:val="000447F6"/>
    <w:rsid w:val="00046DA5"/>
    <w:rsid w:val="00050128"/>
    <w:rsid w:val="000511E7"/>
    <w:rsid w:val="000517B2"/>
    <w:rsid w:val="000526E2"/>
    <w:rsid w:val="0005300C"/>
    <w:rsid w:val="00054185"/>
    <w:rsid w:val="00055152"/>
    <w:rsid w:val="000552BE"/>
    <w:rsid w:val="00055557"/>
    <w:rsid w:val="000573D6"/>
    <w:rsid w:val="00062FFC"/>
    <w:rsid w:val="00066332"/>
    <w:rsid w:val="00071E34"/>
    <w:rsid w:val="00071FAE"/>
    <w:rsid w:val="000728FB"/>
    <w:rsid w:val="0007295E"/>
    <w:rsid w:val="00074771"/>
    <w:rsid w:val="00076F3F"/>
    <w:rsid w:val="000772A0"/>
    <w:rsid w:val="00077368"/>
    <w:rsid w:val="00077E8F"/>
    <w:rsid w:val="00080227"/>
    <w:rsid w:val="000832F8"/>
    <w:rsid w:val="00083E03"/>
    <w:rsid w:val="00085F3C"/>
    <w:rsid w:val="000861C0"/>
    <w:rsid w:val="00090EF3"/>
    <w:rsid w:val="00091546"/>
    <w:rsid w:val="000923CD"/>
    <w:rsid w:val="0009700E"/>
    <w:rsid w:val="00097C4E"/>
    <w:rsid w:val="000A50DC"/>
    <w:rsid w:val="000A54C1"/>
    <w:rsid w:val="000A568B"/>
    <w:rsid w:val="000A5CAB"/>
    <w:rsid w:val="000A5E95"/>
    <w:rsid w:val="000B0790"/>
    <w:rsid w:val="000B150D"/>
    <w:rsid w:val="000B69F4"/>
    <w:rsid w:val="000C043A"/>
    <w:rsid w:val="000C1B5E"/>
    <w:rsid w:val="000C1BB6"/>
    <w:rsid w:val="000C4679"/>
    <w:rsid w:val="000C5FEB"/>
    <w:rsid w:val="000C663E"/>
    <w:rsid w:val="000C75DF"/>
    <w:rsid w:val="000D0401"/>
    <w:rsid w:val="000D134D"/>
    <w:rsid w:val="000D1C72"/>
    <w:rsid w:val="000D1CBF"/>
    <w:rsid w:val="000D67E4"/>
    <w:rsid w:val="000E1F8F"/>
    <w:rsid w:val="000E1F91"/>
    <w:rsid w:val="000F09B8"/>
    <w:rsid w:val="000F0CCF"/>
    <w:rsid w:val="000F2D91"/>
    <w:rsid w:val="000F354E"/>
    <w:rsid w:val="000F3F46"/>
    <w:rsid w:val="000F44A6"/>
    <w:rsid w:val="000F6659"/>
    <w:rsid w:val="000F7278"/>
    <w:rsid w:val="00101251"/>
    <w:rsid w:val="001015A0"/>
    <w:rsid w:val="001037AD"/>
    <w:rsid w:val="00104596"/>
    <w:rsid w:val="001046D6"/>
    <w:rsid w:val="00104744"/>
    <w:rsid w:val="001067FB"/>
    <w:rsid w:val="00110B1B"/>
    <w:rsid w:val="00111DE1"/>
    <w:rsid w:val="0011283F"/>
    <w:rsid w:val="0011386A"/>
    <w:rsid w:val="00113970"/>
    <w:rsid w:val="00114728"/>
    <w:rsid w:val="0011498A"/>
    <w:rsid w:val="00115524"/>
    <w:rsid w:val="00116422"/>
    <w:rsid w:val="00116B1D"/>
    <w:rsid w:val="001203D3"/>
    <w:rsid w:val="00120C1A"/>
    <w:rsid w:val="00123184"/>
    <w:rsid w:val="00123933"/>
    <w:rsid w:val="00123DAA"/>
    <w:rsid w:val="001245BF"/>
    <w:rsid w:val="0012729E"/>
    <w:rsid w:val="00130811"/>
    <w:rsid w:val="00130B36"/>
    <w:rsid w:val="001324BF"/>
    <w:rsid w:val="00133C70"/>
    <w:rsid w:val="00134450"/>
    <w:rsid w:val="0013477F"/>
    <w:rsid w:val="0013656A"/>
    <w:rsid w:val="00137356"/>
    <w:rsid w:val="0014093F"/>
    <w:rsid w:val="00141BE5"/>
    <w:rsid w:val="001478B6"/>
    <w:rsid w:val="00150448"/>
    <w:rsid w:val="001513F2"/>
    <w:rsid w:val="00152661"/>
    <w:rsid w:val="001544EE"/>
    <w:rsid w:val="001561BC"/>
    <w:rsid w:val="0016268D"/>
    <w:rsid w:val="00162C22"/>
    <w:rsid w:val="001635A6"/>
    <w:rsid w:val="00165B94"/>
    <w:rsid w:val="00165D33"/>
    <w:rsid w:val="0016677F"/>
    <w:rsid w:val="00166E86"/>
    <w:rsid w:val="001674FE"/>
    <w:rsid w:val="0017370C"/>
    <w:rsid w:val="00175735"/>
    <w:rsid w:val="00175E8E"/>
    <w:rsid w:val="001769C5"/>
    <w:rsid w:val="001771A9"/>
    <w:rsid w:val="0017775D"/>
    <w:rsid w:val="00183A1C"/>
    <w:rsid w:val="00183B65"/>
    <w:rsid w:val="001841CF"/>
    <w:rsid w:val="001850A4"/>
    <w:rsid w:val="00185FA6"/>
    <w:rsid w:val="00186AA6"/>
    <w:rsid w:val="0018759E"/>
    <w:rsid w:val="00187D93"/>
    <w:rsid w:val="00193B71"/>
    <w:rsid w:val="001947F5"/>
    <w:rsid w:val="00194DAD"/>
    <w:rsid w:val="00197C77"/>
    <w:rsid w:val="001A0864"/>
    <w:rsid w:val="001A1002"/>
    <w:rsid w:val="001A12F6"/>
    <w:rsid w:val="001A1F99"/>
    <w:rsid w:val="001A257A"/>
    <w:rsid w:val="001A3AF1"/>
    <w:rsid w:val="001A410E"/>
    <w:rsid w:val="001B1084"/>
    <w:rsid w:val="001B191E"/>
    <w:rsid w:val="001B24CC"/>
    <w:rsid w:val="001B3942"/>
    <w:rsid w:val="001B4647"/>
    <w:rsid w:val="001B4656"/>
    <w:rsid w:val="001B580D"/>
    <w:rsid w:val="001B5D6C"/>
    <w:rsid w:val="001C01B2"/>
    <w:rsid w:val="001C0492"/>
    <w:rsid w:val="001C0ED7"/>
    <w:rsid w:val="001C2517"/>
    <w:rsid w:val="001C4CFA"/>
    <w:rsid w:val="001C7D89"/>
    <w:rsid w:val="001D011F"/>
    <w:rsid w:val="001D274F"/>
    <w:rsid w:val="001D28D2"/>
    <w:rsid w:val="001D28EC"/>
    <w:rsid w:val="001D2FA8"/>
    <w:rsid w:val="001D3145"/>
    <w:rsid w:val="001D4BAE"/>
    <w:rsid w:val="001D7419"/>
    <w:rsid w:val="001D7631"/>
    <w:rsid w:val="001D7DF6"/>
    <w:rsid w:val="001E0D6E"/>
    <w:rsid w:val="001E11B7"/>
    <w:rsid w:val="001E45BE"/>
    <w:rsid w:val="001E4993"/>
    <w:rsid w:val="001E5CBD"/>
    <w:rsid w:val="001E72AB"/>
    <w:rsid w:val="001F1379"/>
    <w:rsid w:val="001F1DD3"/>
    <w:rsid w:val="001F4C99"/>
    <w:rsid w:val="001F4FCB"/>
    <w:rsid w:val="001F604C"/>
    <w:rsid w:val="001F7A03"/>
    <w:rsid w:val="00201812"/>
    <w:rsid w:val="002045C6"/>
    <w:rsid w:val="0020794E"/>
    <w:rsid w:val="00210E88"/>
    <w:rsid w:val="00211EF1"/>
    <w:rsid w:val="00212A5C"/>
    <w:rsid w:val="00212F63"/>
    <w:rsid w:val="00216338"/>
    <w:rsid w:val="002176AE"/>
    <w:rsid w:val="0022011D"/>
    <w:rsid w:val="00220408"/>
    <w:rsid w:val="00220DB4"/>
    <w:rsid w:val="00221079"/>
    <w:rsid w:val="00221CD7"/>
    <w:rsid w:val="002223D7"/>
    <w:rsid w:val="002233C4"/>
    <w:rsid w:val="00223422"/>
    <w:rsid w:val="00223C32"/>
    <w:rsid w:val="00223F93"/>
    <w:rsid w:val="00225503"/>
    <w:rsid w:val="00225DAF"/>
    <w:rsid w:val="00225FCC"/>
    <w:rsid w:val="00226A21"/>
    <w:rsid w:val="00233DF9"/>
    <w:rsid w:val="00235C37"/>
    <w:rsid w:val="002370CE"/>
    <w:rsid w:val="002431F9"/>
    <w:rsid w:val="00243927"/>
    <w:rsid w:val="00244544"/>
    <w:rsid w:val="00245B35"/>
    <w:rsid w:val="002461AE"/>
    <w:rsid w:val="002461CA"/>
    <w:rsid w:val="00246E39"/>
    <w:rsid w:val="00250EAE"/>
    <w:rsid w:val="00253723"/>
    <w:rsid w:val="002546CA"/>
    <w:rsid w:val="002556D4"/>
    <w:rsid w:val="00257601"/>
    <w:rsid w:val="00260169"/>
    <w:rsid w:val="00262066"/>
    <w:rsid w:val="002645B9"/>
    <w:rsid w:val="002646AE"/>
    <w:rsid w:val="00264F23"/>
    <w:rsid w:val="00265469"/>
    <w:rsid w:val="0027009B"/>
    <w:rsid w:val="00270EC8"/>
    <w:rsid w:val="0027166B"/>
    <w:rsid w:val="002739B2"/>
    <w:rsid w:val="0027465B"/>
    <w:rsid w:val="00275D8C"/>
    <w:rsid w:val="00276922"/>
    <w:rsid w:val="00281332"/>
    <w:rsid w:val="0028699B"/>
    <w:rsid w:val="002902D4"/>
    <w:rsid w:val="00290502"/>
    <w:rsid w:val="00291F62"/>
    <w:rsid w:val="00292B88"/>
    <w:rsid w:val="00294E01"/>
    <w:rsid w:val="002A0CB5"/>
    <w:rsid w:val="002A21D4"/>
    <w:rsid w:val="002A23DA"/>
    <w:rsid w:val="002A310C"/>
    <w:rsid w:val="002A454A"/>
    <w:rsid w:val="002A5FDA"/>
    <w:rsid w:val="002A703D"/>
    <w:rsid w:val="002A7D7A"/>
    <w:rsid w:val="002B0FA1"/>
    <w:rsid w:val="002B1750"/>
    <w:rsid w:val="002B188A"/>
    <w:rsid w:val="002B1A9D"/>
    <w:rsid w:val="002B1DC4"/>
    <w:rsid w:val="002B1F1E"/>
    <w:rsid w:val="002B46DE"/>
    <w:rsid w:val="002B57D6"/>
    <w:rsid w:val="002B7338"/>
    <w:rsid w:val="002C0A3E"/>
    <w:rsid w:val="002C135B"/>
    <w:rsid w:val="002C2F56"/>
    <w:rsid w:val="002C3925"/>
    <w:rsid w:val="002C458F"/>
    <w:rsid w:val="002C51D5"/>
    <w:rsid w:val="002C52B5"/>
    <w:rsid w:val="002C5358"/>
    <w:rsid w:val="002C6C3E"/>
    <w:rsid w:val="002D265B"/>
    <w:rsid w:val="002D34CF"/>
    <w:rsid w:val="002D34DE"/>
    <w:rsid w:val="002D3900"/>
    <w:rsid w:val="002D469C"/>
    <w:rsid w:val="002D5389"/>
    <w:rsid w:val="002D5C7A"/>
    <w:rsid w:val="002D7C59"/>
    <w:rsid w:val="002E06C7"/>
    <w:rsid w:val="002E0BFA"/>
    <w:rsid w:val="002E15E6"/>
    <w:rsid w:val="002E31BE"/>
    <w:rsid w:val="002E4956"/>
    <w:rsid w:val="002E56C9"/>
    <w:rsid w:val="002E5E12"/>
    <w:rsid w:val="002E628E"/>
    <w:rsid w:val="002F06B3"/>
    <w:rsid w:val="002F18D9"/>
    <w:rsid w:val="002F20CF"/>
    <w:rsid w:val="002F23C8"/>
    <w:rsid w:val="002F2988"/>
    <w:rsid w:val="002F2C20"/>
    <w:rsid w:val="002F5F63"/>
    <w:rsid w:val="00300DB4"/>
    <w:rsid w:val="003016A3"/>
    <w:rsid w:val="00301A78"/>
    <w:rsid w:val="00301B1C"/>
    <w:rsid w:val="003040BD"/>
    <w:rsid w:val="00304125"/>
    <w:rsid w:val="00305093"/>
    <w:rsid w:val="0030696E"/>
    <w:rsid w:val="00307BC7"/>
    <w:rsid w:val="00310546"/>
    <w:rsid w:val="003108D1"/>
    <w:rsid w:val="00310B73"/>
    <w:rsid w:val="003126D5"/>
    <w:rsid w:val="00312E88"/>
    <w:rsid w:val="00312F13"/>
    <w:rsid w:val="00313B40"/>
    <w:rsid w:val="003160BB"/>
    <w:rsid w:val="00320590"/>
    <w:rsid w:val="0032370B"/>
    <w:rsid w:val="0032390A"/>
    <w:rsid w:val="00325FC9"/>
    <w:rsid w:val="00326291"/>
    <w:rsid w:val="003262B8"/>
    <w:rsid w:val="003333B7"/>
    <w:rsid w:val="003335C8"/>
    <w:rsid w:val="00335FD3"/>
    <w:rsid w:val="00336969"/>
    <w:rsid w:val="00337141"/>
    <w:rsid w:val="00340884"/>
    <w:rsid w:val="0034216F"/>
    <w:rsid w:val="00343A9E"/>
    <w:rsid w:val="00345419"/>
    <w:rsid w:val="0035054A"/>
    <w:rsid w:val="003508DB"/>
    <w:rsid w:val="00350F50"/>
    <w:rsid w:val="00351EDB"/>
    <w:rsid w:val="00351F8B"/>
    <w:rsid w:val="00352142"/>
    <w:rsid w:val="0035221E"/>
    <w:rsid w:val="00353017"/>
    <w:rsid w:val="0035317F"/>
    <w:rsid w:val="00354483"/>
    <w:rsid w:val="0035627E"/>
    <w:rsid w:val="00356CA8"/>
    <w:rsid w:val="00357225"/>
    <w:rsid w:val="0036170D"/>
    <w:rsid w:val="00363C94"/>
    <w:rsid w:val="00365D4F"/>
    <w:rsid w:val="00367166"/>
    <w:rsid w:val="00367C3A"/>
    <w:rsid w:val="003702B1"/>
    <w:rsid w:val="00371E70"/>
    <w:rsid w:val="00371FAE"/>
    <w:rsid w:val="00372AF0"/>
    <w:rsid w:val="00372BF7"/>
    <w:rsid w:val="00372E1C"/>
    <w:rsid w:val="00373919"/>
    <w:rsid w:val="00374FCB"/>
    <w:rsid w:val="0037635C"/>
    <w:rsid w:val="0037661D"/>
    <w:rsid w:val="003803E5"/>
    <w:rsid w:val="003813B6"/>
    <w:rsid w:val="003814BC"/>
    <w:rsid w:val="003858BA"/>
    <w:rsid w:val="003869AC"/>
    <w:rsid w:val="003874AB"/>
    <w:rsid w:val="003879B3"/>
    <w:rsid w:val="003910E5"/>
    <w:rsid w:val="003921C0"/>
    <w:rsid w:val="003948AD"/>
    <w:rsid w:val="003953BD"/>
    <w:rsid w:val="00395D58"/>
    <w:rsid w:val="003A3299"/>
    <w:rsid w:val="003A3309"/>
    <w:rsid w:val="003A3741"/>
    <w:rsid w:val="003A4A47"/>
    <w:rsid w:val="003A4B79"/>
    <w:rsid w:val="003A57D2"/>
    <w:rsid w:val="003A5B86"/>
    <w:rsid w:val="003A717B"/>
    <w:rsid w:val="003A76BE"/>
    <w:rsid w:val="003B07A6"/>
    <w:rsid w:val="003B0906"/>
    <w:rsid w:val="003B1913"/>
    <w:rsid w:val="003B3F64"/>
    <w:rsid w:val="003B3F9D"/>
    <w:rsid w:val="003B4E7A"/>
    <w:rsid w:val="003B531F"/>
    <w:rsid w:val="003B72BF"/>
    <w:rsid w:val="003B7B2D"/>
    <w:rsid w:val="003C0867"/>
    <w:rsid w:val="003C285C"/>
    <w:rsid w:val="003C3C92"/>
    <w:rsid w:val="003C62FB"/>
    <w:rsid w:val="003C6488"/>
    <w:rsid w:val="003D11DE"/>
    <w:rsid w:val="003D2392"/>
    <w:rsid w:val="003D2959"/>
    <w:rsid w:val="003D3E8B"/>
    <w:rsid w:val="003D5367"/>
    <w:rsid w:val="003D5AA3"/>
    <w:rsid w:val="003D5B5D"/>
    <w:rsid w:val="003D694B"/>
    <w:rsid w:val="003D6979"/>
    <w:rsid w:val="003D724F"/>
    <w:rsid w:val="003E144C"/>
    <w:rsid w:val="003E1C97"/>
    <w:rsid w:val="003E2D8F"/>
    <w:rsid w:val="003E6FC3"/>
    <w:rsid w:val="003E7846"/>
    <w:rsid w:val="003F09E8"/>
    <w:rsid w:val="003F23E8"/>
    <w:rsid w:val="003F2A9D"/>
    <w:rsid w:val="003F38E6"/>
    <w:rsid w:val="003F6572"/>
    <w:rsid w:val="004007AA"/>
    <w:rsid w:val="004022A3"/>
    <w:rsid w:val="00402BF1"/>
    <w:rsid w:val="00404EAD"/>
    <w:rsid w:val="00406C88"/>
    <w:rsid w:val="00407112"/>
    <w:rsid w:val="00407689"/>
    <w:rsid w:val="00411545"/>
    <w:rsid w:val="004117EC"/>
    <w:rsid w:val="00413A13"/>
    <w:rsid w:val="0041512E"/>
    <w:rsid w:val="004179ED"/>
    <w:rsid w:val="00420E76"/>
    <w:rsid w:val="0042103B"/>
    <w:rsid w:val="00421739"/>
    <w:rsid w:val="004218AD"/>
    <w:rsid w:val="00421A7F"/>
    <w:rsid w:val="00423025"/>
    <w:rsid w:val="0042530C"/>
    <w:rsid w:val="0042546E"/>
    <w:rsid w:val="0043041F"/>
    <w:rsid w:val="00431B8A"/>
    <w:rsid w:val="00432052"/>
    <w:rsid w:val="00434E50"/>
    <w:rsid w:val="004360DA"/>
    <w:rsid w:val="004366A8"/>
    <w:rsid w:val="004376D7"/>
    <w:rsid w:val="00440219"/>
    <w:rsid w:val="0044158C"/>
    <w:rsid w:val="004422FC"/>
    <w:rsid w:val="004436F9"/>
    <w:rsid w:val="004456FB"/>
    <w:rsid w:val="0045117F"/>
    <w:rsid w:val="0045348E"/>
    <w:rsid w:val="00453B72"/>
    <w:rsid w:val="00455749"/>
    <w:rsid w:val="00455CE8"/>
    <w:rsid w:val="0046020E"/>
    <w:rsid w:val="0046042A"/>
    <w:rsid w:val="00462860"/>
    <w:rsid w:val="00464473"/>
    <w:rsid w:val="00464F0F"/>
    <w:rsid w:val="0046694F"/>
    <w:rsid w:val="00466DE4"/>
    <w:rsid w:val="004671F6"/>
    <w:rsid w:val="00471288"/>
    <w:rsid w:val="00472194"/>
    <w:rsid w:val="004728CF"/>
    <w:rsid w:val="00473F12"/>
    <w:rsid w:val="004740CC"/>
    <w:rsid w:val="00480A8F"/>
    <w:rsid w:val="00480BD9"/>
    <w:rsid w:val="00481761"/>
    <w:rsid w:val="00482BB6"/>
    <w:rsid w:val="00482D41"/>
    <w:rsid w:val="004830F0"/>
    <w:rsid w:val="00484E66"/>
    <w:rsid w:val="00485137"/>
    <w:rsid w:val="00487EF1"/>
    <w:rsid w:val="00490EA4"/>
    <w:rsid w:val="0049288F"/>
    <w:rsid w:val="004935EC"/>
    <w:rsid w:val="00494681"/>
    <w:rsid w:val="0049501B"/>
    <w:rsid w:val="00495E72"/>
    <w:rsid w:val="004A02BE"/>
    <w:rsid w:val="004A0ED6"/>
    <w:rsid w:val="004A1B9D"/>
    <w:rsid w:val="004A2F18"/>
    <w:rsid w:val="004A5401"/>
    <w:rsid w:val="004A627C"/>
    <w:rsid w:val="004A71D3"/>
    <w:rsid w:val="004A7DFA"/>
    <w:rsid w:val="004B06D8"/>
    <w:rsid w:val="004B0A36"/>
    <w:rsid w:val="004B2945"/>
    <w:rsid w:val="004B2C00"/>
    <w:rsid w:val="004B2E06"/>
    <w:rsid w:val="004B38DB"/>
    <w:rsid w:val="004B60B6"/>
    <w:rsid w:val="004B7691"/>
    <w:rsid w:val="004B7737"/>
    <w:rsid w:val="004C0D18"/>
    <w:rsid w:val="004C1BB4"/>
    <w:rsid w:val="004C4E3C"/>
    <w:rsid w:val="004D02FA"/>
    <w:rsid w:val="004D150F"/>
    <w:rsid w:val="004D19D2"/>
    <w:rsid w:val="004D25E5"/>
    <w:rsid w:val="004D317C"/>
    <w:rsid w:val="004D32C7"/>
    <w:rsid w:val="004D4244"/>
    <w:rsid w:val="004D5220"/>
    <w:rsid w:val="004D7D8E"/>
    <w:rsid w:val="004E1407"/>
    <w:rsid w:val="004E2448"/>
    <w:rsid w:val="004E2716"/>
    <w:rsid w:val="004E53FB"/>
    <w:rsid w:val="004E5C81"/>
    <w:rsid w:val="004E69A3"/>
    <w:rsid w:val="004E6A47"/>
    <w:rsid w:val="004F0C8F"/>
    <w:rsid w:val="004F15EF"/>
    <w:rsid w:val="004F22F7"/>
    <w:rsid w:val="004F2729"/>
    <w:rsid w:val="004F4360"/>
    <w:rsid w:val="004F477E"/>
    <w:rsid w:val="004F6C7C"/>
    <w:rsid w:val="004F7D5E"/>
    <w:rsid w:val="005017E4"/>
    <w:rsid w:val="0050195B"/>
    <w:rsid w:val="00502C4B"/>
    <w:rsid w:val="00503367"/>
    <w:rsid w:val="0050689F"/>
    <w:rsid w:val="00510393"/>
    <w:rsid w:val="005134F1"/>
    <w:rsid w:val="005138F0"/>
    <w:rsid w:val="00517B86"/>
    <w:rsid w:val="00522B57"/>
    <w:rsid w:val="00525D6D"/>
    <w:rsid w:val="00526B9B"/>
    <w:rsid w:val="00526D6C"/>
    <w:rsid w:val="005302D1"/>
    <w:rsid w:val="005306D2"/>
    <w:rsid w:val="005307B3"/>
    <w:rsid w:val="00531E3C"/>
    <w:rsid w:val="0053225A"/>
    <w:rsid w:val="005344C3"/>
    <w:rsid w:val="0054021E"/>
    <w:rsid w:val="0054027A"/>
    <w:rsid w:val="00540F5F"/>
    <w:rsid w:val="00543FD2"/>
    <w:rsid w:val="00543FF6"/>
    <w:rsid w:val="00550AB6"/>
    <w:rsid w:val="00550EDD"/>
    <w:rsid w:val="00551206"/>
    <w:rsid w:val="0055447D"/>
    <w:rsid w:val="00554AEC"/>
    <w:rsid w:val="00555D90"/>
    <w:rsid w:val="00555ED5"/>
    <w:rsid w:val="005567DE"/>
    <w:rsid w:val="005572E5"/>
    <w:rsid w:val="005610B2"/>
    <w:rsid w:val="00564982"/>
    <w:rsid w:val="00564F15"/>
    <w:rsid w:val="00566694"/>
    <w:rsid w:val="00566732"/>
    <w:rsid w:val="005676B5"/>
    <w:rsid w:val="00572028"/>
    <w:rsid w:val="005722C9"/>
    <w:rsid w:val="00572508"/>
    <w:rsid w:val="00577550"/>
    <w:rsid w:val="0057789E"/>
    <w:rsid w:val="00581981"/>
    <w:rsid w:val="00581AE1"/>
    <w:rsid w:val="005821B3"/>
    <w:rsid w:val="0058397F"/>
    <w:rsid w:val="00584DF2"/>
    <w:rsid w:val="00587DCB"/>
    <w:rsid w:val="00590B2E"/>
    <w:rsid w:val="00590D00"/>
    <w:rsid w:val="005931E2"/>
    <w:rsid w:val="005949B1"/>
    <w:rsid w:val="005953B6"/>
    <w:rsid w:val="005958FC"/>
    <w:rsid w:val="00595A35"/>
    <w:rsid w:val="00595DC9"/>
    <w:rsid w:val="005968D5"/>
    <w:rsid w:val="005A0CEC"/>
    <w:rsid w:val="005A0E59"/>
    <w:rsid w:val="005A1234"/>
    <w:rsid w:val="005A2BA0"/>
    <w:rsid w:val="005A3B9A"/>
    <w:rsid w:val="005A5973"/>
    <w:rsid w:val="005A6303"/>
    <w:rsid w:val="005B0F37"/>
    <w:rsid w:val="005B173A"/>
    <w:rsid w:val="005B3184"/>
    <w:rsid w:val="005B43D7"/>
    <w:rsid w:val="005B4F6A"/>
    <w:rsid w:val="005B5882"/>
    <w:rsid w:val="005C1417"/>
    <w:rsid w:val="005C1D4A"/>
    <w:rsid w:val="005C49B9"/>
    <w:rsid w:val="005C4EF6"/>
    <w:rsid w:val="005C4FE0"/>
    <w:rsid w:val="005C617E"/>
    <w:rsid w:val="005C76F0"/>
    <w:rsid w:val="005D16B1"/>
    <w:rsid w:val="005D1F1B"/>
    <w:rsid w:val="005D45CD"/>
    <w:rsid w:val="005D51D9"/>
    <w:rsid w:val="005D53C4"/>
    <w:rsid w:val="005D59EC"/>
    <w:rsid w:val="005E23F3"/>
    <w:rsid w:val="005E4817"/>
    <w:rsid w:val="005E5122"/>
    <w:rsid w:val="005E7E59"/>
    <w:rsid w:val="005F0DC7"/>
    <w:rsid w:val="005F0E0D"/>
    <w:rsid w:val="005F296E"/>
    <w:rsid w:val="005F4DE8"/>
    <w:rsid w:val="006002CD"/>
    <w:rsid w:val="006011CD"/>
    <w:rsid w:val="00601675"/>
    <w:rsid w:val="00601F1B"/>
    <w:rsid w:val="00602236"/>
    <w:rsid w:val="00604003"/>
    <w:rsid w:val="00604F4C"/>
    <w:rsid w:val="00605E3C"/>
    <w:rsid w:val="00610D14"/>
    <w:rsid w:val="00611A61"/>
    <w:rsid w:val="00614AD9"/>
    <w:rsid w:val="00615818"/>
    <w:rsid w:val="00617041"/>
    <w:rsid w:val="00621C51"/>
    <w:rsid w:val="00623A07"/>
    <w:rsid w:val="00626E4C"/>
    <w:rsid w:val="00630440"/>
    <w:rsid w:val="00630CB9"/>
    <w:rsid w:val="006338EB"/>
    <w:rsid w:val="00633F3A"/>
    <w:rsid w:val="00635BBC"/>
    <w:rsid w:val="00636F43"/>
    <w:rsid w:val="0063777F"/>
    <w:rsid w:val="006403D2"/>
    <w:rsid w:val="006509CC"/>
    <w:rsid w:val="0065371E"/>
    <w:rsid w:val="006633A9"/>
    <w:rsid w:val="00664E3B"/>
    <w:rsid w:val="00672A55"/>
    <w:rsid w:val="006736D5"/>
    <w:rsid w:val="00675287"/>
    <w:rsid w:val="00675AA9"/>
    <w:rsid w:val="00675CB2"/>
    <w:rsid w:val="006763C2"/>
    <w:rsid w:val="0067688E"/>
    <w:rsid w:val="00684A57"/>
    <w:rsid w:val="00685D61"/>
    <w:rsid w:val="00685F0D"/>
    <w:rsid w:val="006872A9"/>
    <w:rsid w:val="00694196"/>
    <w:rsid w:val="0069420F"/>
    <w:rsid w:val="00695C79"/>
    <w:rsid w:val="006A31AB"/>
    <w:rsid w:val="006A335B"/>
    <w:rsid w:val="006A3D01"/>
    <w:rsid w:val="006A53BD"/>
    <w:rsid w:val="006A5DF7"/>
    <w:rsid w:val="006A5EFA"/>
    <w:rsid w:val="006A7BE0"/>
    <w:rsid w:val="006B4694"/>
    <w:rsid w:val="006B665E"/>
    <w:rsid w:val="006B7323"/>
    <w:rsid w:val="006B7CFA"/>
    <w:rsid w:val="006B7E31"/>
    <w:rsid w:val="006C00B6"/>
    <w:rsid w:val="006C0660"/>
    <w:rsid w:val="006C0E70"/>
    <w:rsid w:val="006C51D3"/>
    <w:rsid w:val="006C71E7"/>
    <w:rsid w:val="006C7693"/>
    <w:rsid w:val="006C7DA9"/>
    <w:rsid w:val="006D2E27"/>
    <w:rsid w:val="006D33A5"/>
    <w:rsid w:val="006D38CE"/>
    <w:rsid w:val="006D3B49"/>
    <w:rsid w:val="006D4DBF"/>
    <w:rsid w:val="006D6393"/>
    <w:rsid w:val="006D6701"/>
    <w:rsid w:val="006E1537"/>
    <w:rsid w:val="006E1A2B"/>
    <w:rsid w:val="006E3A84"/>
    <w:rsid w:val="006E44BA"/>
    <w:rsid w:val="006E4D71"/>
    <w:rsid w:val="006E66A4"/>
    <w:rsid w:val="006E72D7"/>
    <w:rsid w:val="006E7EAF"/>
    <w:rsid w:val="006F009D"/>
    <w:rsid w:val="006F118D"/>
    <w:rsid w:val="006F12C7"/>
    <w:rsid w:val="006F135D"/>
    <w:rsid w:val="006F24AB"/>
    <w:rsid w:val="006F79CA"/>
    <w:rsid w:val="00700951"/>
    <w:rsid w:val="0070125E"/>
    <w:rsid w:val="00703AB1"/>
    <w:rsid w:val="00704505"/>
    <w:rsid w:val="0070460E"/>
    <w:rsid w:val="007075D1"/>
    <w:rsid w:val="0070776C"/>
    <w:rsid w:val="00710C36"/>
    <w:rsid w:val="00716426"/>
    <w:rsid w:val="007178E4"/>
    <w:rsid w:val="007213A2"/>
    <w:rsid w:val="0072340D"/>
    <w:rsid w:val="00724307"/>
    <w:rsid w:val="0072503D"/>
    <w:rsid w:val="00725093"/>
    <w:rsid w:val="00725DD2"/>
    <w:rsid w:val="00730172"/>
    <w:rsid w:val="007310D7"/>
    <w:rsid w:val="007321EF"/>
    <w:rsid w:val="00732A7F"/>
    <w:rsid w:val="00733FA1"/>
    <w:rsid w:val="0073438E"/>
    <w:rsid w:val="00736555"/>
    <w:rsid w:val="007367D8"/>
    <w:rsid w:val="00741463"/>
    <w:rsid w:val="00742326"/>
    <w:rsid w:val="007425F4"/>
    <w:rsid w:val="0074711C"/>
    <w:rsid w:val="0075218D"/>
    <w:rsid w:val="00755D6C"/>
    <w:rsid w:val="00756A45"/>
    <w:rsid w:val="00757209"/>
    <w:rsid w:val="00757302"/>
    <w:rsid w:val="00761A80"/>
    <w:rsid w:val="007628D0"/>
    <w:rsid w:val="007646EB"/>
    <w:rsid w:val="00764ED4"/>
    <w:rsid w:val="007652B3"/>
    <w:rsid w:val="00765D0B"/>
    <w:rsid w:val="007660CF"/>
    <w:rsid w:val="00766498"/>
    <w:rsid w:val="00766A86"/>
    <w:rsid w:val="00766A96"/>
    <w:rsid w:val="00771BAE"/>
    <w:rsid w:val="00771C37"/>
    <w:rsid w:val="00773339"/>
    <w:rsid w:val="00774B1F"/>
    <w:rsid w:val="007759D1"/>
    <w:rsid w:val="00775DAE"/>
    <w:rsid w:val="0077775B"/>
    <w:rsid w:val="00784D85"/>
    <w:rsid w:val="00787C2C"/>
    <w:rsid w:val="007902E0"/>
    <w:rsid w:val="00790F14"/>
    <w:rsid w:val="00792DB2"/>
    <w:rsid w:val="00793A84"/>
    <w:rsid w:val="00794747"/>
    <w:rsid w:val="00794ABC"/>
    <w:rsid w:val="00796426"/>
    <w:rsid w:val="00796924"/>
    <w:rsid w:val="007A023F"/>
    <w:rsid w:val="007A12BC"/>
    <w:rsid w:val="007A301D"/>
    <w:rsid w:val="007A3889"/>
    <w:rsid w:val="007A3ED6"/>
    <w:rsid w:val="007A486A"/>
    <w:rsid w:val="007B248D"/>
    <w:rsid w:val="007B4EDB"/>
    <w:rsid w:val="007B6591"/>
    <w:rsid w:val="007B74B1"/>
    <w:rsid w:val="007B7810"/>
    <w:rsid w:val="007C0BF2"/>
    <w:rsid w:val="007C3E06"/>
    <w:rsid w:val="007C5453"/>
    <w:rsid w:val="007C5841"/>
    <w:rsid w:val="007C5B21"/>
    <w:rsid w:val="007C6EF8"/>
    <w:rsid w:val="007D488B"/>
    <w:rsid w:val="007D54B4"/>
    <w:rsid w:val="007D6FDD"/>
    <w:rsid w:val="007D7CA1"/>
    <w:rsid w:val="007E0ABF"/>
    <w:rsid w:val="007E1005"/>
    <w:rsid w:val="007E1BD5"/>
    <w:rsid w:val="007E2427"/>
    <w:rsid w:val="007E25EA"/>
    <w:rsid w:val="007E2D68"/>
    <w:rsid w:val="007E501B"/>
    <w:rsid w:val="007E61DC"/>
    <w:rsid w:val="007E659B"/>
    <w:rsid w:val="007F154E"/>
    <w:rsid w:val="007F258C"/>
    <w:rsid w:val="007F2E26"/>
    <w:rsid w:val="007F5530"/>
    <w:rsid w:val="00800166"/>
    <w:rsid w:val="00800435"/>
    <w:rsid w:val="00800BA6"/>
    <w:rsid w:val="00801B56"/>
    <w:rsid w:val="00802432"/>
    <w:rsid w:val="00803E90"/>
    <w:rsid w:val="00804232"/>
    <w:rsid w:val="008064CA"/>
    <w:rsid w:val="008076F3"/>
    <w:rsid w:val="008121FE"/>
    <w:rsid w:val="008122A0"/>
    <w:rsid w:val="00812936"/>
    <w:rsid w:val="008149B9"/>
    <w:rsid w:val="00815683"/>
    <w:rsid w:val="008174E5"/>
    <w:rsid w:val="00822D72"/>
    <w:rsid w:val="00823957"/>
    <w:rsid w:val="008251AA"/>
    <w:rsid w:val="008252FA"/>
    <w:rsid w:val="00826C7A"/>
    <w:rsid w:val="00830045"/>
    <w:rsid w:val="008308DD"/>
    <w:rsid w:val="00831C80"/>
    <w:rsid w:val="00831DB6"/>
    <w:rsid w:val="00832E98"/>
    <w:rsid w:val="008342FD"/>
    <w:rsid w:val="0083536F"/>
    <w:rsid w:val="008355C2"/>
    <w:rsid w:val="00835CD5"/>
    <w:rsid w:val="00836643"/>
    <w:rsid w:val="00840370"/>
    <w:rsid w:val="008405D9"/>
    <w:rsid w:val="008407E9"/>
    <w:rsid w:val="00842DDC"/>
    <w:rsid w:val="008441F4"/>
    <w:rsid w:val="00844EF3"/>
    <w:rsid w:val="0084604C"/>
    <w:rsid w:val="00846401"/>
    <w:rsid w:val="0085050F"/>
    <w:rsid w:val="00851614"/>
    <w:rsid w:val="00853AB9"/>
    <w:rsid w:val="0085614A"/>
    <w:rsid w:val="00857387"/>
    <w:rsid w:val="008574E7"/>
    <w:rsid w:val="0086020F"/>
    <w:rsid w:val="0086058E"/>
    <w:rsid w:val="00863AD2"/>
    <w:rsid w:val="0086444B"/>
    <w:rsid w:val="008646F1"/>
    <w:rsid w:val="00864DD9"/>
    <w:rsid w:val="008658CD"/>
    <w:rsid w:val="008679BF"/>
    <w:rsid w:val="0087132F"/>
    <w:rsid w:val="00872283"/>
    <w:rsid w:val="00874DBF"/>
    <w:rsid w:val="00874EAC"/>
    <w:rsid w:val="00876F27"/>
    <w:rsid w:val="008776D6"/>
    <w:rsid w:val="00880F05"/>
    <w:rsid w:val="00882957"/>
    <w:rsid w:val="00882D5B"/>
    <w:rsid w:val="008838FA"/>
    <w:rsid w:val="008859B1"/>
    <w:rsid w:val="0088635C"/>
    <w:rsid w:val="00886910"/>
    <w:rsid w:val="008872E3"/>
    <w:rsid w:val="008916B8"/>
    <w:rsid w:val="00895473"/>
    <w:rsid w:val="008959D7"/>
    <w:rsid w:val="00896A59"/>
    <w:rsid w:val="00896AE0"/>
    <w:rsid w:val="008A07B0"/>
    <w:rsid w:val="008A0805"/>
    <w:rsid w:val="008A1384"/>
    <w:rsid w:val="008A3D59"/>
    <w:rsid w:val="008A5141"/>
    <w:rsid w:val="008A5176"/>
    <w:rsid w:val="008B2370"/>
    <w:rsid w:val="008B4537"/>
    <w:rsid w:val="008B538B"/>
    <w:rsid w:val="008B5C95"/>
    <w:rsid w:val="008C137F"/>
    <w:rsid w:val="008C25BC"/>
    <w:rsid w:val="008C3067"/>
    <w:rsid w:val="008C627D"/>
    <w:rsid w:val="008C6FF5"/>
    <w:rsid w:val="008D7E64"/>
    <w:rsid w:val="008E24A8"/>
    <w:rsid w:val="008E2985"/>
    <w:rsid w:val="008E33CD"/>
    <w:rsid w:val="008E4E2B"/>
    <w:rsid w:val="008E505D"/>
    <w:rsid w:val="008E5654"/>
    <w:rsid w:val="008E580B"/>
    <w:rsid w:val="008E5A12"/>
    <w:rsid w:val="008E5D24"/>
    <w:rsid w:val="008E79AC"/>
    <w:rsid w:val="008F04C5"/>
    <w:rsid w:val="008F1384"/>
    <w:rsid w:val="008F14E2"/>
    <w:rsid w:val="008F399F"/>
    <w:rsid w:val="008F5728"/>
    <w:rsid w:val="008F5B1A"/>
    <w:rsid w:val="008F6178"/>
    <w:rsid w:val="008F7016"/>
    <w:rsid w:val="00900E18"/>
    <w:rsid w:val="00902501"/>
    <w:rsid w:val="00902C4F"/>
    <w:rsid w:val="00904626"/>
    <w:rsid w:val="00906435"/>
    <w:rsid w:val="00906FB8"/>
    <w:rsid w:val="00907BA4"/>
    <w:rsid w:val="00910461"/>
    <w:rsid w:val="00911960"/>
    <w:rsid w:val="00912EEB"/>
    <w:rsid w:val="00914003"/>
    <w:rsid w:val="00914302"/>
    <w:rsid w:val="009151AE"/>
    <w:rsid w:val="00916EB3"/>
    <w:rsid w:val="00917499"/>
    <w:rsid w:val="00917977"/>
    <w:rsid w:val="00921616"/>
    <w:rsid w:val="0092172E"/>
    <w:rsid w:val="00921BFE"/>
    <w:rsid w:val="00925805"/>
    <w:rsid w:val="00925C88"/>
    <w:rsid w:val="0093007F"/>
    <w:rsid w:val="00934485"/>
    <w:rsid w:val="00934B09"/>
    <w:rsid w:val="00934F13"/>
    <w:rsid w:val="00934F7F"/>
    <w:rsid w:val="00936B1E"/>
    <w:rsid w:val="00942881"/>
    <w:rsid w:val="00945347"/>
    <w:rsid w:val="009465F0"/>
    <w:rsid w:val="00947651"/>
    <w:rsid w:val="00947FDF"/>
    <w:rsid w:val="00950E1A"/>
    <w:rsid w:val="00956821"/>
    <w:rsid w:val="00960579"/>
    <w:rsid w:val="00961939"/>
    <w:rsid w:val="00963025"/>
    <w:rsid w:val="00965309"/>
    <w:rsid w:val="00966893"/>
    <w:rsid w:val="0097611A"/>
    <w:rsid w:val="0098033D"/>
    <w:rsid w:val="0098257E"/>
    <w:rsid w:val="009831CE"/>
    <w:rsid w:val="00983C33"/>
    <w:rsid w:val="0098409E"/>
    <w:rsid w:val="00985F26"/>
    <w:rsid w:val="00986527"/>
    <w:rsid w:val="009866B9"/>
    <w:rsid w:val="00986CE5"/>
    <w:rsid w:val="009900A0"/>
    <w:rsid w:val="00990831"/>
    <w:rsid w:val="0099277A"/>
    <w:rsid w:val="00992BCB"/>
    <w:rsid w:val="0099325E"/>
    <w:rsid w:val="009944C7"/>
    <w:rsid w:val="00994C36"/>
    <w:rsid w:val="00997E6A"/>
    <w:rsid w:val="009A1824"/>
    <w:rsid w:val="009A28C8"/>
    <w:rsid w:val="009A4B3E"/>
    <w:rsid w:val="009A4D14"/>
    <w:rsid w:val="009A627F"/>
    <w:rsid w:val="009A7800"/>
    <w:rsid w:val="009A7FC9"/>
    <w:rsid w:val="009B0928"/>
    <w:rsid w:val="009B4A57"/>
    <w:rsid w:val="009B4F83"/>
    <w:rsid w:val="009B52A5"/>
    <w:rsid w:val="009B5C7B"/>
    <w:rsid w:val="009B78D7"/>
    <w:rsid w:val="009C1687"/>
    <w:rsid w:val="009C17AA"/>
    <w:rsid w:val="009C32FC"/>
    <w:rsid w:val="009C7734"/>
    <w:rsid w:val="009C7751"/>
    <w:rsid w:val="009D0CEC"/>
    <w:rsid w:val="009D0E8E"/>
    <w:rsid w:val="009D236E"/>
    <w:rsid w:val="009D23CC"/>
    <w:rsid w:val="009D2A8D"/>
    <w:rsid w:val="009D3CDF"/>
    <w:rsid w:val="009D4CA6"/>
    <w:rsid w:val="009D4FF4"/>
    <w:rsid w:val="009D6C0F"/>
    <w:rsid w:val="009D74A1"/>
    <w:rsid w:val="009D7A7F"/>
    <w:rsid w:val="009E0DD8"/>
    <w:rsid w:val="009E13A5"/>
    <w:rsid w:val="009E1DDD"/>
    <w:rsid w:val="009E2FDF"/>
    <w:rsid w:val="009E448F"/>
    <w:rsid w:val="009E47DC"/>
    <w:rsid w:val="009E4F65"/>
    <w:rsid w:val="009F0D69"/>
    <w:rsid w:val="009F2FAA"/>
    <w:rsid w:val="009F35CE"/>
    <w:rsid w:val="009F530F"/>
    <w:rsid w:val="00A00D43"/>
    <w:rsid w:val="00A0290F"/>
    <w:rsid w:val="00A03860"/>
    <w:rsid w:val="00A047E5"/>
    <w:rsid w:val="00A04E35"/>
    <w:rsid w:val="00A06A94"/>
    <w:rsid w:val="00A1054D"/>
    <w:rsid w:val="00A15DB0"/>
    <w:rsid w:val="00A15FE5"/>
    <w:rsid w:val="00A1625C"/>
    <w:rsid w:val="00A17A6C"/>
    <w:rsid w:val="00A21E4A"/>
    <w:rsid w:val="00A2208D"/>
    <w:rsid w:val="00A2272E"/>
    <w:rsid w:val="00A22A5C"/>
    <w:rsid w:val="00A22F1B"/>
    <w:rsid w:val="00A234FB"/>
    <w:rsid w:val="00A25D70"/>
    <w:rsid w:val="00A25DDC"/>
    <w:rsid w:val="00A27967"/>
    <w:rsid w:val="00A27FA7"/>
    <w:rsid w:val="00A32324"/>
    <w:rsid w:val="00A33751"/>
    <w:rsid w:val="00A35915"/>
    <w:rsid w:val="00A35ED7"/>
    <w:rsid w:val="00A37214"/>
    <w:rsid w:val="00A41325"/>
    <w:rsid w:val="00A41428"/>
    <w:rsid w:val="00A431E8"/>
    <w:rsid w:val="00A43309"/>
    <w:rsid w:val="00A45E27"/>
    <w:rsid w:val="00A46AAB"/>
    <w:rsid w:val="00A46ACE"/>
    <w:rsid w:val="00A47EEB"/>
    <w:rsid w:val="00A50A65"/>
    <w:rsid w:val="00A50B37"/>
    <w:rsid w:val="00A511AE"/>
    <w:rsid w:val="00A5139C"/>
    <w:rsid w:val="00A51DF3"/>
    <w:rsid w:val="00A521D7"/>
    <w:rsid w:val="00A52CB2"/>
    <w:rsid w:val="00A53DC9"/>
    <w:rsid w:val="00A54912"/>
    <w:rsid w:val="00A54927"/>
    <w:rsid w:val="00A575AE"/>
    <w:rsid w:val="00A57E40"/>
    <w:rsid w:val="00A629E6"/>
    <w:rsid w:val="00A66843"/>
    <w:rsid w:val="00A67FF4"/>
    <w:rsid w:val="00A73CB5"/>
    <w:rsid w:val="00A746B6"/>
    <w:rsid w:val="00A76B4A"/>
    <w:rsid w:val="00A77D95"/>
    <w:rsid w:val="00A802E8"/>
    <w:rsid w:val="00A8235E"/>
    <w:rsid w:val="00A84C12"/>
    <w:rsid w:val="00A85591"/>
    <w:rsid w:val="00A867EF"/>
    <w:rsid w:val="00A86A65"/>
    <w:rsid w:val="00A871B3"/>
    <w:rsid w:val="00A90944"/>
    <w:rsid w:val="00A92632"/>
    <w:rsid w:val="00A92F30"/>
    <w:rsid w:val="00A93E00"/>
    <w:rsid w:val="00A94D6F"/>
    <w:rsid w:val="00A960E2"/>
    <w:rsid w:val="00A9724F"/>
    <w:rsid w:val="00AA28A1"/>
    <w:rsid w:val="00AA2E68"/>
    <w:rsid w:val="00AA366A"/>
    <w:rsid w:val="00AA49C7"/>
    <w:rsid w:val="00AA4CC2"/>
    <w:rsid w:val="00AA5C80"/>
    <w:rsid w:val="00AA5CC9"/>
    <w:rsid w:val="00AA5D31"/>
    <w:rsid w:val="00AA7D62"/>
    <w:rsid w:val="00AA7F4C"/>
    <w:rsid w:val="00AB047D"/>
    <w:rsid w:val="00AB078C"/>
    <w:rsid w:val="00AB1449"/>
    <w:rsid w:val="00AB2FDF"/>
    <w:rsid w:val="00AB3913"/>
    <w:rsid w:val="00AC008A"/>
    <w:rsid w:val="00AC4663"/>
    <w:rsid w:val="00AC5689"/>
    <w:rsid w:val="00AC7414"/>
    <w:rsid w:val="00AD0C01"/>
    <w:rsid w:val="00AD0F8B"/>
    <w:rsid w:val="00AD11D4"/>
    <w:rsid w:val="00AD1D0E"/>
    <w:rsid w:val="00AD25B8"/>
    <w:rsid w:val="00AD31FF"/>
    <w:rsid w:val="00AD39C8"/>
    <w:rsid w:val="00AD4D5F"/>
    <w:rsid w:val="00AD6A4C"/>
    <w:rsid w:val="00AD78D0"/>
    <w:rsid w:val="00AE0FEB"/>
    <w:rsid w:val="00AE1331"/>
    <w:rsid w:val="00AE35AE"/>
    <w:rsid w:val="00AE428E"/>
    <w:rsid w:val="00AE797D"/>
    <w:rsid w:val="00AE7FBB"/>
    <w:rsid w:val="00AF0986"/>
    <w:rsid w:val="00AF201C"/>
    <w:rsid w:val="00AF209C"/>
    <w:rsid w:val="00AF274A"/>
    <w:rsid w:val="00AF351A"/>
    <w:rsid w:val="00AF3D47"/>
    <w:rsid w:val="00AF4CB3"/>
    <w:rsid w:val="00AF539A"/>
    <w:rsid w:val="00B017AC"/>
    <w:rsid w:val="00B01883"/>
    <w:rsid w:val="00B03883"/>
    <w:rsid w:val="00B046C2"/>
    <w:rsid w:val="00B065B2"/>
    <w:rsid w:val="00B07312"/>
    <w:rsid w:val="00B116DA"/>
    <w:rsid w:val="00B14B44"/>
    <w:rsid w:val="00B14F5D"/>
    <w:rsid w:val="00B1546D"/>
    <w:rsid w:val="00B16AAB"/>
    <w:rsid w:val="00B17D4D"/>
    <w:rsid w:val="00B21123"/>
    <w:rsid w:val="00B2182D"/>
    <w:rsid w:val="00B22D77"/>
    <w:rsid w:val="00B2325B"/>
    <w:rsid w:val="00B23846"/>
    <w:rsid w:val="00B25F00"/>
    <w:rsid w:val="00B26167"/>
    <w:rsid w:val="00B302D4"/>
    <w:rsid w:val="00B318C5"/>
    <w:rsid w:val="00B33574"/>
    <w:rsid w:val="00B33DF5"/>
    <w:rsid w:val="00B3417B"/>
    <w:rsid w:val="00B352E3"/>
    <w:rsid w:val="00B35B47"/>
    <w:rsid w:val="00B36F04"/>
    <w:rsid w:val="00B377A9"/>
    <w:rsid w:val="00B422D3"/>
    <w:rsid w:val="00B43457"/>
    <w:rsid w:val="00B43BA3"/>
    <w:rsid w:val="00B44284"/>
    <w:rsid w:val="00B44F39"/>
    <w:rsid w:val="00B451B6"/>
    <w:rsid w:val="00B463E4"/>
    <w:rsid w:val="00B46AEE"/>
    <w:rsid w:val="00B51299"/>
    <w:rsid w:val="00B519B6"/>
    <w:rsid w:val="00B51AB9"/>
    <w:rsid w:val="00B52A35"/>
    <w:rsid w:val="00B53225"/>
    <w:rsid w:val="00B5380C"/>
    <w:rsid w:val="00B54B62"/>
    <w:rsid w:val="00B54FCD"/>
    <w:rsid w:val="00B5591A"/>
    <w:rsid w:val="00B55ECD"/>
    <w:rsid w:val="00B56FD1"/>
    <w:rsid w:val="00B57607"/>
    <w:rsid w:val="00B61380"/>
    <w:rsid w:val="00B62985"/>
    <w:rsid w:val="00B63848"/>
    <w:rsid w:val="00B63A9B"/>
    <w:rsid w:val="00B64B54"/>
    <w:rsid w:val="00B64BC2"/>
    <w:rsid w:val="00B66AB2"/>
    <w:rsid w:val="00B66B95"/>
    <w:rsid w:val="00B66E91"/>
    <w:rsid w:val="00B671BE"/>
    <w:rsid w:val="00B72306"/>
    <w:rsid w:val="00B73109"/>
    <w:rsid w:val="00B73288"/>
    <w:rsid w:val="00B735E0"/>
    <w:rsid w:val="00B75248"/>
    <w:rsid w:val="00B75D96"/>
    <w:rsid w:val="00B7613A"/>
    <w:rsid w:val="00B76495"/>
    <w:rsid w:val="00B815A4"/>
    <w:rsid w:val="00B8220B"/>
    <w:rsid w:val="00B83BF1"/>
    <w:rsid w:val="00B845EF"/>
    <w:rsid w:val="00B868E8"/>
    <w:rsid w:val="00B86C8A"/>
    <w:rsid w:val="00B87692"/>
    <w:rsid w:val="00B909DF"/>
    <w:rsid w:val="00B90A74"/>
    <w:rsid w:val="00B91A25"/>
    <w:rsid w:val="00B92145"/>
    <w:rsid w:val="00B92F15"/>
    <w:rsid w:val="00B94204"/>
    <w:rsid w:val="00B954B3"/>
    <w:rsid w:val="00B96CBA"/>
    <w:rsid w:val="00BA1D03"/>
    <w:rsid w:val="00BA34D8"/>
    <w:rsid w:val="00BA67BA"/>
    <w:rsid w:val="00BA7EEB"/>
    <w:rsid w:val="00BB0704"/>
    <w:rsid w:val="00BB2E93"/>
    <w:rsid w:val="00BB3B81"/>
    <w:rsid w:val="00BB70ED"/>
    <w:rsid w:val="00BB7169"/>
    <w:rsid w:val="00BC10F6"/>
    <w:rsid w:val="00BC1AC9"/>
    <w:rsid w:val="00BC2954"/>
    <w:rsid w:val="00BC33D9"/>
    <w:rsid w:val="00BC512E"/>
    <w:rsid w:val="00BC6109"/>
    <w:rsid w:val="00BD0B19"/>
    <w:rsid w:val="00BD32E8"/>
    <w:rsid w:val="00BD349C"/>
    <w:rsid w:val="00BD3D27"/>
    <w:rsid w:val="00BD406F"/>
    <w:rsid w:val="00BD4E34"/>
    <w:rsid w:val="00BD5E80"/>
    <w:rsid w:val="00BD5FC9"/>
    <w:rsid w:val="00BD66DF"/>
    <w:rsid w:val="00BD6822"/>
    <w:rsid w:val="00BD7D95"/>
    <w:rsid w:val="00BE2746"/>
    <w:rsid w:val="00BE2ACD"/>
    <w:rsid w:val="00BE546C"/>
    <w:rsid w:val="00BE62AA"/>
    <w:rsid w:val="00BE6BB2"/>
    <w:rsid w:val="00BE6FCA"/>
    <w:rsid w:val="00BF072A"/>
    <w:rsid w:val="00BF1948"/>
    <w:rsid w:val="00BF2554"/>
    <w:rsid w:val="00BF3330"/>
    <w:rsid w:val="00BF63DA"/>
    <w:rsid w:val="00C0063F"/>
    <w:rsid w:val="00C00F49"/>
    <w:rsid w:val="00C02A2F"/>
    <w:rsid w:val="00C02A33"/>
    <w:rsid w:val="00C036F6"/>
    <w:rsid w:val="00C03BBF"/>
    <w:rsid w:val="00C05011"/>
    <w:rsid w:val="00C05F0A"/>
    <w:rsid w:val="00C06762"/>
    <w:rsid w:val="00C10C41"/>
    <w:rsid w:val="00C120A3"/>
    <w:rsid w:val="00C12C72"/>
    <w:rsid w:val="00C13785"/>
    <w:rsid w:val="00C14757"/>
    <w:rsid w:val="00C15845"/>
    <w:rsid w:val="00C15B7E"/>
    <w:rsid w:val="00C15FE7"/>
    <w:rsid w:val="00C16629"/>
    <w:rsid w:val="00C171EA"/>
    <w:rsid w:val="00C179C9"/>
    <w:rsid w:val="00C20362"/>
    <w:rsid w:val="00C20427"/>
    <w:rsid w:val="00C207D4"/>
    <w:rsid w:val="00C23D23"/>
    <w:rsid w:val="00C24D71"/>
    <w:rsid w:val="00C2519D"/>
    <w:rsid w:val="00C2551D"/>
    <w:rsid w:val="00C26915"/>
    <w:rsid w:val="00C30E33"/>
    <w:rsid w:val="00C3126D"/>
    <w:rsid w:val="00C3130F"/>
    <w:rsid w:val="00C3136B"/>
    <w:rsid w:val="00C32351"/>
    <w:rsid w:val="00C33AF9"/>
    <w:rsid w:val="00C346C7"/>
    <w:rsid w:val="00C34A10"/>
    <w:rsid w:val="00C35164"/>
    <w:rsid w:val="00C426D1"/>
    <w:rsid w:val="00C43614"/>
    <w:rsid w:val="00C43EC6"/>
    <w:rsid w:val="00C4506A"/>
    <w:rsid w:val="00C4525C"/>
    <w:rsid w:val="00C47507"/>
    <w:rsid w:val="00C47878"/>
    <w:rsid w:val="00C50EAE"/>
    <w:rsid w:val="00C51631"/>
    <w:rsid w:val="00C51D57"/>
    <w:rsid w:val="00C52BAE"/>
    <w:rsid w:val="00C55837"/>
    <w:rsid w:val="00C56BA4"/>
    <w:rsid w:val="00C6007F"/>
    <w:rsid w:val="00C6008B"/>
    <w:rsid w:val="00C60804"/>
    <w:rsid w:val="00C6109F"/>
    <w:rsid w:val="00C61D50"/>
    <w:rsid w:val="00C61EA3"/>
    <w:rsid w:val="00C653E8"/>
    <w:rsid w:val="00C70337"/>
    <w:rsid w:val="00C71B3E"/>
    <w:rsid w:val="00C72553"/>
    <w:rsid w:val="00C72583"/>
    <w:rsid w:val="00C734AB"/>
    <w:rsid w:val="00C74CC1"/>
    <w:rsid w:val="00C74E13"/>
    <w:rsid w:val="00C7506E"/>
    <w:rsid w:val="00C76BB6"/>
    <w:rsid w:val="00C77DC9"/>
    <w:rsid w:val="00C81177"/>
    <w:rsid w:val="00C823A6"/>
    <w:rsid w:val="00C825D7"/>
    <w:rsid w:val="00C82E49"/>
    <w:rsid w:val="00C8366C"/>
    <w:rsid w:val="00C83BD8"/>
    <w:rsid w:val="00C845D4"/>
    <w:rsid w:val="00C8760B"/>
    <w:rsid w:val="00C91705"/>
    <w:rsid w:val="00C91A1A"/>
    <w:rsid w:val="00C923CA"/>
    <w:rsid w:val="00C92AF5"/>
    <w:rsid w:val="00C92F22"/>
    <w:rsid w:val="00C935E6"/>
    <w:rsid w:val="00C93C07"/>
    <w:rsid w:val="00CA0334"/>
    <w:rsid w:val="00CA0731"/>
    <w:rsid w:val="00CA104F"/>
    <w:rsid w:val="00CA1DB3"/>
    <w:rsid w:val="00CA2BA8"/>
    <w:rsid w:val="00CA350C"/>
    <w:rsid w:val="00CA5F2E"/>
    <w:rsid w:val="00CA65AA"/>
    <w:rsid w:val="00CA7EF2"/>
    <w:rsid w:val="00CB0AB2"/>
    <w:rsid w:val="00CB2D11"/>
    <w:rsid w:val="00CB7034"/>
    <w:rsid w:val="00CB7AAA"/>
    <w:rsid w:val="00CB7B77"/>
    <w:rsid w:val="00CC0283"/>
    <w:rsid w:val="00CC2106"/>
    <w:rsid w:val="00CC2A26"/>
    <w:rsid w:val="00CC3479"/>
    <w:rsid w:val="00CC349E"/>
    <w:rsid w:val="00CD2F0E"/>
    <w:rsid w:val="00CD337A"/>
    <w:rsid w:val="00CD33BA"/>
    <w:rsid w:val="00CD7AB7"/>
    <w:rsid w:val="00CE4170"/>
    <w:rsid w:val="00CE4994"/>
    <w:rsid w:val="00CE4DC1"/>
    <w:rsid w:val="00CE7500"/>
    <w:rsid w:val="00CF11E3"/>
    <w:rsid w:val="00CF11EC"/>
    <w:rsid w:val="00CF479A"/>
    <w:rsid w:val="00CF4F48"/>
    <w:rsid w:val="00CF6093"/>
    <w:rsid w:val="00CF73BE"/>
    <w:rsid w:val="00CF77D8"/>
    <w:rsid w:val="00CF7CB5"/>
    <w:rsid w:val="00D02462"/>
    <w:rsid w:val="00D02612"/>
    <w:rsid w:val="00D05AF7"/>
    <w:rsid w:val="00D05E18"/>
    <w:rsid w:val="00D0645E"/>
    <w:rsid w:val="00D079D0"/>
    <w:rsid w:val="00D07DFA"/>
    <w:rsid w:val="00D11775"/>
    <w:rsid w:val="00D13D19"/>
    <w:rsid w:val="00D147EE"/>
    <w:rsid w:val="00D15366"/>
    <w:rsid w:val="00D15EA8"/>
    <w:rsid w:val="00D176DD"/>
    <w:rsid w:val="00D21941"/>
    <w:rsid w:val="00D257A8"/>
    <w:rsid w:val="00D3056F"/>
    <w:rsid w:val="00D30C81"/>
    <w:rsid w:val="00D33178"/>
    <w:rsid w:val="00D338A4"/>
    <w:rsid w:val="00D356A0"/>
    <w:rsid w:val="00D35D9B"/>
    <w:rsid w:val="00D411C5"/>
    <w:rsid w:val="00D412BB"/>
    <w:rsid w:val="00D4234A"/>
    <w:rsid w:val="00D4257B"/>
    <w:rsid w:val="00D43C6C"/>
    <w:rsid w:val="00D4463D"/>
    <w:rsid w:val="00D44A7B"/>
    <w:rsid w:val="00D44C4A"/>
    <w:rsid w:val="00D46408"/>
    <w:rsid w:val="00D464A8"/>
    <w:rsid w:val="00D52D09"/>
    <w:rsid w:val="00D52DD3"/>
    <w:rsid w:val="00D52ED0"/>
    <w:rsid w:val="00D568EA"/>
    <w:rsid w:val="00D6062C"/>
    <w:rsid w:val="00D621DC"/>
    <w:rsid w:val="00D6231F"/>
    <w:rsid w:val="00D62ED6"/>
    <w:rsid w:val="00D63263"/>
    <w:rsid w:val="00D63FF6"/>
    <w:rsid w:val="00D675F9"/>
    <w:rsid w:val="00D704EA"/>
    <w:rsid w:val="00D70E3C"/>
    <w:rsid w:val="00D71695"/>
    <w:rsid w:val="00D72155"/>
    <w:rsid w:val="00D73246"/>
    <w:rsid w:val="00D7326D"/>
    <w:rsid w:val="00D736AA"/>
    <w:rsid w:val="00D73B65"/>
    <w:rsid w:val="00D74C43"/>
    <w:rsid w:val="00D74F07"/>
    <w:rsid w:val="00D75003"/>
    <w:rsid w:val="00D76253"/>
    <w:rsid w:val="00D765E3"/>
    <w:rsid w:val="00D80496"/>
    <w:rsid w:val="00D826CE"/>
    <w:rsid w:val="00D854C5"/>
    <w:rsid w:val="00D86839"/>
    <w:rsid w:val="00D87183"/>
    <w:rsid w:val="00D871E9"/>
    <w:rsid w:val="00D875E7"/>
    <w:rsid w:val="00D90FC6"/>
    <w:rsid w:val="00D90FDC"/>
    <w:rsid w:val="00D95286"/>
    <w:rsid w:val="00D96F0B"/>
    <w:rsid w:val="00D9754B"/>
    <w:rsid w:val="00D97723"/>
    <w:rsid w:val="00DA0248"/>
    <w:rsid w:val="00DA091B"/>
    <w:rsid w:val="00DA1828"/>
    <w:rsid w:val="00DA1D2F"/>
    <w:rsid w:val="00DA3A80"/>
    <w:rsid w:val="00DA3E20"/>
    <w:rsid w:val="00DA4372"/>
    <w:rsid w:val="00DA442C"/>
    <w:rsid w:val="00DA5031"/>
    <w:rsid w:val="00DA6F8B"/>
    <w:rsid w:val="00DB1BE8"/>
    <w:rsid w:val="00DB2482"/>
    <w:rsid w:val="00DB3BDA"/>
    <w:rsid w:val="00DB45C4"/>
    <w:rsid w:val="00DB6BF5"/>
    <w:rsid w:val="00DB7BF1"/>
    <w:rsid w:val="00DC07F8"/>
    <w:rsid w:val="00DC136E"/>
    <w:rsid w:val="00DC1B57"/>
    <w:rsid w:val="00DC220D"/>
    <w:rsid w:val="00DC228F"/>
    <w:rsid w:val="00DC304A"/>
    <w:rsid w:val="00DC3945"/>
    <w:rsid w:val="00DC52C9"/>
    <w:rsid w:val="00DC784E"/>
    <w:rsid w:val="00DD0072"/>
    <w:rsid w:val="00DD07F8"/>
    <w:rsid w:val="00DD1AA0"/>
    <w:rsid w:val="00DD2875"/>
    <w:rsid w:val="00DD2D15"/>
    <w:rsid w:val="00DD4348"/>
    <w:rsid w:val="00DD47B8"/>
    <w:rsid w:val="00DD5AB3"/>
    <w:rsid w:val="00DD79A1"/>
    <w:rsid w:val="00DE1BF1"/>
    <w:rsid w:val="00DE1DC9"/>
    <w:rsid w:val="00DE2389"/>
    <w:rsid w:val="00DE3888"/>
    <w:rsid w:val="00DE3920"/>
    <w:rsid w:val="00DF1966"/>
    <w:rsid w:val="00DF2078"/>
    <w:rsid w:val="00DF4758"/>
    <w:rsid w:val="00DF5373"/>
    <w:rsid w:val="00DF70D5"/>
    <w:rsid w:val="00E00E7D"/>
    <w:rsid w:val="00E011DC"/>
    <w:rsid w:val="00E01543"/>
    <w:rsid w:val="00E02160"/>
    <w:rsid w:val="00E02927"/>
    <w:rsid w:val="00E05616"/>
    <w:rsid w:val="00E06DCA"/>
    <w:rsid w:val="00E0717D"/>
    <w:rsid w:val="00E103BE"/>
    <w:rsid w:val="00E10E2E"/>
    <w:rsid w:val="00E117AA"/>
    <w:rsid w:val="00E11906"/>
    <w:rsid w:val="00E13E3F"/>
    <w:rsid w:val="00E13F10"/>
    <w:rsid w:val="00E14ECD"/>
    <w:rsid w:val="00E1698A"/>
    <w:rsid w:val="00E203B5"/>
    <w:rsid w:val="00E21C87"/>
    <w:rsid w:val="00E22A4C"/>
    <w:rsid w:val="00E2300F"/>
    <w:rsid w:val="00E230B7"/>
    <w:rsid w:val="00E2473C"/>
    <w:rsid w:val="00E24E7B"/>
    <w:rsid w:val="00E273B1"/>
    <w:rsid w:val="00E301B8"/>
    <w:rsid w:val="00E33351"/>
    <w:rsid w:val="00E33516"/>
    <w:rsid w:val="00E34E10"/>
    <w:rsid w:val="00E3612A"/>
    <w:rsid w:val="00E402E6"/>
    <w:rsid w:val="00E42FBA"/>
    <w:rsid w:val="00E43D81"/>
    <w:rsid w:val="00E50C30"/>
    <w:rsid w:val="00E51004"/>
    <w:rsid w:val="00E5191B"/>
    <w:rsid w:val="00E51961"/>
    <w:rsid w:val="00E51E2D"/>
    <w:rsid w:val="00E5254F"/>
    <w:rsid w:val="00E53678"/>
    <w:rsid w:val="00E57307"/>
    <w:rsid w:val="00E57435"/>
    <w:rsid w:val="00E578F6"/>
    <w:rsid w:val="00E57DBF"/>
    <w:rsid w:val="00E614DF"/>
    <w:rsid w:val="00E61F7B"/>
    <w:rsid w:val="00E624CD"/>
    <w:rsid w:val="00E66531"/>
    <w:rsid w:val="00E6758E"/>
    <w:rsid w:val="00E71A57"/>
    <w:rsid w:val="00E727A6"/>
    <w:rsid w:val="00E750ED"/>
    <w:rsid w:val="00E80536"/>
    <w:rsid w:val="00E8121D"/>
    <w:rsid w:val="00E820C0"/>
    <w:rsid w:val="00E833D4"/>
    <w:rsid w:val="00E83D86"/>
    <w:rsid w:val="00E841FB"/>
    <w:rsid w:val="00E87EEB"/>
    <w:rsid w:val="00E90D4F"/>
    <w:rsid w:val="00E91195"/>
    <w:rsid w:val="00E91EF3"/>
    <w:rsid w:val="00E92A3E"/>
    <w:rsid w:val="00E93DB9"/>
    <w:rsid w:val="00E97521"/>
    <w:rsid w:val="00E978E4"/>
    <w:rsid w:val="00E97C17"/>
    <w:rsid w:val="00EA187B"/>
    <w:rsid w:val="00EA250F"/>
    <w:rsid w:val="00EA31C1"/>
    <w:rsid w:val="00EA49A4"/>
    <w:rsid w:val="00EA6A60"/>
    <w:rsid w:val="00EA7419"/>
    <w:rsid w:val="00EA7F70"/>
    <w:rsid w:val="00EB27BA"/>
    <w:rsid w:val="00EB2E48"/>
    <w:rsid w:val="00EB30AE"/>
    <w:rsid w:val="00EB5039"/>
    <w:rsid w:val="00EB5B04"/>
    <w:rsid w:val="00EB6129"/>
    <w:rsid w:val="00EB6ADE"/>
    <w:rsid w:val="00EB7B26"/>
    <w:rsid w:val="00EB7E6C"/>
    <w:rsid w:val="00EC0C75"/>
    <w:rsid w:val="00EC1017"/>
    <w:rsid w:val="00EC2E72"/>
    <w:rsid w:val="00EC3126"/>
    <w:rsid w:val="00EC37F6"/>
    <w:rsid w:val="00EC3E23"/>
    <w:rsid w:val="00EC685A"/>
    <w:rsid w:val="00ED14DA"/>
    <w:rsid w:val="00ED3D18"/>
    <w:rsid w:val="00ED66A9"/>
    <w:rsid w:val="00ED7A56"/>
    <w:rsid w:val="00EE06F7"/>
    <w:rsid w:val="00EE15D5"/>
    <w:rsid w:val="00EE3777"/>
    <w:rsid w:val="00EE6379"/>
    <w:rsid w:val="00EE7ACD"/>
    <w:rsid w:val="00EF19A4"/>
    <w:rsid w:val="00EF213B"/>
    <w:rsid w:val="00EF2809"/>
    <w:rsid w:val="00EF2824"/>
    <w:rsid w:val="00EF4FF5"/>
    <w:rsid w:val="00EF50D9"/>
    <w:rsid w:val="00EF5A88"/>
    <w:rsid w:val="00EF5D22"/>
    <w:rsid w:val="00EF649B"/>
    <w:rsid w:val="00EF7B97"/>
    <w:rsid w:val="00EF7C59"/>
    <w:rsid w:val="00F02226"/>
    <w:rsid w:val="00F10F8A"/>
    <w:rsid w:val="00F1627B"/>
    <w:rsid w:val="00F209B2"/>
    <w:rsid w:val="00F21C2B"/>
    <w:rsid w:val="00F240B6"/>
    <w:rsid w:val="00F24424"/>
    <w:rsid w:val="00F2512B"/>
    <w:rsid w:val="00F25CBF"/>
    <w:rsid w:val="00F25ED2"/>
    <w:rsid w:val="00F2602C"/>
    <w:rsid w:val="00F26DFD"/>
    <w:rsid w:val="00F2745A"/>
    <w:rsid w:val="00F302BB"/>
    <w:rsid w:val="00F30423"/>
    <w:rsid w:val="00F3133B"/>
    <w:rsid w:val="00F313C5"/>
    <w:rsid w:val="00F325D5"/>
    <w:rsid w:val="00F350B8"/>
    <w:rsid w:val="00F404EF"/>
    <w:rsid w:val="00F412A1"/>
    <w:rsid w:val="00F41724"/>
    <w:rsid w:val="00F425E7"/>
    <w:rsid w:val="00F42D27"/>
    <w:rsid w:val="00F47246"/>
    <w:rsid w:val="00F50FE0"/>
    <w:rsid w:val="00F53251"/>
    <w:rsid w:val="00F53861"/>
    <w:rsid w:val="00F542E4"/>
    <w:rsid w:val="00F546E5"/>
    <w:rsid w:val="00F54A36"/>
    <w:rsid w:val="00F5657D"/>
    <w:rsid w:val="00F56ECC"/>
    <w:rsid w:val="00F5709A"/>
    <w:rsid w:val="00F60287"/>
    <w:rsid w:val="00F60D97"/>
    <w:rsid w:val="00F61EC9"/>
    <w:rsid w:val="00F63430"/>
    <w:rsid w:val="00F6504B"/>
    <w:rsid w:val="00F65617"/>
    <w:rsid w:val="00F67393"/>
    <w:rsid w:val="00F677A2"/>
    <w:rsid w:val="00F7095A"/>
    <w:rsid w:val="00F710AF"/>
    <w:rsid w:val="00F73010"/>
    <w:rsid w:val="00F73602"/>
    <w:rsid w:val="00F73C74"/>
    <w:rsid w:val="00F740CF"/>
    <w:rsid w:val="00F7416A"/>
    <w:rsid w:val="00F74319"/>
    <w:rsid w:val="00F7501B"/>
    <w:rsid w:val="00F764CF"/>
    <w:rsid w:val="00F77AD5"/>
    <w:rsid w:val="00F8028B"/>
    <w:rsid w:val="00F80711"/>
    <w:rsid w:val="00F832BD"/>
    <w:rsid w:val="00F8391F"/>
    <w:rsid w:val="00F845D9"/>
    <w:rsid w:val="00F84BDB"/>
    <w:rsid w:val="00F84ED3"/>
    <w:rsid w:val="00F91080"/>
    <w:rsid w:val="00F91B85"/>
    <w:rsid w:val="00F91DC2"/>
    <w:rsid w:val="00F92966"/>
    <w:rsid w:val="00F92F0F"/>
    <w:rsid w:val="00F93167"/>
    <w:rsid w:val="00F95243"/>
    <w:rsid w:val="00F95314"/>
    <w:rsid w:val="00F95B85"/>
    <w:rsid w:val="00F95C0B"/>
    <w:rsid w:val="00F96B6E"/>
    <w:rsid w:val="00F974DE"/>
    <w:rsid w:val="00FA2936"/>
    <w:rsid w:val="00FA33E0"/>
    <w:rsid w:val="00FB00AD"/>
    <w:rsid w:val="00FB1D27"/>
    <w:rsid w:val="00FB2535"/>
    <w:rsid w:val="00FB2941"/>
    <w:rsid w:val="00FB2A9D"/>
    <w:rsid w:val="00FB3250"/>
    <w:rsid w:val="00FB55C5"/>
    <w:rsid w:val="00FB5873"/>
    <w:rsid w:val="00FB5EE2"/>
    <w:rsid w:val="00FB6DCB"/>
    <w:rsid w:val="00FB6E24"/>
    <w:rsid w:val="00FB778A"/>
    <w:rsid w:val="00FB77C9"/>
    <w:rsid w:val="00FC09F7"/>
    <w:rsid w:val="00FC1DA6"/>
    <w:rsid w:val="00FC1DE2"/>
    <w:rsid w:val="00FC2423"/>
    <w:rsid w:val="00FC2B40"/>
    <w:rsid w:val="00FC2E10"/>
    <w:rsid w:val="00FC33EA"/>
    <w:rsid w:val="00FC55C4"/>
    <w:rsid w:val="00FC5EED"/>
    <w:rsid w:val="00FC656A"/>
    <w:rsid w:val="00FC70CF"/>
    <w:rsid w:val="00FC7747"/>
    <w:rsid w:val="00FC7B70"/>
    <w:rsid w:val="00FD152B"/>
    <w:rsid w:val="00FD1BA1"/>
    <w:rsid w:val="00FD2F87"/>
    <w:rsid w:val="00FD31B3"/>
    <w:rsid w:val="00FD31B6"/>
    <w:rsid w:val="00FD3369"/>
    <w:rsid w:val="00FD346C"/>
    <w:rsid w:val="00FD58EC"/>
    <w:rsid w:val="00FD68A9"/>
    <w:rsid w:val="00FD75F3"/>
    <w:rsid w:val="00FE1828"/>
    <w:rsid w:val="00FE43BA"/>
    <w:rsid w:val="00FE5AFB"/>
    <w:rsid w:val="00FE7ABA"/>
    <w:rsid w:val="00FF34D0"/>
    <w:rsid w:val="00FF51D8"/>
    <w:rsid w:val="00FF5AE9"/>
    <w:rsid w:val="00FF5E2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F5F3F5"/>
  <w15:docId w15:val="{50D53B47-F48E-FD4C-85B4-9DD9D5922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A23DA"/>
    <w:pPr>
      <w:ind w:left="720"/>
      <w:contextualSpacing/>
    </w:pPr>
  </w:style>
  <w:style w:type="paragraph" w:styleId="Textedebulles">
    <w:name w:val="Balloon Text"/>
    <w:basedOn w:val="Normal"/>
    <w:link w:val="TextedebullesCar"/>
    <w:uiPriority w:val="99"/>
    <w:semiHidden/>
    <w:unhideWhenUsed/>
    <w:rsid w:val="00C61EA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61EA3"/>
    <w:rPr>
      <w:rFonts w:ascii="Segoe UI" w:hAnsi="Segoe UI" w:cs="Segoe UI"/>
      <w:sz w:val="18"/>
      <w:szCs w:val="18"/>
    </w:rPr>
  </w:style>
  <w:style w:type="table" w:customStyle="1" w:styleId="TableauListe2-Accentuation51">
    <w:name w:val="Tableau Liste 2 - Accentuation 51"/>
    <w:basedOn w:val="TableauNormal"/>
    <w:uiPriority w:val="47"/>
    <w:rsid w:val="00C00F4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simple31">
    <w:name w:val="Tableau simple 31"/>
    <w:basedOn w:val="TableauNormal"/>
    <w:uiPriority w:val="43"/>
    <w:rsid w:val="006B469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ibliographie">
    <w:name w:val="Bibliography"/>
    <w:basedOn w:val="Normal"/>
    <w:next w:val="Normal"/>
    <w:uiPriority w:val="37"/>
    <w:unhideWhenUsed/>
    <w:rsid w:val="00B51AB9"/>
    <w:pPr>
      <w:spacing w:after="240" w:line="240" w:lineRule="auto"/>
    </w:pPr>
  </w:style>
  <w:style w:type="character" w:styleId="Lienhypertexte">
    <w:name w:val="Hyperlink"/>
    <w:basedOn w:val="Policepardfaut"/>
    <w:uiPriority w:val="99"/>
    <w:unhideWhenUsed/>
    <w:rsid w:val="005C1417"/>
    <w:rPr>
      <w:color w:val="0000FF"/>
      <w:u w:val="single"/>
    </w:rPr>
  </w:style>
  <w:style w:type="character" w:styleId="Lienhypertextesuivivisit">
    <w:name w:val="FollowedHyperlink"/>
    <w:basedOn w:val="Policepardfaut"/>
    <w:uiPriority w:val="99"/>
    <w:semiHidden/>
    <w:unhideWhenUsed/>
    <w:rsid w:val="005C1417"/>
    <w:rPr>
      <w:color w:val="800080"/>
      <w:u w:val="single"/>
    </w:rPr>
  </w:style>
  <w:style w:type="paragraph" w:customStyle="1" w:styleId="msonormal0">
    <w:name w:val="msonormal"/>
    <w:basedOn w:val="Normal"/>
    <w:rsid w:val="005C141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63">
    <w:name w:val="xl63"/>
    <w:basedOn w:val="Normal"/>
    <w:rsid w:val="005C1417"/>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fr-FR"/>
    </w:rPr>
  </w:style>
  <w:style w:type="paragraph" w:customStyle="1" w:styleId="xl64">
    <w:name w:val="xl64"/>
    <w:basedOn w:val="Normal"/>
    <w:rsid w:val="005C1417"/>
    <w:pPr>
      <w:pBdr>
        <w:top w:val="single" w:sz="8"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65">
    <w:name w:val="xl65"/>
    <w:basedOn w:val="Normal"/>
    <w:rsid w:val="005C1417"/>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66">
    <w:name w:val="xl66"/>
    <w:basedOn w:val="Normal"/>
    <w:rsid w:val="005C1417"/>
    <w:pPr>
      <w:pBdr>
        <w:top w:val="single" w:sz="8" w:space="0" w:color="auto"/>
        <w:left w:val="single" w:sz="4"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67">
    <w:name w:val="xl67"/>
    <w:basedOn w:val="Normal"/>
    <w:rsid w:val="005C1417"/>
    <w:pPr>
      <w:pBdr>
        <w:top w:val="single" w:sz="4" w:space="0" w:color="auto"/>
        <w:left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68">
    <w:name w:val="xl68"/>
    <w:basedOn w:val="Normal"/>
    <w:rsid w:val="005C1417"/>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69">
    <w:name w:val="xl69"/>
    <w:basedOn w:val="Normal"/>
    <w:rsid w:val="005C1417"/>
    <w:pPr>
      <w:pBdr>
        <w:top w:val="single" w:sz="4" w:space="0" w:color="auto"/>
        <w:left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70">
    <w:name w:val="xl70"/>
    <w:basedOn w:val="Normal"/>
    <w:rsid w:val="005C141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71">
    <w:name w:val="xl71"/>
    <w:basedOn w:val="Normal"/>
    <w:rsid w:val="005C141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72">
    <w:name w:val="xl72"/>
    <w:basedOn w:val="Normal"/>
    <w:rsid w:val="005C141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73">
    <w:name w:val="xl73"/>
    <w:basedOn w:val="Normal"/>
    <w:rsid w:val="005C141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74">
    <w:name w:val="xl74"/>
    <w:basedOn w:val="Normal"/>
    <w:rsid w:val="005C141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75">
    <w:name w:val="xl75"/>
    <w:basedOn w:val="Normal"/>
    <w:rsid w:val="005C1417"/>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76">
    <w:name w:val="xl76"/>
    <w:basedOn w:val="Normal"/>
    <w:rsid w:val="005C141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77">
    <w:name w:val="xl77"/>
    <w:basedOn w:val="Normal"/>
    <w:rsid w:val="005C141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78">
    <w:name w:val="xl78"/>
    <w:basedOn w:val="Normal"/>
    <w:rsid w:val="005C141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79">
    <w:name w:val="xl79"/>
    <w:basedOn w:val="Normal"/>
    <w:rsid w:val="005C14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80">
    <w:name w:val="xl80"/>
    <w:basedOn w:val="Normal"/>
    <w:rsid w:val="005C14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81">
    <w:name w:val="xl81"/>
    <w:basedOn w:val="Normal"/>
    <w:rsid w:val="005C14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82">
    <w:name w:val="xl82"/>
    <w:basedOn w:val="Normal"/>
    <w:rsid w:val="005C14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83">
    <w:name w:val="xl83"/>
    <w:basedOn w:val="Normal"/>
    <w:rsid w:val="005C1417"/>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84">
    <w:name w:val="xl84"/>
    <w:basedOn w:val="Normal"/>
    <w:rsid w:val="005C1417"/>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85">
    <w:name w:val="xl85"/>
    <w:basedOn w:val="Normal"/>
    <w:rsid w:val="005C14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86">
    <w:name w:val="xl86"/>
    <w:basedOn w:val="Normal"/>
    <w:rsid w:val="005C141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87">
    <w:name w:val="xl87"/>
    <w:basedOn w:val="Normal"/>
    <w:rsid w:val="005C1417"/>
    <w:pPr>
      <w:pBdr>
        <w:top w:val="single" w:sz="4" w:space="0" w:color="auto"/>
        <w:left w:val="single" w:sz="4" w:space="0" w:color="auto"/>
        <w:bottom w:val="single" w:sz="4" w:space="0" w:color="auto"/>
        <w:right w:val="single" w:sz="4" w:space="0" w:color="auto"/>
      </w:pBdr>
      <w:shd w:val="clear" w:color="000000" w:fill="F8EDF9"/>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88">
    <w:name w:val="xl88"/>
    <w:basedOn w:val="Normal"/>
    <w:rsid w:val="005C1417"/>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color w:val="363531"/>
      <w:sz w:val="18"/>
      <w:szCs w:val="18"/>
      <w:lang w:eastAsia="fr-FR"/>
    </w:rPr>
  </w:style>
  <w:style w:type="paragraph" w:customStyle="1" w:styleId="xl89">
    <w:name w:val="xl89"/>
    <w:basedOn w:val="Normal"/>
    <w:rsid w:val="005C1417"/>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90">
    <w:name w:val="xl90"/>
    <w:basedOn w:val="Normal"/>
    <w:rsid w:val="005C1417"/>
    <w:pPr>
      <w:pBdr>
        <w:top w:val="single" w:sz="4" w:space="0" w:color="auto"/>
        <w:left w:val="single" w:sz="4" w:space="0" w:color="auto"/>
        <w:bottom w:val="single" w:sz="4" w:space="0" w:color="auto"/>
        <w:right w:val="single" w:sz="4" w:space="0" w:color="auto"/>
      </w:pBdr>
      <w:shd w:val="clear" w:color="000000" w:fill="DBEDDB"/>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91">
    <w:name w:val="xl91"/>
    <w:basedOn w:val="Normal"/>
    <w:rsid w:val="005C1417"/>
    <w:pPr>
      <w:pBdr>
        <w:top w:val="single" w:sz="4" w:space="0" w:color="auto"/>
        <w:left w:val="single" w:sz="4" w:space="0" w:color="auto"/>
        <w:bottom w:val="single" w:sz="4" w:space="0" w:color="auto"/>
        <w:right w:val="single" w:sz="4" w:space="0" w:color="auto"/>
      </w:pBdr>
      <w:shd w:val="clear" w:color="000000" w:fill="DBEDDB"/>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lang w:eastAsia="fr-FR"/>
    </w:rPr>
  </w:style>
  <w:style w:type="paragraph" w:customStyle="1" w:styleId="xl92">
    <w:name w:val="xl92"/>
    <w:basedOn w:val="Normal"/>
    <w:rsid w:val="005C14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eastAsia="fr-FR"/>
    </w:rPr>
  </w:style>
  <w:style w:type="paragraph" w:customStyle="1" w:styleId="xl93">
    <w:name w:val="xl93"/>
    <w:basedOn w:val="Normal"/>
    <w:rsid w:val="005C141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eastAsia="fr-FR"/>
    </w:rPr>
  </w:style>
  <w:style w:type="paragraph" w:customStyle="1" w:styleId="xl94">
    <w:name w:val="xl94"/>
    <w:basedOn w:val="Normal"/>
    <w:rsid w:val="005C1417"/>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lang w:eastAsia="fr-FR"/>
    </w:rPr>
  </w:style>
  <w:style w:type="paragraph" w:customStyle="1" w:styleId="xl95">
    <w:name w:val="xl95"/>
    <w:basedOn w:val="Normal"/>
    <w:rsid w:val="005C141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96">
    <w:name w:val="xl96"/>
    <w:basedOn w:val="Normal"/>
    <w:rsid w:val="005C141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97">
    <w:name w:val="xl97"/>
    <w:basedOn w:val="Normal"/>
    <w:rsid w:val="005C141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98">
    <w:name w:val="xl98"/>
    <w:basedOn w:val="Normal"/>
    <w:rsid w:val="005C141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99">
    <w:name w:val="xl99"/>
    <w:basedOn w:val="Normal"/>
    <w:rsid w:val="005C1417"/>
    <w:pPr>
      <w:pBdr>
        <w:top w:val="single" w:sz="4" w:space="0" w:color="auto"/>
        <w:left w:val="single" w:sz="4" w:space="0" w:color="auto"/>
        <w:bottom w:val="single" w:sz="8"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lang w:eastAsia="fr-FR"/>
    </w:rPr>
  </w:style>
  <w:style w:type="paragraph" w:customStyle="1" w:styleId="xl100">
    <w:name w:val="xl100"/>
    <w:basedOn w:val="Normal"/>
    <w:rsid w:val="005C141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eastAsia="fr-FR"/>
    </w:rPr>
  </w:style>
  <w:style w:type="paragraph" w:customStyle="1" w:styleId="xl101">
    <w:name w:val="xl101"/>
    <w:basedOn w:val="Normal"/>
    <w:rsid w:val="005C141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eastAsia="fr-FR"/>
    </w:rPr>
  </w:style>
  <w:style w:type="paragraph" w:customStyle="1" w:styleId="xl102">
    <w:name w:val="xl102"/>
    <w:basedOn w:val="Normal"/>
    <w:rsid w:val="005C1417"/>
    <w:pPr>
      <w:pBdr>
        <w:top w:val="single" w:sz="8"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color w:val="363531"/>
      <w:sz w:val="18"/>
      <w:szCs w:val="18"/>
      <w:lang w:eastAsia="fr-FR"/>
    </w:rPr>
  </w:style>
  <w:style w:type="paragraph" w:customStyle="1" w:styleId="xl103">
    <w:name w:val="xl103"/>
    <w:basedOn w:val="Normal"/>
    <w:rsid w:val="005C1417"/>
    <w:pPr>
      <w:pBdr>
        <w:top w:val="single" w:sz="8"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04">
    <w:name w:val="xl104"/>
    <w:basedOn w:val="Normal"/>
    <w:rsid w:val="005C14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363531"/>
      <w:sz w:val="18"/>
      <w:szCs w:val="18"/>
      <w:lang w:eastAsia="fr-FR"/>
    </w:rPr>
  </w:style>
  <w:style w:type="paragraph" w:customStyle="1" w:styleId="xl105">
    <w:name w:val="xl105"/>
    <w:basedOn w:val="Normal"/>
    <w:rsid w:val="005C141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06">
    <w:name w:val="xl106"/>
    <w:basedOn w:val="Normal"/>
    <w:rsid w:val="005C141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07">
    <w:name w:val="xl107"/>
    <w:basedOn w:val="Normal"/>
    <w:rsid w:val="005C141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08">
    <w:name w:val="xl108"/>
    <w:basedOn w:val="Normal"/>
    <w:rsid w:val="005C1417"/>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09">
    <w:name w:val="xl109"/>
    <w:basedOn w:val="Normal"/>
    <w:rsid w:val="005C1417"/>
    <w:pPr>
      <w:pBdr>
        <w:top w:val="single" w:sz="4" w:space="0" w:color="auto"/>
        <w:left w:val="single" w:sz="4" w:space="0" w:color="auto"/>
        <w:right w:val="single" w:sz="4" w:space="0" w:color="auto"/>
      </w:pBdr>
      <w:shd w:val="clear" w:color="000000" w:fill="DBEDDB"/>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10">
    <w:name w:val="xl110"/>
    <w:basedOn w:val="Normal"/>
    <w:rsid w:val="005C141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11">
    <w:name w:val="xl111"/>
    <w:basedOn w:val="Normal"/>
    <w:rsid w:val="005C141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12">
    <w:name w:val="xl112"/>
    <w:basedOn w:val="Normal"/>
    <w:rsid w:val="005C1417"/>
    <w:pPr>
      <w:pBdr>
        <w:top w:val="single" w:sz="8"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363531"/>
      <w:sz w:val="18"/>
      <w:szCs w:val="18"/>
      <w:lang w:eastAsia="fr-FR"/>
    </w:rPr>
  </w:style>
  <w:style w:type="paragraph" w:customStyle="1" w:styleId="xl113">
    <w:name w:val="xl113"/>
    <w:basedOn w:val="Normal"/>
    <w:rsid w:val="005C1417"/>
    <w:pPr>
      <w:pBdr>
        <w:top w:val="single" w:sz="8"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color w:val="363531"/>
      <w:sz w:val="18"/>
      <w:szCs w:val="18"/>
      <w:lang w:eastAsia="fr-FR"/>
    </w:rPr>
  </w:style>
  <w:style w:type="paragraph" w:customStyle="1" w:styleId="xl114">
    <w:name w:val="xl114"/>
    <w:basedOn w:val="Normal"/>
    <w:rsid w:val="005C1417"/>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color w:val="363531"/>
      <w:sz w:val="18"/>
      <w:szCs w:val="18"/>
      <w:lang w:eastAsia="fr-FR"/>
    </w:rPr>
  </w:style>
  <w:style w:type="paragraph" w:customStyle="1" w:styleId="xl115">
    <w:name w:val="xl115"/>
    <w:basedOn w:val="Normal"/>
    <w:rsid w:val="005C1417"/>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color w:val="363531"/>
      <w:sz w:val="18"/>
      <w:szCs w:val="18"/>
      <w:lang w:eastAsia="fr-FR"/>
    </w:rPr>
  </w:style>
  <w:style w:type="paragraph" w:customStyle="1" w:styleId="xl116">
    <w:name w:val="xl116"/>
    <w:basedOn w:val="Normal"/>
    <w:rsid w:val="005C1417"/>
    <w:pPr>
      <w:pBdr>
        <w:top w:val="single" w:sz="4" w:space="0" w:color="auto"/>
        <w:left w:val="single" w:sz="4" w:space="0" w:color="auto"/>
        <w:bottom w:val="single" w:sz="8" w:space="0" w:color="auto"/>
        <w:right w:val="single" w:sz="4" w:space="0" w:color="auto"/>
      </w:pBdr>
      <w:shd w:val="clear" w:color="000000" w:fill="DBEDDB"/>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17">
    <w:name w:val="xl117"/>
    <w:basedOn w:val="Normal"/>
    <w:rsid w:val="005C141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18">
    <w:name w:val="xl118"/>
    <w:basedOn w:val="Normal"/>
    <w:rsid w:val="005C141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19">
    <w:name w:val="xl119"/>
    <w:basedOn w:val="Normal"/>
    <w:rsid w:val="005C1417"/>
    <w:pPr>
      <w:pBdr>
        <w:top w:val="single" w:sz="8" w:space="0" w:color="auto"/>
        <w:left w:val="single" w:sz="4" w:space="0" w:color="auto"/>
        <w:bottom w:val="single" w:sz="4" w:space="0" w:color="auto"/>
        <w:right w:val="single" w:sz="4" w:space="0" w:color="auto"/>
      </w:pBdr>
      <w:shd w:val="clear" w:color="000000" w:fill="FBF2D9"/>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120">
    <w:name w:val="xl120"/>
    <w:basedOn w:val="Normal"/>
    <w:rsid w:val="005C1417"/>
    <w:pPr>
      <w:pBdr>
        <w:top w:val="single" w:sz="8"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121">
    <w:name w:val="xl121"/>
    <w:basedOn w:val="Normal"/>
    <w:rsid w:val="005C1417"/>
    <w:pPr>
      <w:pBdr>
        <w:top w:val="single" w:sz="4" w:space="0" w:color="auto"/>
        <w:left w:val="single" w:sz="4" w:space="0" w:color="auto"/>
        <w:bottom w:val="single" w:sz="4" w:space="0" w:color="auto"/>
        <w:right w:val="single" w:sz="4" w:space="0" w:color="auto"/>
      </w:pBdr>
      <w:shd w:val="clear" w:color="000000" w:fill="FBF2D9"/>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122">
    <w:name w:val="xl122"/>
    <w:basedOn w:val="Normal"/>
    <w:rsid w:val="005C141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123">
    <w:name w:val="xl123"/>
    <w:basedOn w:val="Normal"/>
    <w:rsid w:val="005C1417"/>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124">
    <w:name w:val="xl124"/>
    <w:basedOn w:val="Normal"/>
    <w:rsid w:val="005C1417"/>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25">
    <w:name w:val="xl125"/>
    <w:basedOn w:val="Normal"/>
    <w:rsid w:val="005C141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26">
    <w:name w:val="xl126"/>
    <w:basedOn w:val="Normal"/>
    <w:rsid w:val="005C141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27">
    <w:name w:val="xl127"/>
    <w:basedOn w:val="Normal"/>
    <w:rsid w:val="005C141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28">
    <w:name w:val="xl128"/>
    <w:basedOn w:val="Normal"/>
    <w:rsid w:val="005C1417"/>
    <w:pPr>
      <w:pBdr>
        <w:top w:val="single" w:sz="8"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color w:val="363531"/>
      <w:sz w:val="18"/>
      <w:szCs w:val="18"/>
      <w:lang w:eastAsia="fr-FR"/>
    </w:rPr>
  </w:style>
  <w:style w:type="paragraph" w:customStyle="1" w:styleId="xl129">
    <w:name w:val="xl129"/>
    <w:basedOn w:val="Normal"/>
    <w:rsid w:val="005C141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30">
    <w:name w:val="xl130"/>
    <w:basedOn w:val="Normal"/>
    <w:rsid w:val="005C1417"/>
    <w:pPr>
      <w:pBdr>
        <w:top w:val="single" w:sz="8" w:space="0" w:color="auto"/>
        <w:left w:val="single" w:sz="4" w:space="0" w:color="auto"/>
        <w:bottom w:val="single" w:sz="8"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31">
    <w:name w:val="xl131"/>
    <w:basedOn w:val="Normal"/>
    <w:rsid w:val="005C141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32">
    <w:name w:val="xl132"/>
    <w:basedOn w:val="Normal"/>
    <w:rsid w:val="005C141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33">
    <w:name w:val="xl133"/>
    <w:basedOn w:val="Normal"/>
    <w:rsid w:val="005C1417"/>
    <w:pPr>
      <w:pBdr>
        <w:top w:val="single" w:sz="8" w:space="0" w:color="auto"/>
        <w:left w:val="single" w:sz="4" w:space="0" w:color="auto"/>
        <w:bottom w:val="single" w:sz="8"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134">
    <w:name w:val="xl134"/>
    <w:basedOn w:val="Normal"/>
    <w:rsid w:val="005C141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lang w:eastAsia="fr-FR"/>
    </w:rPr>
  </w:style>
  <w:style w:type="paragraph" w:customStyle="1" w:styleId="xl135">
    <w:name w:val="xl135"/>
    <w:basedOn w:val="Normal"/>
    <w:rsid w:val="005C1417"/>
    <w:pPr>
      <w:pBdr>
        <w:top w:val="single" w:sz="4" w:space="0" w:color="auto"/>
        <w:left w:val="single" w:sz="4" w:space="0" w:color="auto"/>
        <w:bottom w:val="single" w:sz="8"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lang w:eastAsia="fr-FR"/>
    </w:rPr>
  </w:style>
  <w:style w:type="paragraph" w:customStyle="1" w:styleId="xl136">
    <w:name w:val="xl136"/>
    <w:basedOn w:val="Normal"/>
    <w:rsid w:val="005C141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363531"/>
      <w:sz w:val="18"/>
      <w:szCs w:val="18"/>
      <w:lang w:eastAsia="fr-FR"/>
    </w:rPr>
  </w:style>
  <w:style w:type="paragraph" w:customStyle="1" w:styleId="xl137">
    <w:name w:val="xl137"/>
    <w:basedOn w:val="Normal"/>
    <w:rsid w:val="005C1417"/>
    <w:pPr>
      <w:pBdr>
        <w:top w:val="single" w:sz="4" w:space="0" w:color="auto"/>
        <w:left w:val="single" w:sz="4" w:space="0" w:color="auto"/>
        <w:bottom w:val="single" w:sz="8"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color w:val="363531"/>
      <w:sz w:val="18"/>
      <w:szCs w:val="18"/>
      <w:lang w:eastAsia="fr-FR"/>
    </w:rPr>
  </w:style>
  <w:style w:type="paragraph" w:customStyle="1" w:styleId="xl138">
    <w:name w:val="xl138"/>
    <w:basedOn w:val="Normal"/>
    <w:rsid w:val="005C1417"/>
    <w:pPr>
      <w:pBdr>
        <w:top w:val="single" w:sz="4" w:space="0" w:color="auto"/>
        <w:left w:val="single" w:sz="4" w:space="0" w:color="auto"/>
        <w:bottom w:val="single" w:sz="8"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39">
    <w:name w:val="xl139"/>
    <w:basedOn w:val="Normal"/>
    <w:rsid w:val="005C1417"/>
    <w:pPr>
      <w:pBdr>
        <w:top w:val="single" w:sz="8" w:space="0" w:color="auto"/>
        <w:left w:val="single" w:sz="4" w:space="0" w:color="auto"/>
        <w:bottom w:val="single" w:sz="8"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lang w:eastAsia="fr-FR"/>
    </w:rPr>
  </w:style>
  <w:style w:type="paragraph" w:customStyle="1" w:styleId="xl140">
    <w:name w:val="xl140"/>
    <w:basedOn w:val="Normal"/>
    <w:rsid w:val="005C141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eastAsia="fr-FR"/>
    </w:rPr>
  </w:style>
  <w:style w:type="paragraph" w:customStyle="1" w:styleId="xl141">
    <w:name w:val="xl141"/>
    <w:basedOn w:val="Normal"/>
    <w:rsid w:val="005C141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eastAsia="fr-FR"/>
    </w:rPr>
  </w:style>
  <w:style w:type="paragraph" w:customStyle="1" w:styleId="xl142">
    <w:name w:val="xl142"/>
    <w:basedOn w:val="Normal"/>
    <w:rsid w:val="005C1417"/>
    <w:pPr>
      <w:pBdr>
        <w:top w:val="single" w:sz="4" w:space="0" w:color="auto"/>
        <w:left w:val="single" w:sz="4" w:space="0" w:color="auto"/>
        <w:bottom w:val="single" w:sz="8" w:space="0" w:color="auto"/>
        <w:right w:val="single" w:sz="4" w:space="0" w:color="auto"/>
      </w:pBdr>
      <w:shd w:val="clear" w:color="000000" w:fill="FBF2D9"/>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143">
    <w:name w:val="xl143"/>
    <w:basedOn w:val="Normal"/>
    <w:rsid w:val="005C1417"/>
    <w:pPr>
      <w:pBdr>
        <w:top w:val="single" w:sz="8" w:space="0" w:color="auto"/>
        <w:left w:val="single" w:sz="4" w:space="0" w:color="auto"/>
        <w:bottom w:val="single" w:sz="4" w:space="0" w:color="auto"/>
        <w:right w:val="single" w:sz="4" w:space="0" w:color="auto"/>
      </w:pBdr>
      <w:shd w:val="clear" w:color="000000" w:fill="F8EDF9"/>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44">
    <w:name w:val="xl144"/>
    <w:basedOn w:val="Normal"/>
    <w:rsid w:val="005C1417"/>
    <w:pPr>
      <w:pBdr>
        <w:top w:val="single" w:sz="4" w:space="0" w:color="auto"/>
        <w:left w:val="single" w:sz="4" w:space="0" w:color="auto"/>
        <w:bottom w:val="single" w:sz="8"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45">
    <w:name w:val="xl145"/>
    <w:basedOn w:val="Normal"/>
    <w:rsid w:val="005C141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46">
    <w:name w:val="xl146"/>
    <w:basedOn w:val="Normal"/>
    <w:rsid w:val="005C141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47">
    <w:name w:val="xl147"/>
    <w:basedOn w:val="Normal"/>
    <w:rsid w:val="005C1417"/>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color w:val="363531"/>
      <w:sz w:val="18"/>
      <w:szCs w:val="18"/>
      <w:lang w:eastAsia="fr-FR"/>
    </w:rPr>
  </w:style>
  <w:style w:type="paragraph" w:customStyle="1" w:styleId="xl148">
    <w:name w:val="xl148"/>
    <w:basedOn w:val="Normal"/>
    <w:rsid w:val="005C1417"/>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color w:val="363531"/>
      <w:sz w:val="18"/>
      <w:szCs w:val="18"/>
      <w:lang w:eastAsia="fr-FR"/>
    </w:rPr>
  </w:style>
  <w:style w:type="paragraph" w:customStyle="1" w:styleId="xl149">
    <w:name w:val="xl149"/>
    <w:basedOn w:val="Normal"/>
    <w:rsid w:val="005C1417"/>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50">
    <w:name w:val="xl150"/>
    <w:basedOn w:val="Normal"/>
    <w:rsid w:val="005C141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51">
    <w:name w:val="xl151"/>
    <w:basedOn w:val="Normal"/>
    <w:rsid w:val="005C1417"/>
    <w:pPr>
      <w:pBdr>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52">
    <w:name w:val="xl152"/>
    <w:basedOn w:val="Normal"/>
    <w:rsid w:val="005C141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53">
    <w:name w:val="xl153"/>
    <w:basedOn w:val="Normal"/>
    <w:rsid w:val="005C141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54">
    <w:name w:val="xl154"/>
    <w:basedOn w:val="Normal"/>
    <w:rsid w:val="005C14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363531"/>
      <w:sz w:val="18"/>
      <w:szCs w:val="18"/>
      <w:lang w:eastAsia="fr-FR"/>
    </w:rPr>
  </w:style>
  <w:style w:type="paragraph" w:customStyle="1" w:styleId="xl155">
    <w:name w:val="xl155"/>
    <w:basedOn w:val="Normal"/>
    <w:rsid w:val="005C1417"/>
    <w:pPr>
      <w:pBdr>
        <w:top w:val="single" w:sz="8" w:space="0" w:color="auto"/>
        <w:left w:val="single" w:sz="4" w:space="0" w:color="auto"/>
        <w:bottom w:val="single" w:sz="4" w:space="0" w:color="auto"/>
        <w:right w:val="single" w:sz="4" w:space="0" w:color="auto"/>
      </w:pBdr>
      <w:shd w:val="clear" w:color="000000" w:fill="DBEDDB"/>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56">
    <w:name w:val="xl156"/>
    <w:basedOn w:val="Normal"/>
    <w:rsid w:val="005C141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363531"/>
      <w:sz w:val="18"/>
      <w:szCs w:val="18"/>
      <w:lang w:eastAsia="fr-FR"/>
    </w:rPr>
  </w:style>
  <w:style w:type="paragraph" w:customStyle="1" w:styleId="xl157">
    <w:name w:val="xl157"/>
    <w:basedOn w:val="Normal"/>
    <w:rsid w:val="005C1417"/>
    <w:pPr>
      <w:pBdr>
        <w:top w:val="single" w:sz="8" w:space="0" w:color="auto"/>
        <w:left w:val="single" w:sz="4" w:space="0" w:color="auto"/>
        <w:bottom w:val="single" w:sz="8"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58">
    <w:name w:val="xl158"/>
    <w:basedOn w:val="Normal"/>
    <w:rsid w:val="005C1417"/>
    <w:pPr>
      <w:pBdr>
        <w:top w:val="single" w:sz="8" w:space="0" w:color="auto"/>
        <w:left w:val="single" w:sz="4" w:space="0" w:color="auto"/>
        <w:bottom w:val="single" w:sz="8" w:space="0" w:color="auto"/>
        <w:right w:val="single" w:sz="4" w:space="0" w:color="auto"/>
      </w:pBdr>
      <w:shd w:val="clear" w:color="000000" w:fill="DBEDDB"/>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59">
    <w:name w:val="xl159"/>
    <w:basedOn w:val="Normal"/>
    <w:rsid w:val="005C141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60">
    <w:name w:val="xl160"/>
    <w:basedOn w:val="Normal"/>
    <w:rsid w:val="005C1417"/>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61">
    <w:name w:val="xl161"/>
    <w:basedOn w:val="Normal"/>
    <w:rsid w:val="005C141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62">
    <w:name w:val="xl162"/>
    <w:basedOn w:val="Normal"/>
    <w:rsid w:val="005C141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63">
    <w:name w:val="xl163"/>
    <w:basedOn w:val="Normal"/>
    <w:rsid w:val="005C1417"/>
    <w:pPr>
      <w:pBdr>
        <w:left w:val="single" w:sz="4" w:space="0" w:color="auto"/>
        <w:bottom w:val="single" w:sz="8" w:space="0" w:color="auto"/>
        <w:right w:val="single" w:sz="4" w:space="0" w:color="auto"/>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sz w:val="18"/>
      <w:szCs w:val="18"/>
      <w:lang w:eastAsia="fr-FR"/>
    </w:rPr>
  </w:style>
  <w:style w:type="paragraph" w:customStyle="1" w:styleId="xl164">
    <w:name w:val="xl164"/>
    <w:basedOn w:val="Normal"/>
    <w:rsid w:val="005C141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paragraph" w:customStyle="1" w:styleId="xl165">
    <w:name w:val="xl165"/>
    <w:basedOn w:val="Normal"/>
    <w:rsid w:val="005C141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fr-FR"/>
    </w:rPr>
  </w:style>
  <w:style w:type="table" w:customStyle="1" w:styleId="Tableausimple32">
    <w:name w:val="Tableau simple 32"/>
    <w:basedOn w:val="TableauNormal"/>
    <w:uiPriority w:val="99"/>
    <w:rsid w:val="002B46D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Marquedecommentaire">
    <w:name w:val="annotation reference"/>
    <w:basedOn w:val="Policepardfaut"/>
    <w:uiPriority w:val="99"/>
    <w:semiHidden/>
    <w:unhideWhenUsed/>
    <w:rsid w:val="00C72553"/>
    <w:rPr>
      <w:sz w:val="16"/>
      <w:szCs w:val="16"/>
    </w:rPr>
  </w:style>
  <w:style w:type="paragraph" w:styleId="Commentaire">
    <w:name w:val="annotation text"/>
    <w:basedOn w:val="Normal"/>
    <w:link w:val="CommentaireCar"/>
    <w:uiPriority w:val="99"/>
    <w:semiHidden/>
    <w:unhideWhenUsed/>
    <w:rsid w:val="00C72553"/>
    <w:pPr>
      <w:spacing w:line="240" w:lineRule="auto"/>
    </w:pPr>
    <w:rPr>
      <w:sz w:val="20"/>
      <w:szCs w:val="20"/>
    </w:rPr>
  </w:style>
  <w:style w:type="character" w:customStyle="1" w:styleId="CommentaireCar">
    <w:name w:val="Commentaire Car"/>
    <w:basedOn w:val="Policepardfaut"/>
    <w:link w:val="Commentaire"/>
    <w:uiPriority w:val="99"/>
    <w:semiHidden/>
    <w:rsid w:val="00C72553"/>
    <w:rPr>
      <w:sz w:val="20"/>
      <w:szCs w:val="20"/>
    </w:rPr>
  </w:style>
  <w:style w:type="paragraph" w:styleId="Objetducommentaire">
    <w:name w:val="annotation subject"/>
    <w:basedOn w:val="Commentaire"/>
    <w:next w:val="Commentaire"/>
    <w:link w:val="ObjetducommentaireCar"/>
    <w:uiPriority w:val="99"/>
    <w:semiHidden/>
    <w:unhideWhenUsed/>
    <w:rsid w:val="00C72553"/>
    <w:rPr>
      <w:b/>
      <w:bCs/>
    </w:rPr>
  </w:style>
  <w:style w:type="character" w:customStyle="1" w:styleId="ObjetducommentaireCar">
    <w:name w:val="Objet du commentaire Car"/>
    <w:basedOn w:val="CommentaireCar"/>
    <w:link w:val="Objetducommentaire"/>
    <w:uiPriority w:val="99"/>
    <w:semiHidden/>
    <w:rsid w:val="00C72553"/>
    <w:rPr>
      <w:b/>
      <w:bCs/>
      <w:sz w:val="20"/>
      <w:szCs w:val="20"/>
    </w:rPr>
  </w:style>
  <w:style w:type="character" w:styleId="Accentuation">
    <w:name w:val="Emphasis"/>
    <w:basedOn w:val="Policepardfaut"/>
    <w:uiPriority w:val="20"/>
    <w:qFormat/>
    <w:rsid w:val="00F56ECC"/>
    <w:rPr>
      <w:i/>
      <w:iCs/>
    </w:rPr>
  </w:style>
  <w:style w:type="numbering" w:customStyle="1" w:styleId="Listeactuelle1">
    <w:name w:val="Liste actuelle1"/>
    <w:uiPriority w:val="99"/>
    <w:rsid w:val="00E2300F"/>
    <w:pPr>
      <w:numPr>
        <w:numId w:val="6"/>
      </w:numPr>
    </w:pPr>
  </w:style>
  <w:style w:type="paragraph" w:styleId="NormalWeb">
    <w:name w:val="Normal (Web)"/>
    <w:basedOn w:val="Normal"/>
    <w:uiPriority w:val="99"/>
    <w:unhideWhenUsed/>
    <w:rsid w:val="0070460E"/>
    <w:rPr>
      <w:rFonts w:ascii="Times New Roman" w:hAnsi="Times New Roman" w:cs="Times New Roman"/>
      <w:sz w:val="24"/>
      <w:szCs w:val="24"/>
    </w:rPr>
  </w:style>
  <w:style w:type="paragraph" w:styleId="Rvision">
    <w:name w:val="Revision"/>
    <w:hidden/>
    <w:uiPriority w:val="99"/>
    <w:semiHidden/>
    <w:rsid w:val="008121FE"/>
    <w:pPr>
      <w:spacing w:after="0" w:line="240" w:lineRule="auto"/>
    </w:pPr>
  </w:style>
  <w:style w:type="paragraph" w:customStyle="1" w:styleId="font5">
    <w:name w:val="font5"/>
    <w:basedOn w:val="Normal"/>
    <w:rsid w:val="00BE546C"/>
    <w:pPr>
      <w:spacing w:before="100" w:beforeAutospacing="1" w:after="100" w:afterAutospacing="1" w:line="240" w:lineRule="auto"/>
    </w:pPr>
    <w:rPr>
      <w:rFonts w:ascii="Calibri" w:eastAsia="Times New Roman" w:hAnsi="Calibri" w:cs="Calibri"/>
      <w:color w:val="000000"/>
      <w:sz w:val="18"/>
      <w:szCs w:val="18"/>
      <w:lang w:eastAsia="fr-FR"/>
    </w:rPr>
  </w:style>
  <w:style w:type="table" w:styleId="Tableausimple5">
    <w:name w:val="Plain Table 5"/>
    <w:basedOn w:val="TableauNormal"/>
    <w:uiPriority w:val="99"/>
    <w:rsid w:val="00BE546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detableauclaire">
    <w:name w:val="Grid Table Light"/>
    <w:basedOn w:val="TableauNormal"/>
    <w:uiPriority w:val="99"/>
    <w:rsid w:val="00814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ieddepage">
    <w:name w:val="footer"/>
    <w:basedOn w:val="Normal"/>
    <w:link w:val="PieddepageCar"/>
    <w:uiPriority w:val="99"/>
    <w:unhideWhenUsed/>
    <w:rsid w:val="00F25CB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25CBF"/>
  </w:style>
  <w:style w:type="character" w:styleId="Numrodepage">
    <w:name w:val="page number"/>
    <w:basedOn w:val="Policepardfaut"/>
    <w:uiPriority w:val="99"/>
    <w:semiHidden/>
    <w:unhideWhenUsed/>
    <w:rsid w:val="00F25CBF"/>
  </w:style>
  <w:style w:type="paragraph" w:customStyle="1" w:styleId="Bibliographie1">
    <w:name w:val="Bibliographie1"/>
    <w:basedOn w:val="Normal"/>
    <w:link w:val="BibliographyCar"/>
    <w:rsid w:val="00B21123"/>
    <w:pPr>
      <w:tabs>
        <w:tab w:val="left" w:pos="380"/>
      </w:tabs>
      <w:spacing w:after="0" w:line="480" w:lineRule="auto"/>
      <w:ind w:left="384" w:hanging="384"/>
      <w:jc w:val="center"/>
    </w:pPr>
    <w:rPr>
      <w:rFonts w:ascii="Calibri" w:eastAsia="Times New Roman" w:hAnsi="Calibri" w:cs="Calibri"/>
      <w:color w:val="000000"/>
      <w:sz w:val="12"/>
      <w:szCs w:val="12"/>
      <w:lang w:eastAsia="fr-FR"/>
    </w:rPr>
  </w:style>
  <w:style w:type="character" w:customStyle="1" w:styleId="BibliographyCar">
    <w:name w:val="Bibliography Car"/>
    <w:basedOn w:val="Policepardfaut"/>
    <w:link w:val="Bibliographie1"/>
    <w:rsid w:val="00B21123"/>
    <w:rPr>
      <w:rFonts w:ascii="Calibri" w:eastAsia="Times New Roman" w:hAnsi="Calibri" w:cs="Calibri"/>
      <w:color w:val="000000"/>
      <w:sz w:val="12"/>
      <w:szCs w:val="12"/>
      <w:lang w:eastAsia="fr-FR"/>
    </w:rPr>
  </w:style>
  <w:style w:type="paragraph" w:styleId="En-tte">
    <w:name w:val="header"/>
    <w:basedOn w:val="Normal"/>
    <w:link w:val="En-tteCar"/>
    <w:uiPriority w:val="99"/>
    <w:unhideWhenUsed/>
    <w:rsid w:val="00ED14DA"/>
    <w:pPr>
      <w:tabs>
        <w:tab w:val="center" w:pos="4536"/>
        <w:tab w:val="right" w:pos="9072"/>
      </w:tabs>
      <w:spacing w:after="0" w:line="240" w:lineRule="auto"/>
    </w:pPr>
  </w:style>
  <w:style w:type="character" w:customStyle="1" w:styleId="En-tteCar">
    <w:name w:val="En-tête Car"/>
    <w:basedOn w:val="Policepardfaut"/>
    <w:link w:val="En-tte"/>
    <w:uiPriority w:val="99"/>
    <w:rsid w:val="00ED14DA"/>
  </w:style>
  <w:style w:type="paragraph" w:styleId="Sansinterligne">
    <w:name w:val="No Spacing"/>
    <w:uiPriority w:val="1"/>
    <w:qFormat/>
    <w:rsid w:val="00DA091B"/>
    <w:pPr>
      <w:spacing w:after="0" w:line="240" w:lineRule="auto"/>
    </w:pPr>
    <w:rPr>
      <w:lang w:val="en-US"/>
    </w:rPr>
  </w:style>
  <w:style w:type="character" w:styleId="Mentionnonrsolue">
    <w:name w:val="Unresolved Mention"/>
    <w:basedOn w:val="Policepardfaut"/>
    <w:uiPriority w:val="99"/>
    <w:rsid w:val="00D90FC6"/>
    <w:rPr>
      <w:color w:val="605E5C"/>
      <w:shd w:val="clear" w:color="auto" w:fill="E1DFDD"/>
    </w:rPr>
  </w:style>
  <w:style w:type="character" w:styleId="lev">
    <w:name w:val="Strong"/>
    <w:basedOn w:val="Policepardfaut"/>
    <w:uiPriority w:val="22"/>
    <w:qFormat/>
    <w:rsid w:val="003E1C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455955">
      <w:bodyDiv w:val="1"/>
      <w:marLeft w:val="0"/>
      <w:marRight w:val="0"/>
      <w:marTop w:val="0"/>
      <w:marBottom w:val="0"/>
      <w:divBdr>
        <w:top w:val="none" w:sz="0" w:space="0" w:color="auto"/>
        <w:left w:val="none" w:sz="0" w:space="0" w:color="auto"/>
        <w:bottom w:val="none" w:sz="0" w:space="0" w:color="auto"/>
        <w:right w:val="none" w:sz="0" w:space="0" w:color="auto"/>
      </w:divBdr>
    </w:div>
    <w:div w:id="682317431">
      <w:bodyDiv w:val="1"/>
      <w:marLeft w:val="0"/>
      <w:marRight w:val="0"/>
      <w:marTop w:val="0"/>
      <w:marBottom w:val="0"/>
      <w:divBdr>
        <w:top w:val="none" w:sz="0" w:space="0" w:color="auto"/>
        <w:left w:val="none" w:sz="0" w:space="0" w:color="auto"/>
        <w:bottom w:val="none" w:sz="0" w:space="0" w:color="auto"/>
        <w:right w:val="none" w:sz="0" w:space="0" w:color="auto"/>
      </w:divBdr>
    </w:div>
    <w:div w:id="747459737">
      <w:bodyDiv w:val="1"/>
      <w:marLeft w:val="0"/>
      <w:marRight w:val="0"/>
      <w:marTop w:val="0"/>
      <w:marBottom w:val="0"/>
      <w:divBdr>
        <w:top w:val="none" w:sz="0" w:space="0" w:color="auto"/>
        <w:left w:val="none" w:sz="0" w:space="0" w:color="auto"/>
        <w:bottom w:val="none" w:sz="0" w:space="0" w:color="auto"/>
        <w:right w:val="none" w:sz="0" w:space="0" w:color="auto"/>
      </w:divBdr>
    </w:div>
    <w:div w:id="1086225223">
      <w:bodyDiv w:val="1"/>
      <w:marLeft w:val="0"/>
      <w:marRight w:val="0"/>
      <w:marTop w:val="0"/>
      <w:marBottom w:val="0"/>
      <w:divBdr>
        <w:top w:val="none" w:sz="0" w:space="0" w:color="auto"/>
        <w:left w:val="none" w:sz="0" w:space="0" w:color="auto"/>
        <w:bottom w:val="none" w:sz="0" w:space="0" w:color="auto"/>
        <w:right w:val="none" w:sz="0" w:space="0" w:color="auto"/>
      </w:divBdr>
    </w:div>
    <w:div w:id="1273974440">
      <w:bodyDiv w:val="1"/>
      <w:marLeft w:val="0"/>
      <w:marRight w:val="0"/>
      <w:marTop w:val="0"/>
      <w:marBottom w:val="0"/>
      <w:divBdr>
        <w:top w:val="none" w:sz="0" w:space="0" w:color="auto"/>
        <w:left w:val="none" w:sz="0" w:space="0" w:color="auto"/>
        <w:bottom w:val="none" w:sz="0" w:space="0" w:color="auto"/>
        <w:right w:val="none" w:sz="0" w:space="0" w:color="auto"/>
      </w:divBdr>
    </w:div>
    <w:div w:id="1318991925">
      <w:bodyDiv w:val="1"/>
      <w:marLeft w:val="0"/>
      <w:marRight w:val="0"/>
      <w:marTop w:val="0"/>
      <w:marBottom w:val="0"/>
      <w:divBdr>
        <w:top w:val="none" w:sz="0" w:space="0" w:color="auto"/>
        <w:left w:val="none" w:sz="0" w:space="0" w:color="auto"/>
        <w:bottom w:val="none" w:sz="0" w:space="0" w:color="auto"/>
        <w:right w:val="none" w:sz="0" w:space="0" w:color="auto"/>
      </w:divBdr>
    </w:div>
    <w:div w:id="1975523778">
      <w:bodyDiv w:val="1"/>
      <w:marLeft w:val="0"/>
      <w:marRight w:val="0"/>
      <w:marTop w:val="0"/>
      <w:marBottom w:val="0"/>
      <w:divBdr>
        <w:top w:val="none" w:sz="0" w:space="0" w:color="auto"/>
        <w:left w:val="none" w:sz="0" w:space="0" w:color="auto"/>
        <w:bottom w:val="none" w:sz="0" w:space="0" w:color="auto"/>
        <w:right w:val="none" w:sz="0" w:space="0" w:color="auto"/>
      </w:divBdr>
    </w:div>
    <w:div w:id="2004891678">
      <w:bodyDiv w:val="1"/>
      <w:marLeft w:val="0"/>
      <w:marRight w:val="0"/>
      <w:marTop w:val="0"/>
      <w:marBottom w:val="0"/>
      <w:divBdr>
        <w:top w:val="none" w:sz="0" w:space="0" w:color="auto"/>
        <w:left w:val="none" w:sz="0" w:space="0" w:color="auto"/>
        <w:bottom w:val="none" w:sz="0" w:space="0" w:color="auto"/>
        <w:right w:val="none" w:sz="0" w:space="0" w:color="auto"/>
      </w:divBdr>
    </w:div>
    <w:div w:id="2039237419">
      <w:bodyDiv w:val="1"/>
      <w:marLeft w:val="0"/>
      <w:marRight w:val="0"/>
      <w:marTop w:val="0"/>
      <w:marBottom w:val="0"/>
      <w:divBdr>
        <w:top w:val="none" w:sz="0" w:space="0" w:color="auto"/>
        <w:left w:val="none" w:sz="0" w:space="0" w:color="auto"/>
        <w:bottom w:val="none" w:sz="0" w:space="0" w:color="auto"/>
        <w:right w:val="none" w:sz="0" w:space="0" w:color="auto"/>
      </w:divBdr>
    </w:div>
    <w:div w:id="208772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C9AD5-0D4A-8C40-8B3A-70E9F8463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24854</Words>
  <Characters>136702</Characters>
  <Application>Microsoft Office Word</Application>
  <DocSecurity>0</DocSecurity>
  <Lines>1139</Lines>
  <Paragraphs>322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 Grabon</dc:creator>
  <cp:lastModifiedBy>Wanda Grabon</cp:lastModifiedBy>
  <cp:revision>5</cp:revision>
  <cp:lastPrinted>2022-03-21T18:21:00Z</cp:lastPrinted>
  <dcterms:created xsi:type="dcterms:W3CDTF">2022-09-27T16:21:00Z</dcterms:created>
  <dcterms:modified xsi:type="dcterms:W3CDTF">2022-09-27T16:42:00Z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id="fsrqumGH"/&gt;&lt;style id="http://www.zotero.org/styles/nature" hasBibliography="1" bibliographyStyleHasBeenSet="1"/&gt;&lt;prefs&gt;&lt;pref name="fieldType" value="Field"/&gt;&lt;pref name="dontAskDelayCitationUpdate</vt:lpwstr>
  </property>
  <property fmtid="{D5CDD505-2E9C-101B-9397-08002B2CF9AE}" pid="3" name="ZOTERO_PREF_2">
    <vt:lpwstr>s" value="true"/&gt;&lt;/prefs&gt;&lt;/data&gt;</vt:lpwstr>
  </property>
</Properties>
</file>