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46E8DE" w14:textId="4CEE6B95" w:rsidR="007B25E5" w:rsidRDefault="00E21125" w:rsidP="00130C2A">
      <w:pPr>
        <w:jc w:val="center"/>
        <w:rPr>
          <w:rFonts w:ascii="Times New Roman" w:hAnsi="Times New Roman" w:cs="Times New Roman"/>
          <w:b/>
        </w:rPr>
      </w:pPr>
      <w:r>
        <w:rPr>
          <w:rFonts w:ascii="Times New Roman" w:hAnsi="Times New Roman" w:cs="Times New Roman"/>
          <w:b/>
        </w:rPr>
        <w:t xml:space="preserve"> </w:t>
      </w:r>
    </w:p>
    <w:p w14:paraId="54606EE1" w14:textId="77777777" w:rsidR="007B25E5" w:rsidRDefault="007B25E5" w:rsidP="00130C2A">
      <w:pPr>
        <w:jc w:val="center"/>
        <w:rPr>
          <w:rFonts w:ascii="Times New Roman" w:hAnsi="Times New Roman" w:cs="Times New Roman"/>
          <w:b/>
        </w:rPr>
      </w:pPr>
    </w:p>
    <w:p w14:paraId="2920E597" w14:textId="77777777" w:rsidR="007B25E5" w:rsidRDefault="007B25E5" w:rsidP="00130C2A">
      <w:pPr>
        <w:jc w:val="center"/>
        <w:rPr>
          <w:rFonts w:ascii="Times New Roman" w:hAnsi="Times New Roman" w:cs="Times New Roman"/>
          <w:b/>
        </w:rPr>
      </w:pPr>
    </w:p>
    <w:p w14:paraId="6E14A88C" w14:textId="77777777" w:rsidR="007B25E5" w:rsidRDefault="007B25E5" w:rsidP="00130C2A">
      <w:pPr>
        <w:jc w:val="center"/>
        <w:rPr>
          <w:rFonts w:ascii="Times New Roman" w:hAnsi="Times New Roman" w:cs="Times New Roman"/>
          <w:b/>
        </w:rPr>
      </w:pPr>
    </w:p>
    <w:p w14:paraId="2992E2C5" w14:textId="77777777" w:rsidR="007B25E5" w:rsidRDefault="007B25E5" w:rsidP="00130C2A">
      <w:pPr>
        <w:jc w:val="center"/>
        <w:rPr>
          <w:rFonts w:ascii="Times New Roman" w:hAnsi="Times New Roman" w:cs="Times New Roman"/>
          <w:b/>
        </w:rPr>
      </w:pPr>
    </w:p>
    <w:p w14:paraId="128A8CAD" w14:textId="77777777" w:rsidR="007B25E5" w:rsidRPr="00930B28" w:rsidRDefault="007B25E5" w:rsidP="00130C2A">
      <w:pPr>
        <w:jc w:val="center"/>
        <w:rPr>
          <w:rFonts w:ascii="Times New Roman" w:hAnsi="Times New Roman" w:cs="Times New Roman"/>
          <w:b/>
          <w:sz w:val="24"/>
          <w:szCs w:val="24"/>
        </w:rPr>
      </w:pPr>
    </w:p>
    <w:p w14:paraId="2A9996C6" w14:textId="289349F2" w:rsidR="00130C2A" w:rsidRPr="00930B28" w:rsidRDefault="00130C2A" w:rsidP="00130C2A">
      <w:pPr>
        <w:jc w:val="center"/>
        <w:rPr>
          <w:rFonts w:ascii="Times New Roman" w:hAnsi="Times New Roman" w:cs="Times New Roman"/>
          <w:b/>
          <w:sz w:val="24"/>
          <w:szCs w:val="24"/>
        </w:rPr>
      </w:pPr>
      <w:r w:rsidRPr="00930B28">
        <w:rPr>
          <w:rFonts w:ascii="Times New Roman" w:hAnsi="Times New Roman" w:cs="Times New Roman"/>
          <w:b/>
          <w:sz w:val="24"/>
          <w:szCs w:val="24"/>
        </w:rPr>
        <w:t>Supplemental Materials</w:t>
      </w:r>
      <w:r w:rsidR="00930B28">
        <w:rPr>
          <w:rFonts w:ascii="Times New Roman" w:hAnsi="Times New Roman" w:cs="Times New Roman"/>
          <w:b/>
          <w:sz w:val="24"/>
          <w:szCs w:val="24"/>
        </w:rPr>
        <w:t>:</w:t>
      </w:r>
    </w:p>
    <w:p w14:paraId="044DCEEB" w14:textId="0D068A6B" w:rsidR="00930B28" w:rsidRDefault="009F3C30" w:rsidP="00930B28">
      <w:pPr>
        <w:jc w:val="center"/>
        <w:rPr>
          <w:rFonts w:ascii="Times New Roman" w:hAnsi="Times New Roman" w:cs="Times New Roman"/>
          <w:b/>
        </w:rPr>
      </w:pPr>
      <w:r w:rsidRPr="009F3C30">
        <w:rPr>
          <w:rFonts w:ascii="Times New Roman" w:hAnsi="Times New Roman" w:cs="Times New Roman"/>
          <w:b/>
          <w:sz w:val="24"/>
          <w:szCs w:val="24"/>
        </w:rPr>
        <w:t>Phenotypic and Genetic Markers of Psychopathology in a Population-Based Sample of Older</w:t>
      </w:r>
      <w:r>
        <w:rPr>
          <w:rFonts w:ascii="Times New Roman" w:hAnsi="Times New Roman" w:cs="Times New Roman"/>
          <w:b/>
          <w:sz w:val="24"/>
          <w:szCs w:val="24"/>
        </w:rPr>
        <w:t xml:space="preserve"> Adults</w:t>
      </w:r>
    </w:p>
    <w:p w14:paraId="01A10EB8" w14:textId="2E889956" w:rsidR="007B25E5" w:rsidRDefault="007B25E5" w:rsidP="007B25E5">
      <w:pPr>
        <w:spacing w:after="0" w:line="480" w:lineRule="auto"/>
        <w:jc w:val="center"/>
        <w:rPr>
          <w:rFonts w:ascii="Times New Roman" w:hAnsi="Times New Roman" w:cs="Times New Roman"/>
          <w:sz w:val="24"/>
          <w:szCs w:val="24"/>
          <w:vertAlign w:val="superscript"/>
        </w:rPr>
      </w:pPr>
      <w:r>
        <w:rPr>
          <w:rFonts w:ascii="Times New Roman" w:hAnsi="Times New Roman" w:cs="Times New Roman"/>
          <w:sz w:val="24"/>
          <w:szCs w:val="24"/>
        </w:rPr>
        <w:t xml:space="preserve">Arianna M. Gard, </w:t>
      </w:r>
      <w:r w:rsidR="0046323D">
        <w:rPr>
          <w:rFonts w:ascii="Times New Roman" w:hAnsi="Times New Roman" w:cs="Times New Roman"/>
          <w:sz w:val="24"/>
          <w:szCs w:val="24"/>
        </w:rPr>
        <w:t>PhD</w:t>
      </w:r>
      <w:r>
        <w:rPr>
          <w:rFonts w:ascii="Times New Roman" w:hAnsi="Times New Roman" w:cs="Times New Roman"/>
          <w:sz w:val="24"/>
          <w:szCs w:val="24"/>
          <w:vertAlign w:val="superscript"/>
        </w:rPr>
        <w:t>1</w:t>
      </w:r>
      <w:r w:rsidR="0046323D">
        <w:rPr>
          <w:rFonts w:ascii="Times New Roman" w:hAnsi="Times New Roman" w:cs="Times New Roman"/>
          <w:sz w:val="24"/>
          <w:szCs w:val="24"/>
          <w:vertAlign w:val="superscript"/>
        </w:rPr>
        <w:t>,2</w:t>
      </w:r>
      <w:r>
        <w:rPr>
          <w:rFonts w:ascii="Times New Roman" w:hAnsi="Times New Roman" w:cs="Times New Roman"/>
          <w:sz w:val="24"/>
          <w:szCs w:val="24"/>
        </w:rPr>
        <w:t>, Erin B. Ware, PhD</w:t>
      </w:r>
      <w:r>
        <w:rPr>
          <w:rFonts w:ascii="Times New Roman" w:hAnsi="Times New Roman" w:cs="Times New Roman"/>
          <w:sz w:val="24"/>
          <w:szCs w:val="24"/>
          <w:vertAlign w:val="superscript"/>
        </w:rPr>
        <w:t>2</w:t>
      </w:r>
      <w:r>
        <w:rPr>
          <w:rFonts w:ascii="Times New Roman" w:hAnsi="Times New Roman" w:cs="Times New Roman"/>
          <w:sz w:val="24"/>
          <w:szCs w:val="24"/>
        </w:rPr>
        <w:t>, Luke W. Hyde, PhD</w:t>
      </w:r>
      <w:r w:rsidR="00E6415D">
        <w:rPr>
          <w:rFonts w:ascii="Times New Roman" w:hAnsi="Times New Roman" w:cs="Times New Roman"/>
          <w:sz w:val="24"/>
          <w:szCs w:val="24"/>
          <w:vertAlign w:val="superscript"/>
        </w:rPr>
        <w:t>2,3,4</w:t>
      </w:r>
      <w:r>
        <w:rPr>
          <w:rFonts w:ascii="Times New Roman" w:hAnsi="Times New Roman" w:cs="Times New Roman"/>
          <w:sz w:val="24"/>
          <w:szCs w:val="24"/>
        </w:rPr>
        <w:t>, Lauren Schmitz, PhD</w:t>
      </w:r>
      <w:r w:rsidR="00E6415D">
        <w:rPr>
          <w:rFonts w:ascii="Times New Roman" w:hAnsi="Times New Roman" w:cs="Times New Roman"/>
          <w:sz w:val="24"/>
          <w:szCs w:val="24"/>
          <w:vertAlign w:val="superscript"/>
        </w:rPr>
        <w:t>5</w:t>
      </w:r>
      <w:r>
        <w:rPr>
          <w:rFonts w:ascii="Times New Roman" w:hAnsi="Times New Roman" w:cs="Times New Roman"/>
          <w:sz w:val="24"/>
          <w:szCs w:val="24"/>
        </w:rPr>
        <w:t xml:space="preserve">, Jessica </w:t>
      </w:r>
      <w:proofErr w:type="spellStart"/>
      <w:r>
        <w:rPr>
          <w:rFonts w:ascii="Times New Roman" w:hAnsi="Times New Roman" w:cs="Times New Roman"/>
          <w:sz w:val="24"/>
          <w:szCs w:val="24"/>
        </w:rPr>
        <w:t>Faul</w:t>
      </w:r>
      <w:proofErr w:type="spellEnd"/>
      <w:r>
        <w:rPr>
          <w:rFonts w:ascii="Times New Roman" w:hAnsi="Times New Roman" w:cs="Times New Roman"/>
          <w:sz w:val="24"/>
          <w:szCs w:val="24"/>
        </w:rPr>
        <w:t>, PhD</w:t>
      </w:r>
      <w:r>
        <w:rPr>
          <w:rFonts w:ascii="Times New Roman" w:hAnsi="Times New Roman" w:cs="Times New Roman"/>
          <w:sz w:val="24"/>
          <w:szCs w:val="24"/>
          <w:vertAlign w:val="superscript"/>
        </w:rPr>
        <w:t>2</w:t>
      </w:r>
      <w:r>
        <w:rPr>
          <w:rFonts w:ascii="Times New Roman" w:hAnsi="Times New Roman" w:cs="Times New Roman"/>
          <w:sz w:val="24"/>
          <w:szCs w:val="24"/>
        </w:rPr>
        <w:t>, &amp; Colter Mitchell, PhD</w:t>
      </w:r>
      <w:r w:rsidR="00E6415D">
        <w:rPr>
          <w:rFonts w:ascii="Times New Roman" w:hAnsi="Times New Roman" w:cs="Times New Roman"/>
          <w:sz w:val="24"/>
          <w:szCs w:val="24"/>
          <w:vertAlign w:val="superscript"/>
        </w:rPr>
        <w:t>2</w:t>
      </w:r>
    </w:p>
    <w:p w14:paraId="1ABE6B15" w14:textId="77777777" w:rsidR="007B25E5" w:rsidRDefault="007B25E5" w:rsidP="007B25E5">
      <w:pPr>
        <w:spacing w:after="0" w:line="480" w:lineRule="auto"/>
        <w:jc w:val="center"/>
        <w:rPr>
          <w:rFonts w:ascii="Times New Roman" w:hAnsi="Times New Roman" w:cs="Times New Roman"/>
          <w:sz w:val="24"/>
          <w:szCs w:val="24"/>
          <w:vertAlign w:val="superscript"/>
        </w:rPr>
      </w:pPr>
    </w:p>
    <w:p w14:paraId="161ECDFD" w14:textId="59675620" w:rsidR="007B25E5" w:rsidRDefault="007B25E5" w:rsidP="007B25E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Department of Psychology, University of </w:t>
      </w:r>
      <w:r w:rsidR="00E6415D">
        <w:rPr>
          <w:rFonts w:ascii="Times New Roman" w:hAnsi="Times New Roman" w:cs="Times New Roman"/>
          <w:sz w:val="24"/>
          <w:szCs w:val="24"/>
        </w:rPr>
        <w:t>Maryland, College Park</w:t>
      </w:r>
    </w:p>
    <w:p w14:paraId="35210E70" w14:textId="6912FD8B" w:rsidR="00E6415D" w:rsidRDefault="00E6415D" w:rsidP="007B25E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Institute for Social Research, University of Michigan, Ann Arbor</w:t>
      </w:r>
    </w:p>
    <w:p w14:paraId="5FD1E53D" w14:textId="69836907" w:rsidR="00E6415D" w:rsidRDefault="007B25E5" w:rsidP="00E6415D">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3</w:t>
      </w:r>
      <w:r w:rsidR="00E6415D">
        <w:rPr>
          <w:rFonts w:ascii="Times New Roman" w:hAnsi="Times New Roman" w:cs="Times New Roman"/>
          <w:sz w:val="24"/>
          <w:szCs w:val="24"/>
        </w:rPr>
        <w:t>Department of Psychology, University of Michigan, Ann Arbor</w:t>
      </w:r>
    </w:p>
    <w:p w14:paraId="24BAF9A0" w14:textId="4E67C467" w:rsidR="00E6415D" w:rsidRDefault="00E6415D" w:rsidP="00E6415D">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sz w:val="24"/>
          <w:szCs w:val="24"/>
        </w:rPr>
        <w:t>Center for Growth and Human Development, University of Michigan, Ann Arbor</w:t>
      </w:r>
    </w:p>
    <w:p w14:paraId="7DE692FC" w14:textId="0ABDE012" w:rsidR="00E6415D" w:rsidRDefault="00E6415D" w:rsidP="00E6415D">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5</w:t>
      </w:r>
      <w:r>
        <w:rPr>
          <w:rFonts w:ascii="Times New Roman" w:hAnsi="Times New Roman" w:cs="Times New Roman"/>
          <w:sz w:val="24"/>
          <w:szCs w:val="24"/>
        </w:rPr>
        <w:t>La</w:t>
      </w:r>
      <w:r w:rsidR="00713B9F">
        <w:rPr>
          <w:rFonts w:ascii="Times New Roman" w:hAnsi="Times New Roman" w:cs="Times New Roman"/>
          <w:sz w:val="24"/>
          <w:szCs w:val="24"/>
        </w:rPr>
        <w:t xml:space="preserve"> </w:t>
      </w:r>
      <w:r>
        <w:rPr>
          <w:rFonts w:ascii="Times New Roman" w:hAnsi="Times New Roman" w:cs="Times New Roman"/>
          <w:sz w:val="24"/>
          <w:szCs w:val="24"/>
        </w:rPr>
        <w:t>Folle</w:t>
      </w:r>
      <w:r w:rsidR="00713B9F">
        <w:rPr>
          <w:rFonts w:ascii="Times New Roman" w:hAnsi="Times New Roman" w:cs="Times New Roman"/>
          <w:sz w:val="24"/>
          <w:szCs w:val="24"/>
        </w:rPr>
        <w:t>t</w:t>
      </w:r>
      <w:r>
        <w:rPr>
          <w:rFonts w:ascii="Times New Roman" w:hAnsi="Times New Roman" w:cs="Times New Roman"/>
          <w:sz w:val="24"/>
          <w:szCs w:val="24"/>
        </w:rPr>
        <w:t xml:space="preserve">te School of Public Affairs, University of Wisconsin </w:t>
      </w:r>
    </w:p>
    <w:p w14:paraId="76408854" w14:textId="77777777" w:rsidR="00E6415D" w:rsidRDefault="00E6415D" w:rsidP="007B25E5">
      <w:pPr>
        <w:spacing w:after="0" w:line="240" w:lineRule="auto"/>
        <w:rPr>
          <w:rFonts w:ascii="Times New Roman" w:hAnsi="Times New Roman" w:cs="Times New Roman"/>
          <w:sz w:val="24"/>
          <w:szCs w:val="24"/>
        </w:rPr>
      </w:pPr>
    </w:p>
    <w:p w14:paraId="3A6CF934" w14:textId="77777777" w:rsidR="007B25E5" w:rsidRDefault="007B25E5">
      <w:pPr>
        <w:rPr>
          <w:rFonts w:ascii="Times New Roman" w:hAnsi="Times New Roman" w:cs="Times New Roman"/>
          <w:b/>
        </w:rPr>
      </w:pPr>
    </w:p>
    <w:p w14:paraId="0312663A" w14:textId="77777777" w:rsidR="007B25E5" w:rsidRDefault="007B25E5">
      <w:pPr>
        <w:rPr>
          <w:rFonts w:ascii="Times New Roman" w:hAnsi="Times New Roman" w:cs="Times New Roman"/>
          <w:b/>
        </w:rPr>
      </w:pPr>
    </w:p>
    <w:p w14:paraId="73E87D8F" w14:textId="77777777" w:rsidR="007B25E5" w:rsidRDefault="007B25E5">
      <w:pPr>
        <w:rPr>
          <w:rFonts w:ascii="Times New Roman" w:hAnsi="Times New Roman" w:cs="Times New Roman"/>
          <w:b/>
        </w:rPr>
      </w:pPr>
    </w:p>
    <w:p w14:paraId="3925C386" w14:textId="77777777" w:rsidR="007B25E5" w:rsidRDefault="007B25E5">
      <w:pPr>
        <w:rPr>
          <w:rFonts w:ascii="Times New Roman" w:hAnsi="Times New Roman" w:cs="Times New Roman"/>
          <w:b/>
        </w:rPr>
      </w:pPr>
    </w:p>
    <w:p w14:paraId="78CABDB9" w14:textId="77777777" w:rsidR="007B25E5" w:rsidRDefault="007B25E5">
      <w:pPr>
        <w:rPr>
          <w:rFonts w:ascii="Times New Roman" w:hAnsi="Times New Roman" w:cs="Times New Roman"/>
          <w:b/>
        </w:rPr>
      </w:pPr>
    </w:p>
    <w:p w14:paraId="14DD5E71" w14:textId="77777777" w:rsidR="007B25E5" w:rsidRDefault="007B25E5">
      <w:pPr>
        <w:rPr>
          <w:rFonts w:ascii="Times New Roman" w:hAnsi="Times New Roman" w:cs="Times New Roman"/>
          <w:b/>
        </w:rPr>
      </w:pPr>
    </w:p>
    <w:p w14:paraId="0B7CCED3" w14:textId="77777777" w:rsidR="007B25E5" w:rsidRDefault="007B25E5">
      <w:pPr>
        <w:rPr>
          <w:rFonts w:ascii="Times New Roman" w:hAnsi="Times New Roman" w:cs="Times New Roman"/>
          <w:b/>
        </w:rPr>
      </w:pPr>
    </w:p>
    <w:p w14:paraId="4E1729DA" w14:textId="77777777" w:rsidR="007B25E5" w:rsidRDefault="007B25E5">
      <w:pPr>
        <w:rPr>
          <w:rFonts w:ascii="Times New Roman" w:hAnsi="Times New Roman" w:cs="Times New Roman"/>
          <w:b/>
        </w:rPr>
      </w:pPr>
    </w:p>
    <w:p w14:paraId="69AD68AF" w14:textId="77777777" w:rsidR="007B25E5" w:rsidRDefault="007B25E5">
      <w:pPr>
        <w:rPr>
          <w:rFonts w:ascii="Times New Roman" w:hAnsi="Times New Roman" w:cs="Times New Roman"/>
          <w:b/>
        </w:rPr>
      </w:pPr>
    </w:p>
    <w:p w14:paraId="3C95EF45" w14:textId="77777777" w:rsidR="007B25E5" w:rsidRDefault="007B25E5">
      <w:pPr>
        <w:rPr>
          <w:rFonts w:ascii="Times New Roman" w:hAnsi="Times New Roman" w:cs="Times New Roman"/>
          <w:b/>
        </w:rPr>
      </w:pPr>
    </w:p>
    <w:p w14:paraId="5F0900E8" w14:textId="77777777" w:rsidR="007B25E5" w:rsidRDefault="007B25E5">
      <w:pPr>
        <w:rPr>
          <w:rFonts w:ascii="Times New Roman" w:hAnsi="Times New Roman" w:cs="Times New Roman"/>
          <w:b/>
        </w:rPr>
      </w:pPr>
    </w:p>
    <w:p w14:paraId="4A3EF027" w14:textId="77777777" w:rsidR="006532FE" w:rsidRDefault="006532FE" w:rsidP="006532FE">
      <w:pPr>
        <w:rPr>
          <w:rFonts w:ascii="Times New Roman" w:hAnsi="Times New Roman" w:cs="Times New Roman"/>
          <w:b/>
        </w:rPr>
      </w:pPr>
      <w:bookmarkStart w:id="0" w:name="_Hlk39677278"/>
      <w:bookmarkEnd w:id="0"/>
    </w:p>
    <w:p w14:paraId="4ADBF6C7" w14:textId="6119D1E5" w:rsidR="00BA1B86" w:rsidRPr="00BA1B86" w:rsidRDefault="00BA1B86" w:rsidP="00BA1B86">
      <w:pPr>
        <w:spacing w:after="0" w:line="480" w:lineRule="auto"/>
        <w:jc w:val="center"/>
        <w:rPr>
          <w:rFonts w:ascii="Times New Roman" w:hAnsi="Times New Roman" w:cs="Times New Roman"/>
          <w:b/>
          <w:bCs/>
          <w:sz w:val="24"/>
          <w:szCs w:val="24"/>
        </w:rPr>
      </w:pPr>
      <w:r>
        <w:rPr>
          <w:rFonts w:ascii="Times New Roman" w:hAnsi="Times New Roman" w:cs="Times New Roman"/>
        </w:rPr>
        <w:br w:type="page"/>
      </w:r>
      <w:r w:rsidRPr="00BA1B86">
        <w:rPr>
          <w:rFonts w:ascii="Times New Roman" w:hAnsi="Times New Roman" w:cs="Times New Roman"/>
          <w:b/>
          <w:bCs/>
          <w:sz w:val="24"/>
          <w:szCs w:val="24"/>
        </w:rPr>
        <w:lastRenderedPageBreak/>
        <w:t>Supplemental Methods</w:t>
      </w:r>
    </w:p>
    <w:p w14:paraId="36961602" w14:textId="74F7F5DF" w:rsidR="00BA1B86" w:rsidRPr="00BA1B86" w:rsidRDefault="00BA1B86" w:rsidP="001D3758">
      <w:pPr>
        <w:spacing w:after="0" w:line="480" w:lineRule="auto"/>
        <w:rPr>
          <w:rFonts w:ascii="Times New Roman" w:hAnsi="Times New Roman" w:cs="Times New Roman"/>
          <w:b/>
          <w:bCs/>
          <w:sz w:val="24"/>
          <w:szCs w:val="24"/>
        </w:rPr>
      </w:pPr>
      <w:r w:rsidRPr="00BA1B86">
        <w:rPr>
          <w:rFonts w:ascii="Times New Roman" w:hAnsi="Times New Roman" w:cs="Times New Roman"/>
          <w:b/>
          <w:bCs/>
          <w:sz w:val="24"/>
          <w:szCs w:val="24"/>
        </w:rPr>
        <w:t>Genetic Ancestry Estimation</w:t>
      </w:r>
    </w:p>
    <w:p w14:paraId="47C0B0D2" w14:textId="77777777" w:rsidR="00F4114D" w:rsidRDefault="00BA1B86" w:rsidP="005411A5">
      <w:pPr>
        <w:spacing w:after="0" w:line="480" w:lineRule="auto"/>
        <w:ind w:firstLine="720"/>
        <w:rPr>
          <w:rFonts w:ascii="Times New Roman" w:hAnsi="Times New Roman" w:cs="Times New Roman"/>
          <w:sz w:val="24"/>
          <w:szCs w:val="24"/>
        </w:rPr>
      </w:pPr>
      <w:r w:rsidRPr="00BA1B86">
        <w:rPr>
          <w:rFonts w:ascii="Times New Roman" w:hAnsi="Times New Roman" w:cs="Times New Roman"/>
          <w:sz w:val="24"/>
          <w:szCs w:val="24"/>
        </w:rPr>
        <w:t xml:space="preserve">SNPs used for PCA were selected by LD pruning from an initial pool consisting of all autosomal SNPs with a missing call rate &lt; 5% and minor allele frequency (MAF) &gt; 5%, and excluding any SNPs with a discordance between HapMap controls genotyped along with the </w:t>
      </w:r>
      <w:r w:rsidRPr="005411A5">
        <w:rPr>
          <w:rFonts w:ascii="Times New Roman" w:hAnsi="Times New Roman" w:cs="Times New Roman"/>
          <w:sz w:val="24"/>
          <w:szCs w:val="24"/>
        </w:rPr>
        <w:t>study samples and those in the external HapMap data set. In addition, the 2q21 (LCT), HLA, 8p23, and 17q21.31 regions were excluded from the initial pool</w:t>
      </w:r>
      <w:r w:rsidR="004434E3" w:rsidRPr="005411A5">
        <w:rPr>
          <w:rFonts w:ascii="Times New Roman" w:hAnsi="Times New Roman" w:cs="Times New Roman"/>
          <w:sz w:val="24"/>
          <w:szCs w:val="24"/>
        </w:rPr>
        <w:t xml:space="preserve"> (1)</w:t>
      </w:r>
      <w:r w:rsidRPr="005411A5">
        <w:rPr>
          <w:rFonts w:ascii="Times New Roman" w:hAnsi="Times New Roman" w:cs="Times New Roman"/>
          <w:sz w:val="24"/>
          <w:szCs w:val="24"/>
        </w:rPr>
        <w:t>.</w:t>
      </w:r>
      <w:r w:rsidR="005411A5" w:rsidRPr="005411A5">
        <w:rPr>
          <w:rFonts w:ascii="Times New Roman" w:hAnsi="Times New Roman" w:cs="Times New Roman"/>
          <w:sz w:val="24"/>
          <w:szCs w:val="24"/>
        </w:rPr>
        <w:t xml:space="preserve"> </w:t>
      </w:r>
    </w:p>
    <w:p w14:paraId="63867717" w14:textId="5F332288" w:rsidR="005411A5" w:rsidRPr="005411A5" w:rsidRDefault="005411A5" w:rsidP="005411A5">
      <w:pPr>
        <w:spacing w:after="0" w:line="480" w:lineRule="auto"/>
        <w:ind w:firstLine="720"/>
        <w:rPr>
          <w:rFonts w:ascii="Times New Roman" w:hAnsi="Times New Roman" w:cs="Times New Roman"/>
          <w:sz w:val="24"/>
          <w:szCs w:val="24"/>
        </w:rPr>
      </w:pPr>
      <w:r w:rsidRPr="005411A5">
        <w:rPr>
          <w:rFonts w:ascii="Times New Roman" w:hAnsi="Times New Roman" w:cs="Times New Roman"/>
          <w:sz w:val="24"/>
          <w:szCs w:val="24"/>
        </w:rPr>
        <w:t xml:space="preserve">Additional information about the genetic quality-control procedures in the Health and Retirement Study can be found at </w:t>
      </w:r>
      <w:r w:rsidRPr="005411A5">
        <w:rPr>
          <w:rStyle w:val="Hyperlink"/>
          <w:rFonts w:ascii="Times New Roman" w:hAnsi="Times New Roman" w:cs="Times New Roman"/>
          <w:sz w:val="24"/>
          <w:szCs w:val="24"/>
        </w:rPr>
        <w:t>https://hrsonline.isr.umich.edu/sitedocs/genetics/HRS2_qc_report_SEPT2013.pdf?_ga=2.59963114.6513449.1600955376-325044460.1531409717&amp;_ga=2.59963114.6513449.1600955376-325044460.1531409717</w:t>
      </w:r>
    </w:p>
    <w:p w14:paraId="0A1AA09F" w14:textId="77777777" w:rsidR="001D3758" w:rsidRDefault="001D3758" w:rsidP="001D3758">
      <w:pPr>
        <w:spacing w:line="480" w:lineRule="auto"/>
        <w:jc w:val="center"/>
        <w:rPr>
          <w:rFonts w:ascii="Times New Roman" w:hAnsi="Times New Roman" w:cs="Times New Roman"/>
          <w:b/>
          <w:bCs/>
          <w:sz w:val="24"/>
          <w:szCs w:val="24"/>
        </w:rPr>
      </w:pPr>
    </w:p>
    <w:p w14:paraId="03D2EC67" w14:textId="77777777" w:rsidR="004373E5" w:rsidRDefault="004373E5">
      <w:pPr>
        <w:rPr>
          <w:rFonts w:ascii="Times New Roman" w:hAnsi="Times New Roman" w:cs="Times New Roman"/>
          <w:b/>
          <w:bCs/>
          <w:sz w:val="24"/>
          <w:szCs w:val="24"/>
        </w:rPr>
      </w:pPr>
      <w:r>
        <w:rPr>
          <w:rFonts w:ascii="Times New Roman" w:hAnsi="Times New Roman" w:cs="Times New Roman"/>
          <w:b/>
          <w:bCs/>
          <w:sz w:val="24"/>
          <w:szCs w:val="24"/>
        </w:rPr>
        <w:br w:type="page"/>
      </w:r>
    </w:p>
    <w:p w14:paraId="0CD204E9" w14:textId="5E1918A2" w:rsidR="00BB6D93" w:rsidRPr="001D3758" w:rsidRDefault="00BB6D93" w:rsidP="001D3758">
      <w:pPr>
        <w:spacing w:line="480" w:lineRule="auto"/>
        <w:jc w:val="center"/>
        <w:rPr>
          <w:rFonts w:ascii="Times New Roman" w:hAnsi="Times New Roman" w:cs="Times New Roman"/>
        </w:rPr>
      </w:pPr>
      <w:r w:rsidRPr="00BB6D93">
        <w:rPr>
          <w:rFonts w:ascii="Times New Roman" w:hAnsi="Times New Roman" w:cs="Times New Roman"/>
          <w:b/>
          <w:bCs/>
          <w:sz w:val="24"/>
          <w:szCs w:val="24"/>
        </w:rPr>
        <w:lastRenderedPageBreak/>
        <w:t xml:space="preserve">Supplemental </w:t>
      </w:r>
      <w:r w:rsidR="001D3758">
        <w:rPr>
          <w:rFonts w:ascii="Times New Roman" w:hAnsi="Times New Roman" w:cs="Times New Roman"/>
          <w:b/>
          <w:bCs/>
          <w:sz w:val="24"/>
          <w:szCs w:val="24"/>
        </w:rPr>
        <w:t>Results</w:t>
      </w:r>
    </w:p>
    <w:p w14:paraId="67B87790" w14:textId="53C9C502" w:rsidR="00BB6D93" w:rsidRDefault="00BB6D93" w:rsidP="001D3758">
      <w:pPr>
        <w:spacing w:after="0" w:line="480" w:lineRule="auto"/>
        <w:rPr>
          <w:rFonts w:ascii="Times New Roman" w:hAnsi="Times New Roman" w:cs="Times New Roman"/>
          <w:b/>
          <w:bCs/>
          <w:sz w:val="24"/>
          <w:szCs w:val="24"/>
        </w:rPr>
      </w:pPr>
      <w:r w:rsidRPr="00CC695D">
        <w:rPr>
          <w:rFonts w:ascii="Times New Roman" w:hAnsi="Times New Roman" w:cs="Times New Roman"/>
          <w:b/>
          <w:bCs/>
          <w:sz w:val="24"/>
          <w:szCs w:val="24"/>
        </w:rPr>
        <w:t xml:space="preserve">Measurement </w:t>
      </w:r>
      <w:r>
        <w:rPr>
          <w:rFonts w:ascii="Times New Roman" w:hAnsi="Times New Roman" w:cs="Times New Roman"/>
          <w:b/>
          <w:bCs/>
          <w:sz w:val="24"/>
          <w:szCs w:val="24"/>
        </w:rPr>
        <w:t>I</w:t>
      </w:r>
      <w:r w:rsidRPr="00CC695D">
        <w:rPr>
          <w:rFonts w:ascii="Times New Roman" w:hAnsi="Times New Roman" w:cs="Times New Roman"/>
          <w:b/>
          <w:bCs/>
          <w:sz w:val="24"/>
          <w:szCs w:val="24"/>
        </w:rPr>
        <w:t xml:space="preserve">nvariance by </w:t>
      </w:r>
      <w:r>
        <w:rPr>
          <w:rFonts w:ascii="Times New Roman" w:hAnsi="Times New Roman" w:cs="Times New Roman"/>
          <w:b/>
          <w:bCs/>
          <w:sz w:val="24"/>
          <w:szCs w:val="24"/>
        </w:rPr>
        <w:t>G</w:t>
      </w:r>
      <w:r w:rsidRPr="00CC695D">
        <w:rPr>
          <w:rFonts w:ascii="Times New Roman" w:hAnsi="Times New Roman" w:cs="Times New Roman"/>
          <w:b/>
          <w:bCs/>
          <w:sz w:val="24"/>
          <w:szCs w:val="24"/>
        </w:rPr>
        <w:t>ender</w:t>
      </w:r>
    </w:p>
    <w:p w14:paraId="2B6E89FC" w14:textId="5A220F79" w:rsidR="00BB6D93" w:rsidRPr="00CC695D" w:rsidRDefault="00BB6D93" w:rsidP="001D375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Women</w:t>
      </w:r>
      <w:r w:rsidRPr="00CC695D">
        <w:rPr>
          <w:rFonts w:ascii="Times New Roman" w:hAnsi="Times New Roman" w:cs="Times New Roman"/>
          <w:sz w:val="24"/>
          <w:szCs w:val="24"/>
        </w:rPr>
        <w:t xml:space="preserve"> reported greater negative affect (t[5923] = 7.31, </w:t>
      </w:r>
      <w:r w:rsidRPr="00CC695D">
        <w:rPr>
          <w:rFonts w:ascii="Times New Roman" w:hAnsi="Times New Roman" w:cs="Times New Roman"/>
          <w:i/>
          <w:iCs/>
          <w:sz w:val="24"/>
          <w:szCs w:val="24"/>
        </w:rPr>
        <w:t>p</w:t>
      </w:r>
      <w:r w:rsidRPr="00CC695D">
        <w:rPr>
          <w:rFonts w:ascii="Times New Roman" w:hAnsi="Times New Roman" w:cs="Times New Roman"/>
          <w:sz w:val="24"/>
          <w:szCs w:val="24"/>
        </w:rPr>
        <w:t xml:space="preserve"> &lt; .001), anxiety (t[5928] = 3.77, </w:t>
      </w:r>
      <w:r w:rsidRPr="00CC695D">
        <w:rPr>
          <w:rFonts w:ascii="Times New Roman" w:hAnsi="Times New Roman" w:cs="Times New Roman"/>
          <w:i/>
          <w:iCs/>
          <w:sz w:val="24"/>
          <w:szCs w:val="24"/>
        </w:rPr>
        <w:t>p</w:t>
      </w:r>
      <w:r w:rsidRPr="00CC695D">
        <w:rPr>
          <w:rFonts w:ascii="Times New Roman" w:hAnsi="Times New Roman" w:cs="Times New Roman"/>
          <w:sz w:val="24"/>
          <w:szCs w:val="24"/>
        </w:rPr>
        <w:t xml:space="preserve"> &lt; .001) and depressive symptoms (t[5965] = 7.02, </w:t>
      </w:r>
      <w:r w:rsidRPr="00CC695D">
        <w:rPr>
          <w:rFonts w:ascii="Times New Roman" w:hAnsi="Times New Roman" w:cs="Times New Roman"/>
          <w:i/>
          <w:iCs/>
          <w:sz w:val="24"/>
          <w:szCs w:val="24"/>
        </w:rPr>
        <w:t>p</w:t>
      </w:r>
      <w:r w:rsidRPr="00CC695D">
        <w:rPr>
          <w:rFonts w:ascii="Times New Roman" w:hAnsi="Times New Roman" w:cs="Times New Roman"/>
          <w:sz w:val="24"/>
          <w:szCs w:val="24"/>
        </w:rPr>
        <w:t xml:space="preserve"> &lt; .001), and men reported greater state anger (t[5927] = 5.05, </w:t>
      </w:r>
      <w:r w:rsidRPr="00CC695D">
        <w:rPr>
          <w:rFonts w:ascii="Times New Roman" w:hAnsi="Times New Roman" w:cs="Times New Roman"/>
          <w:i/>
          <w:iCs/>
          <w:sz w:val="24"/>
          <w:szCs w:val="24"/>
        </w:rPr>
        <w:t>p</w:t>
      </w:r>
      <w:r w:rsidRPr="00CC695D">
        <w:rPr>
          <w:rFonts w:ascii="Times New Roman" w:hAnsi="Times New Roman" w:cs="Times New Roman"/>
          <w:sz w:val="24"/>
          <w:szCs w:val="24"/>
        </w:rPr>
        <w:t xml:space="preserve"> &lt; .001). Despite mean level gender differences, the one-factor model of general psychopathology fit well in both men and women (Figure 3a). Measurement invariance testing revealed metric invariance across genders: fixing the indicator loadings to be equivalent across groups did not significantly degrade model fit. Not surprisingly, given mean differences in the individual measures by gender, the model did not meet criteria for scalar measurement invariance (i.e., equivalent intercepts across groups), indicated by ΔCFI = .031 and ΔTLI = .015. </w:t>
      </w:r>
    </w:p>
    <w:p w14:paraId="575B6D4F" w14:textId="3B32F249" w:rsidR="00BB6D93" w:rsidRDefault="00BB6D93" w:rsidP="001D3758">
      <w:pPr>
        <w:spacing w:after="0" w:line="480" w:lineRule="auto"/>
        <w:rPr>
          <w:rFonts w:ascii="Times New Roman" w:hAnsi="Times New Roman" w:cs="Times New Roman"/>
          <w:b/>
          <w:bCs/>
          <w:sz w:val="24"/>
          <w:szCs w:val="24"/>
        </w:rPr>
      </w:pPr>
      <w:r w:rsidRPr="00CC695D">
        <w:rPr>
          <w:rFonts w:ascii="Times New Roman" w:hAnsi="Times New Roman" w:cs="Times New Roman"/>
          <w:b/>
          <w:bCs/>
          <w:sz w:val="24"/>
          <w:szCs w:val="24"/>
        </w:rPr>
        <w:t xml:space="preserve">Measurement </w:t>
      </w:r>
      <w:r>
        <w:rPr>
          <w:rFonts w:ascii="Times New Roman" w:hAnsi="Times New Roman" w:cs="Times New Roman"/>
          <w:b/>
          <w:bCs/>
          <w:sz w:val="24"/>
          <w:szCs w:val="24"/>
        </w:rPr>
        <w:t>I</w:t>
      </w:r>
      <w:r w:rsidRPr="00CC695D">
        <w:rPr>
          <w:rFonts w:ascii="Times New Roman" w:hAnsi="Times New Roman" w:cs="Times New Roman"/>
          <w:b/>
          <w:bCs/>
          <w:sz w:val="24"/>
          <w:szCs w:val="24"/>
        </w:rPr>
        <w:t xml:space="preserve">nvariance by </w:t>
      </w:r>
      <w:r>
        <w:rPr>
          <w:rFonts w:ascii="Times New Roman" w:hAnsi="Times New Roman" w:cs="Times New Roman"/>
          <w:b/>
          <w:bCs/>
          <w:sz w:val="24"/>
          <w:szCs w:val="24"/>
        </w:rPr>
        <w:t>A</w:t>
      </w:r>
      <w:r w:rsidRPr="00CC695D">
        <w:rPr>
          <w:rFonts w:ascii="Times New Roman" w:hAnsi="Times New Roman" w:cs="Times New Roman"/>
          <w:b/>
          <w:bCs/>
          <w:sz w:val="24"/>
          <w:szCs w:val="24"/>
        </w:rPr>
        <w:t>ge</w:t>
      </w:r>
    </w:p>
    <w:p w14:paraId="7A276F07" w14:textId="697D457D" w:rsidR="00BB6D93" w:rsidRDefault="00BB6D93" w:rsidP="001D3758">
      <w:pPr>
        <w:spacing w:after="0" w:line="480" w:lineRule="auto"/>
        <w:ind w:firstLine="720"/>
        <w:rPr>
          <w:rFonts w:ascii="Times New Roman" w:hAnsi="Times New Roman" w:cs="Times New Roman"/>
          <w:b/>
          <w:bCs/>
          <w:sz w:val="24"/>
          <w:szCs w:val="24"/>
        </w:rPr>
      </w:pPr>
      <w:r w:rsidRPr="00CC695D">
        <w:rPr>
          <w:rFonts w:ascii="Times New Roman" w:hAnsi="Times New Roman" w:cs="Times New Roman"/>
          <w:sz w:val="24"/>
          <w:szCs w:val="24"/>
        </w:rPr>
        <w:t xml:space="preserve">Middle age (51 – 64 years; </w:t>
      </w:r>
      <w:r w:rsidRPr="00CC695D">
        <w:rPr>
          <w:rFonts w:ascii="Times New Roman" w:hAnsi="Times New Roman" w:cs="Times New Roman"/>
          <w:i/>
          <w:iCs/>
          <w:sz w:val="24"/>
          <w:szCs w:val="24"/>
        </w:rPr>
        <w:t>n</w:t>
      </w:r>
      <w:r w:rsidRPr="00CC695D">
        <w:rPr>
          <w:rFonts w:ascii="Times New Roman" w:hAnsi="Times New Roman" w:cs="Times New Roman"/>
          <w:sz w:val="24"/>
          <w:szCs w:val="24"/>
        </w:rPr>
        <w:t xml:space="preserve"> = 2,212), young-old (65 – 74, </w:t>
      </w:r>
      <w:r w:rsidRPr="00CC695D">
        <w:rPr>
          <w:rFonts w:ascii="Times New Roman" w:hAnsi="Times New Roman" w:cs="Times New Roman"/>
          <w:i/>
          <w:iCs/>
          <w:sz w:val="24"/>
          <w:szCs w:val="24"/>
        </w:rPr>
        <w:t>n</w:t>
      </w:r>
      <w:r w:rsidRPr="00CC695D">
        <w:rPr>
          <w:rFonts w:ascii="Times New Roman" w:hAnsi="Times New Roman" w:cs="Times New Roman"/>
          <w:sz w:val="24"/>
          <w:szCs w:val="24"/>
        </w:rPr>
        <w:t xml:space="preserve"> = 2,366), and old-old (75 – 83, </w:t>
      </w:r>
      <w:r w:rsidRPr="00CC695D">
        <w:rPr>
          <w:rFonts w:ascii="Times New Roman" w:hAnsi="Times New Roman" w:cs="Times New Roman"/>
          <w:i/>
          <w:iCs/>
          <w:sz w:val="24"/>
          <w:szCs w:val="24"/>
        </w:rPr>
        <w:t>n</w:t>
      </w:r>
      <w:r w:rsidRPr="00CC695D">
        <w:rPr>
          <w:rFonts w:ascii="Times New Roman" w:hAnsi="Times New Roman" w:cs="Times New Roman"/>
          <w:sz w:val="24"/>
          <w:szCs w:val="24"/>
        </w:rPr>
        <w:t xml:space="preserve"> = 1,425) HRS participants significantly differed in their mean levels of negative affect (F[2,5922] = 47.64, </w:t>
      </w:r>
      <w:r w:rsidRPr="00CC695D">
        <w:rPr>
          <w:rFonts w:ascii="Times New Roman" w:hAnsi="Times New Roman" w:cs="Times New Roman"/>
          <w:i/>
          <w:iCs/>
          <w:sz w:val="24"/>
          <w:szCs w:val="24"/>
        </w:rPr>
        <w:t xml:space="preserve">p </w:t>
      </w:r>
      <w:r w:rsidRPr="00CC695D">
        <w:rPr>
          <w:rFonts w:ascii="Times New Roman" w:hAnsi="Times New Roman" w:cs="Times New Roman"/>
          <w:sz w:val="24"/>
          <w:szCs w:val="24"/>
        </w:rPr>
        <w:t xml:space="preserve">&lt; .001), trait anger (F[2,5935] = 44.72, </w:t>
      </w:r>
      <w:r w:rsidRPr="00CC695D">
        <w:rPr>
          <w:rFonts w:ascii="Times New Roman" w:hAnsi="Times New Roman" w:cs="Times New Roman"/>
          <w:i/>
          <w:iCs/>
          <w:sz w:val="24"/>
          <w:szCs w:val="24"/>
        </w:rPr>
        <w:t>p</w:t>
      </w:r>
      <w:r w:rsidRPr="00CC695D">
        <w:rPr>
          <w:rFonts w:ascii="Times New Roman" w:hAnsi="Times New Roman" w:cs="Times New Roman"/>
          <w:sz w:val="24"/>
          <w:szCs w:val="24"/>
        </w:rPr>
        <w:t xml:space="preserve"> &lt; .001), state anger (F[2,5926] = 22.003, </w:t>
      </w:r>
      <w:r w:rsidRPr="00CC695D">
        <w:rPr>
          <w:rFonts w:ascii="Times New Roman" w:hAnsi="Times New Roman" w:cs="Times New Roman"/>
          <w:i/>
          <w:iCs/>
          <w:sz w:val="24"/>
          <w:szCs w:val="24"/>
        </w:rPr>
        <w:t>p</w:t>
      </w:r>
      <w:r w:rsidRPr="00CC695D">
        <w:rPr>
          <w:rFonts w:ascii="Times New Roman" w:hAnsi="Times New Roman" w:cs="Times New Roman"/>
          <w:sz w:val="24"/>
          <w:szCs w:val="24"/>
        </w:rPr>
        <w:t xml:space="preserve"> &lt; .001), impulsivity (F[2,5918] = 3.04, </w:t>
      </w:r>
      <w:r w:rsidRPr="00CC695D">
        <w:rPr>
          <w:rFonts w:ascii="Times New Roman" w:hAnsi="Times New Roman" w:cs="Times New Roman"/>
          <w:i/>
          <w:iCs/>
          <w:sz w:val="24"/>
          <w:szCs w:val="24"/>
        </w:rPr>
        <w:t>p</w:t>
      </w:r>
      <w:r w:rsidRPr="00CC695D">
        <w:rPr>
          <w:rFonts w:ascii="Times New Roman" w:hAnsi="Times New Roman" w:cs="Times New Roman"/>
          <w:sz w:val="24"/>
          <w:szCs w:val="24"/>
        </w:rPr>
        <w:t xml:space="preserve"> &lt; .05), and depressive symptoms (F[2,5998] = 73.33, </w:t>
      </w:r>
      <w:r w:rsidRPr="00CC695D">
        <w:rPr>
          <w:rFonts w:ascii="Times New Roman" w:hAnsi="Times New Roman" w:cs="Times New Roman"/>
          <w:i/>
          <w:iCs/>
          <w:sz w:val="24"/>
          <w:szCs w:val="24"/>
        </w:rPr>
        <w:t xml:space="preserve">p </w:t>
      </w:r>
      <w:r w:rsidRPr="00CC695D">
        <w:rPr>
          <w:rFonts w:ascii="Times New Roman" w:hAnsi="Times New Roman" w:cs="Times New Roman"/>
          <w:sz w:val="24"/>
          <w:szCs w:val="24"/>
        </w:rPr>
        <w:t xml:space="preserve">&lt; .001). Tukey post-hoc comparisons revealed that middle age participants reported greater negative affect, trait anger, state anger, and depressive symptoms than young-old participants (all </w:t>
      </w:r>
      <w:proofErr w:type="spellStart"/>
      <w:r w:rsidRPr="00CC695D">
        <w:rPr>
          <w:rFonts w:ascii="Times New Roman" w:hAnsi="Times New Roman" w:cs="Times New Roman"/>
          <w:i/>
          <w:iCs/>
          <w:sz w:val="24"/>
          <w:szCs w:val="24"/>
        </w:rPr>
        <w:t>p</w:t>
      </w:r>
      <w:r w:rsidRPr="00CC695D">
        <w:rPr>
          <w:rFonts w:ascii="Times New Roman" w:hAnsi="Times New Roman" w:cs="Times New Roman"/>
          <w:sz w:val="24"/>
          <w:szCs w:val="24"/>
        </w:rPr>
        <w:t>s</w:t>
      </w:r>
      <w:proofErr w:type="spellEnd"/>
      <w:r w:rsidRPr="00CC695D">
        <w:rPr>
          <w:rFonts w:ascii="Times New Roman" w:hAnsi="Times New Roman" w:cs="Times New Roman"/>
          <w:sz w:val="24"/>
          <w:szCs w:val="24"/>
        </w:rPr>
        <w:t xml:space="preserve"> &lt; .01). Young-old participants, in turn, reported greater trait and state anger than old-old participants, but did not differ from old-old participants on negative affect or depressive symptoms. Lastly, although middle-age and young-old participants did not differ on self-reported impulsivity, old-old participants reported greater impulsivity than both younger age groups. Despite mean-level differences in phenotypic outcomes by age group, the one-factor </w:t>
      </w:r>
      <w:r w:rsidRPr="00CC695D">
        <w:rPr>
          <w:rFonts w:ascii="Times New Roman" w:hAnsi="Times New Roman" w:cs="Times New Roman"/>
          <w:sz w:val="24"/>
          <w:szCs w:val="24"/>
        </w:rPr>
        <w:lastRenderedPageBreak/>
        <w:t>model of general psychopathology fit well in all three age groups (Figure 3b). As in invariance testing by gender, metric (i.e., fixed loadings), but not scalar (i.e., fixed intercepts), invariance was established across age groups (Figure 3b).</w:t>
      </w:r>
    </w:p>
    <w:p w14:paraId="5A6E05B8" w14:textId="77777777" w:rsidR="00BB6D93" w:rsidRPr="00BB6D93" w:rsidRDefault="00BB6D93" w:rsidP="00BB6D93">
      <w:pPr>
        <w:spacing w:after="0" w:line="480" w:lineRule="auto"/>
        <w:jc w:val="center"/>
        <w:rPr>
          <w:rFonts w:ascii="Times New Roman" w:hAnsi="Times New Roman" w:cs="Times New Roman"/>
          <w:b/>
          <w:bCs/>
          <w:sz w:val="24"/>
          <w:szCs w:val="24"/>
        </w:rPr>
      </w:pPr>
    </w:p>
    <w:p w14:paraId="425629C2" w14:textId="77777777" w:rsidR="00BB6D93" w:rsidRDefault="00BB6D93" w:rsidP="00BB6D93">
      <w:pPr>
        <w:spacing w:after="0"/>
        <w:jc w:val="center"/>
        <w:rPr>
          <w:rFonts w:ascii="Times New Roman" w:hAnsi="Times New Roman" w:cs="Times New Roman"/>
        </w:rPr>
      </w:pPr>
    </w:p>
    <w:p w14:paraId="5B3E7764" w14:textId="77777777" w:rsidR="001D3758" w:rsidRDefault="001D3758">
      <w:pPr>
        <w:rPr>
          <w:rFonts w:ascii="Times New Roman" w:hAnsi="Times New Roman" w:cs="Times New Roman"/>
        </w:rPr>
      </w:pPr>
      <w:r>
        <w:rPr>
          <w:rFonts w:ascii="Times New Roman" w:hAnsi="Times New Roman" w:cs="Times New Roman"/>
        </w:rPr>
        <w:br w:type="page"/>
      </w:r>
    </w:p>
    <w:p w14:paraId="3DE74BEB" w14:textId="3A90ACB5" w:rsidR="0084457B" w:rsidRDefault="0084457B" w:rsidP="006532FE">
      <w:pPr>
        <w:spacing w:after="0"/>
        <w:rPr>
          <w:rFonts w:ascii="Times New Roman" w:hAnsi="Times New Roman" w:cs="Times New Roman"/>
        </w:rPr>
      </w:pPr>
      <w:r>
        <w:rPr>
          <w:rFonts w:ascii="Times New Roman" w:hAnsi="Times New Roman" w:cs="Times New Roman"/>
        </w:rPr>
        <w:lastRenderedPageBreak/>
        <w:t xml:space="preserve">Supplemental Table </w:t>
      </w:r>
      <w:r w:rsidR="002F3487">
        <w:rPr>
          <w:rFonts w:ascii="Times New Roman" w:hAnsi="Times New Roman" w:cs="Times New Roman"/>
        </w:rPr>
        <w:t>1</w:t>
      </w:r>
      <w:r>
        <w:rPr>
          <w:rFonts w:ascii="Times New Roman" w:hAnsi="Times New Roman" w:cs="Times New Roman"/>
        </w:rPr>
        <w:t xml:space="preserve">. </w:t>
      </w:r>
      <w:r w:rsidRPr="00D429D0">
        <w:rPr>
          <w:rFonts w:ascii="Times New Roman" w:hAnsi="Times New Roman" w:cs="Times New Roman"/>
        </w:rPr>
        <w:t>Descriptive statistics</w:t>
      </w:r>
      <w:r>
        <w:rPr>
          <w:rFonts w:ascii="Times New Roman" w:hAnsi="Times New Roman" w:cs="Times New Roman"/>
        </w:rPr>
        <w:t xml:space="preserve"> and sources</w:t>
      </w:r>
      <w:r w:rsidRPr="00D429D0">
        <w:rPr>
          <w:rFonts w:ascii="Times New Roman" w:hAnsi="Times New Roman" w:cs="Times New Roman"/>
        </w:rPr>
        <w:t xml:space="preserve"> of phenotypic </w:t>
      </w:r>
      <w:r w:rsidRPr="00A37069">
        <w:rPr>
          <w:rFonts w:ascii="Times New Roman" w:hAnsi="Times New Roman" w:cs="Times New Roman"/>
        </w:rPr>
        <w:t>measures</w:t>
      </w:r>
      <w:r w:rsidR="00E21125">
        <w:rPr>
          <w:rFonts w:ascii="Times New Roman" w:hAnsi="Times New Roman" w:cs="Times New Roman"/>
        </w:rPr>
        <w:t xml:space="preserve"> </w:t>
      </w:r>
    </w:p>
    <w:tbl>
      <w:tblPr>
        <w:tblStyle w:val="TableGrid"/>
        <w:tblW w:w="865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1260"/>
        <w:gridCol w:w="1080"/>
        <w:gridCol w:w="1170"/>
        <w:gridCol w:w="1260"/>
        <w:gridCol w:w="1800"/>
      </w:tblGrid>
      <w:tr w:rsidR="0084457B" w:rsidRPr="00D429D0" w14:paraId="2877F540" w14:textId="4B61A007" w:rsidTr="0084457B">
        <w:trPr>
          <w:trHeight w:val="437"/>
        </w:trPr>
        <w:tc>
          <w:tcPr>
            <w:tcW w:w="6858" w:type="dxa"/>
            <w:gridSpan w:val="5"/>
            <w:tcBorders>
              <w:top w:val="single" w:sz="4" w:space="0" w:color="auto"/>
              <w:bottom w:val="single" w:sz="4" w:space="0" w:color="auto"/>
            </w:tcBorders>
            <w:vAlign w:val="center"/>
          </w:tcPr>
          <w:p w14:paraId="7ED41008" w14:textId="77777777" w:rsidR="0084457B" w:rsidRPr="00D429D0" w:rsidRDefault="0084457B" w:rsidP="007145A7">
            <w:pPr>
              <w:jc w:val="center"/>
              <w:rPr>
                <w:rFonts w:ascii="Times New Roman" w:hAnsi="Times New Roman" w:cs="Times New Roman"/>
                <w:b/>
                <w:sz w:val="20"/>
                <w:szCs w:val="20"/>
              </w:rPr>
            </w:pPr>
            <w:r w:rsidRPr="00D429D0">
              <w:rPr>
                <w:rFonts w:ascii="Times New Roman" w:hAnsi="Times New Roman" w:cs="Times New Roman"/>
                <w:b/>
                <w:sz w:val="20"/>
                <w:szCs w:val="20"/>
              </w:rPr>
              <w:t>Phenotypic Measures of Psychopathology</w:t>
            </w:r>
          </w:p>
        </w:tc>
        <w:tc>
          <w:tcPr>
            <w:tcW w:w="1800" w:type="dxa"/>
            <w:tcBorders>
              <w:top w:val="single" w:sz="4" w:space="0" w:color="auto"/>
              <w:bottom w:val="single" w:sz="4" w:space="0" w:color="auto"/>
            </w:tcBorders>
          </w:tcPr>
          <w:p w14:paraId="7B44FAEA" w14:textId="77777777" w:rsidR="0084457B" w:rsidRPr="00D429D0" w:rsidRDefault="0084457B" w:rsidP="007145A7">
            <w:pPr>
              <w:jc w:val="center"/>
              <w:rPr>
                <w:rFonts w:ascii="Times New Roman" w:hAnsi="Times New Roman" w:cs="Times New Roman"/>
                <w:b/>
                <w:sz w:val="20"/>
                <w:szCs w:val="20"/>
              </w:rPr>
            </w:pPr>
          </w:p>
        </w:tc>
      </w:tr>
      <w:tr w:rsidR="0084457B" w:rsidRPr="00D429D0" w14:paraId="2E6BBF38" w14:textId="205AE310" w:rsidTr="0084457B">
        <w:trPr>
          <w:trHeight w:val="221"/>
        </w:trPr>
        <w:tc>
          <w:tcPr>
            <w:tcW w:w="2088" w:type="dxa"/>
            <w:tcBorders>
              <w:top w:val="single" w:sz="4" w:space="0" w:color="auto"/>
              <w:bottom w:val="single" w:sz="4" w:space="0" w:color="auto"/>
            </w:tcBorders>
            <w:vAlign w:val="center"/>
          </w:tcPr>
          <w:p w14:paraId="1D0852EC" w14:textId="77777777" w:rsidR="0084457B" w:rsidRPr="00D429D0" w:rsidRDefault="0084457B" w:rsidP="0084457B">
            <w:pPr>
              <w:rPr>
                <w:rFonts w:ascii="Times New Roman" w:hAnsi="Times New Roman" w:cs="Times New Roman"/>
                <w:b/>
                <w:sz w:val="20"/>
                <w:szCs w:val="20"/>
              </w:rPr>
            </w:pPr>
            <w:r w:rsidRPr="00D429D0">
              <w:rPr>
                <w:rFonts w:ascii="Times New Roman" w:hAnsi="Times New Roman" w:cs="Times New Roman"/>
                <w:b/>
                <w:sz w:val="20"/>
                <w:szCs w:val="20"/>
              </w:rPr>
              <w:t>Construct</w:t>
            </w:r>
          </w:p>
        </w:tc>
        <w:tc>
          <w:tcPr>
            <w:tcW w:w="1260" w:type="dxa"/>
            <w:tcBorders>
              <w:top w:val="single" w:sz="4" w:space="0" w:color="auto"/>
              <w:bottom w:val="single" w:sz="4" w:space="0" w:color="auto"/>
            </w:tcBorders>
            <w:vAlign w:val="center"/>
          </w:tcPr>
          <w:p w14:paraId="6361E3D3" w14:textId="77777777" w:rsidR="0084457B" w:rsidRPr="00D429D0" w:rsidRDefault="0084457B" w:rsidP="0084457B">
            <w:pPr>
              <w:jc w:val="center"/>
              <w:rPr>
                <w:rFonts w:ascii="Times New Roman" w:hAnsi="Times New Roman" w:cs="Times New Roman"/>
                <w:b/>
                <w:sz w:val="20"/>
                <w:szCs w:val="20"/>
              </w:rPr>
            </w:pPr>
            <w:r w:rsidRPr="00D429D0">
              <w:rPr>
                <w:rFonts w:ascii="Times New Roman" w:hAnsi="Times New Roman" w:cs="Times New Roman"/>
                <w:b/>
                <w:sz w:val="20"/>
                <w:szCs w:val="20"/>
              </w:rPr>
              <w:t>Mean (SD)</w:t>
            </w:r>
          </w:p>
        </w:tc>
        <w:tc>
          <w:tcPr>
            <w:tcW w:w="1080" w:type="dxa"/>
            <w:tcBorders>
              <w:top w:val="single" w:sz="4" w:space="0" w:color="auto"/>
              <w:bottom w:val="single" w:sz="4" w:space="0" w:color="auto"/>
            </w:tcBorders>
            <w:vAlign w:val="center"/>
          </w:tcPr>
          <w:p w14:paraId="3D6E096B" w14:textId="77777777" w:rsidR="0084457B" w:rsidRPr="00D429D0" w:rsidRDefault="0084457B" w:rsidP="0084457B">
            <w:pPr>
              <w:jc w:val="center"/>
              <w:rPr>
                <w:rFonts w:ascii="Times New Roman" w:hAnsi="Times New Roman" w:cs="Times New Roman"/>
                <w:b/>
                <w:sz w:val="20"/>
                <w:szCs w:val="20"/>
              </w:rPr>
            </w:pPr>
            <w:r w:rsidRPr="00D429D0">
              <w:rPr>
                <w:rFonts w:ascii="Times New Roman" w:hAnsi="Times New Roman" w:cs="Times New Roman"/>
                <w:b/>
                <w:sz w:val="20"/>
                <w:szCs w:val="20"/>
              </w:rPr>
              <w:t>Min – Max</w:t>
            </w:r>
          </w:p>
        </w:tc>
        <w:tc>
          <w:tcPr>
            <w:tcW w:w="1170" w:type="dxa"/>
            <w:tcBorders>
              <w:top w:val="single" w:sz="4" w:space="0" w:color="auto"/>
              <w:bottom w:val="single" w:sz="4" w:space="0" w:color="auto"/>
            </w:tcBorders>
            <w:vAlign w:val="center"/>
          </w:tcPr>
          <w:p w14:paraId="416C19B3" w14:textId="77777777" w:rsidR="0084457B" w:rsidRPr="00D429D0" w:rsidRDefault="0084457B" w:rsidP="0084457B">
            <w:pPr>
              <w:jc w:val="center"/>
              <w:rPr>
                <w:rFonts w:ascii="Times New Roman" w:hAnsi="Times New Roman" w:cs="Times New Roman"/>
                <w:b/>
                <w:sz w:val="20"/>
                <w:szCs w:val="20"/>
              </w:rPr>
            </w:pPr>
            <w:r w:rsidRPr="00D429D0">
              <w:rPr>
                <w:rFonts w:ascii="Times New Roman" w:hAnsi="Times New Roman" w:cs="Times New Roman"/>
                <w:b/>
                <w:sz w:val="20"/>
                <w:szCs w:val="20"/>
              </w:rPr>
              <w:t>Reliability (α)</w:t>
            </w:r>
          </w:p>
        </w:tc>
        <w:tc>
          <w:tcPr>
            <w:tcW w:w="1260" w:type="dxa"/>
            <w:tcBorders>
              <w:top w:val="single" w:sz="4" w:space="0" w:color="auto"/>
              <w:bottom w:val="single" w:sz="4" w:space="0" w:color="auto"/>
            </w:tcBorders>
            <w:vAlign w:val="center"/>
          </w:tcPr>
          <w:p w14:paraId="6B22BAF8" w14:textId="77777777" w:rsidR="0084457B" w:rsidRPr="00D429D0" w:rsidRDefault="0084457B" w:rsidP="0084457B">
            <w:pPr>
              <w:jc w:val="center"/>
              <w:rPr>
                <w:rFonts w:ascii="Times New Roman" w:hAnsi="Times New Roman" w:cs="Times New Roman"/>
                <w:b/>
                <w:sz w:val="20"/>
                <w:szCs w:val="20"/>
              </w:rPr>
            </w:pPr>
            <w:r w:rsidRPr="00D429D0">
              <w:rPr>
                <w:rFonts w:ascii="Times New Roman" w:hAnsi="Times New Roman" w:cs="Times New Roman"/>
                <w:b/>
                <w:sz w:val="20"/>
                <w:szCs w:val="20"/>
              </w:rPr>
              <w:t>Number of Items</w:t>
            </w:r>
          </w:p>
        </w:tc>
        <w:tc>
          <w:tcPr>
            <w:tcW w:w="1800" w:type="dxa"/>
            <w:tcBorders>
              <w:top w:val="single" w:sz="4" w:space="0" w:color="auto"/>
              <w:bottom w:val="single" w:sz="4" w:space="0" w:color="auto"/>
            </w:tcBorders>
            <w:vAlign w:val="center"/>
          </w:tcPr>
          <w:p w14:paraId="59C5A09F" w14:textId="05936A21" w:rsidR="0084457B" w:rsidRPr="00D429D0" w:rsidRDefault="0084457B" w:rsidP="0084457B">
            <w:pPr>
              <w:jc w:val="center"/>
              <w:rPr>
                <w:rFonts w:ascii="Times New Roman" w:hAnsi="Times New Roman" w:cs="Times New Roman"/>
                <w:b/>
                <w:sz w:val="20"/>
                <w:szCs w:val="20"/>
              </w:rPr>
            </w:pPr>
            <w:r>
              <w:rPr>
                <w:rFonts w:ascii="Times New Roman" w:hAnsi="Times New Roman" w:cs="Times New Roman"/>
                <w:b/>
                <w:sz w:val="20"/>
                <w:szCs w:val="20"/>
              </w:rPr>
              <w:t>Source</w:t>
            </w:r>
          </w:p>
        </w:tc>
      </w:tr>
      <w:tr w:rsidR="0084457B" w:rsidRPr="00D429D0" w14:paraId="786097E8" w14:textId="0DAFDC5D" w:rsidTr="0084457B">
        <w:trPr>
          <w:trHeight w:val="288"/>
        </w:trPr>
        <w:tc>
          <w:tcPr>
            <w:tcW w:w="2088" w:type="dxa"/>
            <w:tcBorders>
              <w:top w:val="single" w:sz="4" w:space="0" w:color="auto"/>
            </w:tcBorders>
            <w:vAlign w:val="center"/>
          </w:tcPr>
          <w:p w14:paraId="76939C62" w14:textId="61D1FBD9" w:rsidR="0084457B" w:rsidRPr="00D429D0" w:rsidRDefault="0084457B" w:rsidP="007145A7">
            <w:pPr>
              <w:rPr>
                <w:rFonts w:ascii="Times New Roman" w:hAnsi="Times New Roman" w:cs="Times New Roman"/>
                <w:sz w:val="20"/>
                <w:szCs w:val="20"/>
              </w:rPr>
            </w:pPr>
            <w:r>
              <w:rPr>
                <w:rFonts w:ascii="Times New Roman" w:hAnsi="Times New Roman" w:cs="Times New Roman"/>
                <w:sz w:val="20"/>
                <w:szCs w:val="20"/>
              </w:rPr>
              <w:t>Negative Affect</w:t>
            </w:r>
          </w:p>
        </w:tc>
        <w:tc>
          <w:tcPr>
            <w:tcW w:w="1260" w:type="dxa"/>
            <w:tcBorders>
              <w:top w:val="single" w:sz="4" w:space="0" w:color="auto"/>
            </w:tcBorders>
            <w:vAlign w:val="center"/>
          </w:tcPr>
          <w:p w14:paraId="17E36207" w14:textId="162508B5"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1.7</w:t>
            </w:r>
            <w:r w:rsidR="0043039A">
              <w:rPr>
                <w:rFonts w:ascii="Times New Roman" w:hAnsi="Times New Roman" w:cs="Times New Roman"/>
                <w:sz w:val="20"/>
                <w:szCs w:val="20"/>
              </w:rPr>
              <w:t>4</w:t>
            </w:r>
            <w:r w:rsidRPr="00D429D0">
              <w:rPr>
                <w:rFonts w:ascii="Times New Roman" w:hAnsi="Times New Roman" w:cs="Times New Roman"/>
                <w:sz w:val="20"/>
                <w:szCs w:val="20"/>
              </w:rPr>
              <w:t xml:space="preserve"> (.6</w:t>
            </w:r>
            <w:r w:rsidR="0043039A">
              <w:rPr>
                <w:rFonts w:ascii="Times New Roman" w:hAnsi="Times New Roman" w:cs="Times New Roman"/>
                <w:sz w:val="20"/>
                <w:szCs w:val="20"/>
              </w:rPr>
              <w:t>0</w:t>
            </w:r>
            <w:r w:rsidRPr="00D429D0">
              <w:rPr>
                <w:rFonts w:ascii="Times New Roman" w:hAnsi="Times New Roman" w:cs="Times New Roman"/>
                <w:sz w:val="20"/>
                <w:szCs w:val="20"/>
              </w:rPr>
              <w:t>)</w:t>
            </w:r>
          </w:p>
        </w:tc>
        <w:tc>
          <w:tcPr>
            <w:tcW w:w="1080" w:type="dxa"/>
            <w:tcBorders>
              <w:top w:val="single" w:sz="4" w:space="0" w:color="auto"/>
            </w:tcBorders>
            <w:vAlign w:val="center"/>
          </w:tcPr>
          <w:p w14:paraId="093454ED" w14:textId="2948AF70"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 xml:space="preserve">1 – </w:t>
            </w:r>
            <w:r w:rsidR="001072E3">
              <w:rPr>
                <w:rFonts w:ascii="Times New Roman" w:hAnsi="Times New Roman" w:cs="Times New Roman"/>
                <w:sz w:val="20"/>
                <w:szCs w:val="20"/>
              </w:rPr>
              <w:t>4.83</w:t>
            </w:r>
          </w:p>
        </w:tc>
        <w:tc>
          <w:tcPr>
            <w:tcW w:w="1170" w:type="dxa"/>
            <w:tcBorders>
              <w:top w:val="single" w:sz="4" w:space="0" w:color="auto"/>
            </w:tcBorders>
            <w:vAlign w:val="center"/>
          </w:tcPr>
          <w:p w14:paraId="37AACC49"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.97</w:t>
            </w:r>
          </w:p>
        </w:tc>
        <w:tc>
          <w:tcPr>
            <w:tcW w:w="1260" w:type="dxa"/>
            <w:tcBorders>
              <w:top w:val="single" w:sz="4" w:space="0" w:color="auto"/>
            </w:tcBorders>
            <w:vAlign w:val="center"/>
          </w:tcPr>
          <w:p w14:paraId="2E6BCB3C"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12</w:t>
            </w:r>
          </w:p>
        </w:tc>
        <w:tc>
          <w:tcPr>
            <w:tcW w:w="1800" w:type="dxa"/>
            <w:tcBorders>
              <w:top w:val="single" w:sz="4" w:space="0" w:color="auto"/>
            </w:tcBorders>
            <w:vAlign w:val="center"/>
          </w:tcPr>
          <w:p w14:paraId="2EA5A524" w14:textId="51156EAB" w:rsidR="0084457B" w:rsidRPr="0084457B" w:rsidRDefault="0084457B" w:rsidP="0084457B">
            <w:pPr>
              <w:jc w:val="center"/>
              <w:rPr>
                <w:rFonts w:ascii="Times New Roman" w:hAnsi="Times New Roman" w:cs="Times New Roman"/>
                <w:sz w:val="20"/>
                <w:szCs w:val="20"/>
              </w:rPr>
            </w:pPr>
            <w:r>
              <w:rPr>
                <w:rFonts w:ascii="Times New Roman" w:hAnsi="Times New Roman" w:cs="Times New Roman"/>
                <w:sz w:val="20"/>
                <w:szCs w:val="20"/>
              </w:rPr>
              <w:t xml:space="preserve">Positive and Negative Affect Schedule – Expanded Form </w:t>
            </w:r>
            <w:r w:rsidR="004434E3" w:rsidRPr="004434E3">
              <w:rPr>
                <w:rFonts w:ascii="Times New Roman" w:hAnsi="Times New Roman" w:cs="Times New Roman"/>
                <w:sz w:val="20"/>
              </w:rPr>
              <w:t>(2)</w:t>
            </w:r>
            <w:r>
              <w:rPr>
                <w:rFonts w:ascii="Times New Roman" w:hAnsi="Times New Roman" w:cs="Times New Roman"/>
                <w:sz w:val="20"/>
                <w:szCs w:val="20"/>
              </w:rPr>
              <w:t xml:space="preserve">  </w:t>
            </w:r>
          </w:p>
        </w:tc>
      </w:tr>
      <w:tr w:rsidR="0084457B" w:rsidRPr="00D429D0" w14:paraId="4156C829" w14:textId="23BD2940" w:rsidTr="0084457B">
        <w:trPr>
          <w:trHeight w:val="288"/>
        </w:trPr>
        <w:tc>
          <w:tcPr>
            <w:tcW w:w="2088" w:type="dxa"/>
            <w:vAlign w:val="center"/>
          </w:tcPr>
          <w:p w14:paraId="2CB09AB1" w14:textId="5CB9DC80" w:rsidR="0084457B" w:rsidRPr="00D429D0" w:rsidRDefault="0084457B" w:rsidP="007145A7">
            <w:pPr>
              <w:rPr>
                <w:rFonts w:ascii="Times New Roman" w:hAnsi="Times New Roman" w:cs="Times New Roman"/>
                <w:sz w:val="20"/>
                <w:szCs w:val="20"/>
              </w:rPr>
            </w:pPr>
            <w:r>
              <w:rPr>
                <w:rFonts w:ascii="Times New Roman" w:hAnsi="Times New Roman" w:cs="Times New Roman"/>
                <w:sz w:val="20"/>
                <w:szCs w:val="20"/>
              </w:rPr>
              <w:t>Anxiety Symptoms</w:t>
            </w:r>
          </w:p>
        </w:tc>
        <w:tc>
          <w:tcPr>
            <w:tcW w:w="1260" w:type="dxa"/>
            <w:vAlign w:val="center"/>
          </w:tcPr>
          <w:p w14:paraId="0E2B3213"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1.51 (.55)</w:t>
            </w:r>
          </w:p>
        </w:tc>
        <w:tc>
          <w:tcPr>
            <w:tcW w:w="1080" w:type="dxa"/>
            <w:vAlign w:val="center"/>
          </w:tcPr>
          <w:p w14:paraId="2A2CB81A"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1 – 4</w:t>
            </w:r>
          </w:p>
        </w:tc>
        <w:tc>
          <w:tcPr>
            <w:tcW w:w="1170" w:type="dxa"/>
            <w:vAlign w:val="center"/>
          </w:tcPr>
          <w:p w14:paraId="109F95F0"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.97</w:t>
            </w:r>
          </w:p>
        </w:tc>
        <w:tc>
          <w:tcPr>
            <w:tcW w:w="1260" w:type="dxa"/>
            <w:vAlign w:val="center"/>
          </w:tcPr>
          <w:p w14:paraId="5547DF85"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5</w:t>
            </w:r>
          </w:p>
        </w:tc>
        <w:tc>
          <w:tcPr>
            <w:tcW w:w="1800" w:type="dxa"/>
            <w:vAlign w:val="center"/>
          </w:tcPr>
          <w:p w14:paraId="2AE4478E" w14:textId="692DC3B2" w:rsidR="0084457B" w:rsidRPr="00D429D0" w:rsidRDefault="0084457B" w:rsidP="0084457B">
            <w:pPr>
              <w:jc w:val="center"/>
              <w:rPr>
                <w:rFonts w:ascii="Times New Roman" w:hAnsi="Times New Roman" w:cs="Times New Roman"/>
                <w:sz w:val="20"/>
                <w:szCs w:val="20"/>
              </w:rPr>
            </w:pPr>
            <w:r>
              <w:rPr>
                <w:rFonts w:ascii="Times New Roman" w:hAnsi="Times New Roman" w:cs="Times New Roman"/>
                <w:sz w:val="20"/>
                <w:szCs w:val="20"/>
              </w:rPr>
              <w:t xml:space="preserve">Beck Anxiety Inventory </w:t>
            </w:r>
            <w:r w:rsidR="004434E3" w:rsidRPr="004434E3">
              <w:rPr>
                <w:rFonts w:ascii="Times New Roman" w:hAnsi="Times New Roman" w:cs="Times New Roman"/>
                <w:sz w:val="20"/>
              </w:rPr>
              <w:t>(3)</w:t>
            </w:r>
          </w:p>
        </w:tc>
      </w:tr>
      <w:tr w:rsidR="0084457B" w:rsidRPr="00D429D0" w14:paraId="42E758F9" w14:textId="1299DB1F" w:rsidTr="0084457B">
        <w:trPr>
          <w:trHeight w:val="288"/>
        </w:trPr>
        <w:tc>
          <w:tcPr>
            <w:tcW w:w="2088" w:type="dxa"/>
            <w:vAlign w:val="center"/>
          </w:tcPr>
          <w:p w14:paraId="39499460" w14:textId="016A9157" w:rsidR="0084457B" w:rsidRPr="00D429D0" w:rsidRDefault="0084457B" w:rsidP="007145A7">
            <w:pPr>
              <w:rPr>
                <w:rFonts w:ascii="Times New Roman" w:hAnsi="Times New Roman" w:cs="Times New Roman"/>
                <w:sz w:val="20"/>
                <w:szCs w:val="20"/>
              </w:rPr>
            </w:pPr>
            <w:r>
              <w:rPr>
                <w:rFonts w:ascii="Times New Roman" w:hAnsi="Times New Roman" w:cs="Times New Roman"/>
                <w:sz w:val="20"/>
                <w:szCs w:val="20"/>
              </w:rPr>
              <w:t>Depressive Symptoms</w:t>
            </w:r>
          </w:p>
        </w:tc>
        <w:tc>
          <w:tcPr>
            <w:tcW w:w="1260" w:type="dxa"/>
            <w:vAlign w:val="center"/>
          </w:tcPr>
          <w:p w14:paraId="56CE0BA7" w14:textId="01F72AA5"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1.1</w:t>
            </w:r>
            <w:r w:rsidR="009C3F2B">
              <w:rPr>
                <w:rFonts w:ascii="Times New Roman" w:hAnsi="Times New Roman" w:cs="Times New Roman"/>
                <w:sz w:val="20"/>
                <w:szCs w:val="20"/>
              </w:rPr>
              <w:t>2</w:t>
            </w:r>
            <w:r w:rsidRPr="00D429D0">
              <w:rPr>
                <w:rFonts w:ascii="Times New Roman" w:hAnsi="Times New Roman" w:cs="Times New Roman"/>
                <w:sz w:val="20"/>
                <w:szCs w:val="20"/>
              </w:rPr>
              <w:t xml:space="preserve"> (1.</w:t>
            </w:r>
            <w:r w:rsidR="0043039A">
              <w:rPr>
                <w:rFonts w:ascii="Times New Roman" w:hAnsi="Times New Roman" w:cs="Times New Roman"/>
                <w:sz w:val="20"/>
                <w:szCs w:val="20"/>
              </w:rPr>
              <w:t>76</w:t>
            </w:r>
            <w:r w:rsidRPr="00D429D0">
              <w:rPr>
                <w:rFonts w:ascii="Times New Roman" w:hAnsi="Times New Roman" w:cs="Times New Roman"/>
                <w:sz w:val="20"/>
                <w:szCs w:val="20"/>
              </w:rPr>
              <w:t>)</w:t>
            </w:r>
          </w:p>
        </w:tc>
        <w:tc>
          <w:tcPr>
            <w:tcW w:w="1080" w:type="dxa"/>
            <w:vAlign w:val="center"/>
          </w:tcPr>
          <w:p w14:paraId="39A1EB45"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0 – 8</w:t>
            </w:r>
          </w:p>
        </w:tc>
        <w:tc>
          <w:tcPr>
            <w:tcW w:w="1170" w:type="dxa"/>
            <w:vAlign w:val="center"/>
          </w:tcPr>
          <w:p w14:paraId="13CB9B99"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.98</w:t>
            </w:r>
          </w:p>
        </w:tc>
        <w:tc>
          <w:tcPr>
            <w:tcW w:w="1260" w:type="dxa"/>
            <w:vAlign w:val="center"/>
          </w:tcPr>
          <w:p w14:paraId="051CF4C8"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8</w:t>
            </w:r>
          </w:p>
        </w:tc>
        <w:tc>
          <w:tcPr>
            <w:tcW w:w="1800" w:type="dxa"/>
            <w:vAlign w:val="center"/>
          </w:tcPr>
          <w:p w14:paraId="3377E125" w14:textId="40A2BA86" w:rsidR="0084457B" w:rsidRPr="00D429D0" w:rsidRDefault="00155666" w:rsidP="0084457B">
            <w:pPr>
              <w:jc w:val="center"/>
              <w:rPr>
                <w:rFonts w:ascii="Times New Roman" w:hAnsi="Times New Roman" w:cs="Times New Roman"/>
                <w:sz w:val="20"/>
                <w:szCs w:val="20"/>
              </w:rPr>
            </w:pPr>
            <w:r>
              <w:rPr>
                <w:rFonts w:ascii="Times New Roman" w:hAnsi="Times New Roman" w:cs="Times New Roman"/>
                <w:sz w:val="20"/>
                <w:szCs w:val="20"/>
              </w:rPr>
              <w:t xml:space="preserve">Center for </w:t>
            </w:r>
            <w:bookmarkStart w:id="1" w:name="_Hlk5272106"/>
            <w:r>
              <w:rPr>
                <w:rFonts w:ascii="Times New Roman" w:hAnsi="Times New Roman" w:cs="Times New Roman"/>
                <w:sz w:val="20"/>
                <w:szCs w:val="20"/>
              </w:rPr>
              <w:t xml:space="preserve">Epidemiologic </w:t>
            </w:r>
            <w:bookmarkEnd w:id="1"/>
            <w:r>
              <w:rPr>
                <w:rFonts w:ascii="Times New Roman" w:hAnsi="Times New Roman" w:cs="Times New Roman"/>
                <w:sz w:val="20"/>
                <w:szCs w:val="20"/>
              </w:rPr>
              <w:t xml:space="preserve">Studies Depression Scale </w:t>
            </w:r>
            <w:r w:rsidR="004434E3" w:rsidRPr="004434E3">
              <w:rPr>
                <w:rFonts w:ascii="Times New Roman" w:hAnsi="Times New Roman" w:cs="Times New Roman"/>
                <w:sz w:val="20"/>
              </w:rPr>
              <w:t>(4)</w:t>
            </w:r>
          </w:p>
        </w:tc>
      </w:tr>
      <w:tr w:rsidR="0084457B" w:rsidRPr="00D429D0" w14:paraId="774CE192" w14:textId="19051AB7" w:rsidTr="0084457B">
        <w:trPr>
          <w:trHeight w:val="288"/>
        </w:trPr>
        <w:tc>
          <w:tcPr>
            <w:tcW w:w="2088" w:type="dxa"/>
            <w:vAlign w:val="center"/>
          </w:tcPr>
          <w:p w14:paraId="404D2AC3" w14:textId="298CDEDE" w:rsidR="0084457B" w:rsidRPr="00D429D0" w:rsidRDefault="0084457B" w:rsidP="007145A7">
            <w:pPr>
              <w:rPr>
                <w:rFonts w:ascii="Times New Roman" w:hAnsi="Times New Roman" w:cs="Times New Roman"/>
                <w:sz w:val="20"/>
                <w:szCs w:val="20"/>
              </w:rPr>
            </w:pPr>
            <w:r>
              <w:rPr>
                <w:rFonts w:ascii="Times New Roman" w:hAnsi="Times New Roman" w:cs="Times New Roman"/>
                <w:sz w:val="20"/>
                <w:szCs w:val="20"/>
              </w:rPr>
              <w:t>Impulsivity</w:t>
            </w:r>
          </w:p>
        </w:tc>
        <w:tc>
          <w:tcPr>
            <w:tcW w:w="1260" w:type="dxa"/>
            <w:vAlign w:val="center"/>
          </w:tcPr>
          <w:p w14:paraId="6B6E60AA" w14:textId="476A0C48"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2.69 (.8</w:t>
            </w:r>
            <w:r w:rsidR="0043039A">
              <w:rPr>
                <w:rFonts w:ascii="Times New Roman" w:hAnsi="Times New Roman" w:cs="Times New Roman"/>
                <w:sz w:val="20"/>
                <w:szCs w:val="20"/>
              </w:rPr>
              <w:t>3</w:t>
            </w:r>
            <w:r w:rsidRPr="00D429D0">
              <w:rPr>
                <w:rFonts w:ascii="Times New Roman" w:hAnsi="Times New Roman" w:cs="Times New Roman"/>
                <w:sz w:val="20"/>
                <w:szCs w:val="20"/>
              </w:rPr>
              <w:t>)</w:t>
            </w:r>
          </w:p>
        </w:tc>
        <w:tc>
          <w:tcPr>
            <w:tcW w:w="1080" w:type="dxa"/>
            <w:vAlign w:val="center"/>
          </w:tcPr>
          <w:p w14:paraId="047F5432"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1 – 6</w:t>
            </w:r>
          </w:p>
        </w:tc>
        <w:tc>
          <w:tcPr>
            <w:tcW w:w="1170" w:type="dxa"/>
            <w:vAlign w:val="center"/>
          </w:tcPr>
          <w:p w14:paraId="23CDAE26"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.97</w:t>
            </w:r>
          </w:p>
        </w:tc>
        <w:tc>
          <w:tcPr>
            <w:tcW w:w="1260" w:type="dxa"/>
            <w:vAlign w:val="center"/>
          </w:tcPr>
          <w:p w14:paraId="249EB32F"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6</w:t>
            </w:r>
          </w:p>
        </w:tc>
        <w:tc>
          <w:tcPr>
            <w:tcW w:w="1800" w:type="dxa"/>
            <w:vAlign w:val="center"/>
          </w:tcPr>
          <w:p w14:paraId="73DEA2E3" w14:textId="0CE2BC78" w:rsidR="0084457B" w:rsidRPr="00D429D0" w:rsidRDefault="00155666" w:rsidP="0084457B">
            <w:pPr>
              <w:jc w:val="center"/>
              <w:rPr>
                <w:rFonts w:ascii="Times New Roman" w:hAnsi="Times New Roman" w:cs="Times New Roman"/>
                <w:sz w:val="20"/>
                <w:szCs w:val="20"/>
              </w:rPr>
            </w:pPr>
            <w:r>
              <w:rPr>
                <w:rFonts w:ascii="Times New Roman" w:hAnsi="Times New Roman" w:cs="Times New Roman"/>
                <w:sz w:val="20"/>
                <w:szCs w:val="20"/>
              </w:rPr>
              <w:t xml:space="preserve">Multidimensional Personality Questionnaire </w:t>
            </w:r>
            <w:r w:rsidR="004434E3" w:rsidRPr="004434E3">
              <w:rPr>
                <w:rFonts w:ascii="Times New Roman" w:hAnsi="Times New Roman" w:cs="Times New Roman"/>
                <w:sz w:val="20"/>
              </w:rPr>
              <w:t>(5)</w:t>
            </w:r>
          </w:p>
        </w:tc>
      </w:tr>
      <w:tr w:rsidR="0084457B" w:rsidRPr="00D429D0" w14:paraId="5DF37090" w14:textId="3F1BD873" w:rsidTr="003C6668">
        <w:trPr>
          <w:trHeight w:val="288"/>
        </w:trPr>
        <w:tc>
          <w:tcPr>
            <w:tcW w:w="2088" w:type="dxa"/>
            <w:tcBorders>
              <w:bottom w:val="nil"/>
            </w:tcBorders>
            <w:vAlign w:val="center"/>
          </w:tcPr>
          <w:p w14:paraId="5B769386" w14:textId="114ED94A" w:rsidR="0084457B" w:rsidRPr="00D429D0" w:rsidRDefault="0084457B" w:rsidP="007145A7">
            <w:pPr>
              <w:rPr>
                <w:rFonts w:ascii="Times New Roman" w:hAnsi="Times New Roman" w:cs="Times New Roman"/>
                <w:sz w:val="20"/>
                <w:szCs w:val="20"/>
              </w:rPr>
            </w:pPr>
            <w:r>
              <w:rPr>
                <w:rFonts w:ascii="Times New Roman" w:hAnsi="Times New Roman" w:cs="Times New Roman"/>
                <w:sz w:val="20"/>
                <w:szCs w:val="20"/>
              </w:rPr>
              <w:t>Trait Anger</w:t>
            </w:r>
          </w:p>
        </w:tc>
        <w:tc>
          <w:tcPr>
            <w:tcW w:w="1260" w:type="dxa"/>
            <w:tcBorders>
              <w:bottom w:val="nil"/>
            </w:tcBorders>
            <w:vAlign w:val="center"/>
          </w:tcPr>
          <w:p w14:paraId="6F0674B0"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2.21 (.69)</w:t>
            </w:r>
          </w:p>
        </w:tc>
        <w:tc>
          <w:tcPr>
            <w:tcW w:w="1080" w:type="dxa"/>
            <w:tcBorders>
              <w:bottom w:val="nil"/>
            </w:tcBorders>
            <w:vAlign w:val="center"/>
          </w:tcPr>
          <w:p w14:paraId="65B76B30"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1 – 4</w:t>
            </w:r>
          </w:p>
        </w:tc>
        <w:tc>
          <w:tcPr>
            <w:tcW w:w="1170" w:type="dxa"/>
            <w:tcBorders>
              <w:bottom w:val="nil"/>
            </w:tcBorders>
            <w:vAlign w:val="center"/>
          </w:tcPr>
          <w:p w14:paraId="4897F5F7"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.96</w:t>
            </w:r>
          </w:p>
        </w:tc>
        <w:tc>
          <w:tcPr>
            <w:tcW w:w="1260" w:type="dxa"/>
            <w:tcBorders>
              <w:bottom w:val="nil"/>
            </w:tcBorders>
            <w:vAlign w:val="center"/>
          </w:tcPr>
          <w:p w14:paraId="08C3E34B"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4</w:t>
            </w:r>
          </w:p>
        </w:tc>
        <w:tc>
          <w:tcPr>
            <w:tcW w:w="1800" w:type="dxa"/>
            <w:tcBorders>
              <w:bottom w:val="nil"/>
            </w:tcBorders>
            <w:vAlign w:val="center"/>
          </w:tcPr>
          <w:p w14:paraId="2A4B8287" w14:textId="00EEC8A2" w:rsidR="0084457B" w:rsidRPr="00D429D0" w:rsidRDefault="00155666" w:rsidP="0084457B">
            <w:pPr>
              <w:jc w:val="center"/>
              <w:rPr>
                <w:rFonts w:ascii="Times New Roman" w:hAnsi="Times New Roman" w:cs="Times New Roman"/>
                <w:sz w:val="20"/>
                <w:szCs w:val="20"/>
              </w:rPr>
            </w:pPr>
            <w:r>
              <w:rPr>
                <w:rFonts w:ascii="Times New Roman" w:hAnsi="Times New Roman" w:cs="Times New Roman"/>
                <w:sz w:val="20"/>
                <w:szCs w:val="20"/>
              </w:rPr>
              <w:t xml:space="preserve">State-Trait Anger Expression Inventory </w:t>
            </w:r>
            <w:r w:rsidR="004434E3" w:rsidRPr="004434E3">
              <w:rPr>
                <w:rFonts w:ascii="Times New Roman" w:hAnsi="Times New Roman" w:cs="Times New Roman"/>
                <w:sz w:val="20"/>
              </w:rPr>
              <w:t>(6)</w:t>
            </w:r>
          </w:p>
        </w:tc>
      </w:tr>
      <w:tr w:rsidR="0084457B" w:rsidRPr="00D429D0" w14:paraId="278C0B8A" w14:textId="2DDB4B36" w:rsidTr="003C6668">
        <w:trPr>
          <w:trHeight w:val="288"/>
        </w:trPr>
        <w:tc>
          <w:tcPr>
            <w:tcW w:w="2088" w:type="dxa"/>
            <w:tcBorders>
              <w:top w:val="nil"/>
              <w:bottom w:val="nil"/>
            </w:tcBorders>
            <w:vAlign w:val="center"/>
          </w:tcPr>
          <w:p w14:paraId="5F32269E" w14:textId="16643703" w:rsidR="0084457B" w:rsidRPr="00D429D0" w:rsidRDefault="0084457B" w:rsidP="007145A7">
            <w:pPr>
              <w:rPr>
                <w:rFonts w:ascii="Times New Roman" w:hAnsi="Times New Roman" w:cs="Times New Roman"/>
                <w:sz w:val="20"/>
                <w:szCs w:val="20"/>
              </w:rPr>
            </w:pPr>
            <w:r>
              <w:rPr>
                <w:rFonts w:ascii="Times New Roman" w:hAnsi="Times New Roman" w:cs="Times New Roman"/>
                <w:sz w:val="20"/>
                <w:szCs w:val="20"/>
              </w:rPr>
              <w:t>State Anger</w:t>
            </w:r>
          </w:p>
        </w:tc>
        <w:tc>
          <w:tcPr>
            <w:tcW w:w="1260" w:type="dxa"/>
            <w:tcBorders>
              <w:top w:val="nil"/>
              <w:bottom w:val="nil"/>
            </w:tcBorders>
            <w:vAlign w:val="center"/>
          </w:tcPr>
          <w:p w14:paraId="2200613A" w14:textId="1E470796"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1.</w:t>
            </w:r>
            <w:r w:rsidR="0043039A">
              <w:rPr>
                <w:rFonts w:ascii="Times New Roman" w:hAnsi="Times New Roman" w:cs="Times New Roman"/>
                <w:sz w:val="20"/>
                <w:szCs w:val="20"/>
              </w:rPr>
              <w:t>49</w:t>
            </w:r>
            <w:r w:rsidRPr="00D429D0">
              <w:rPr>
                <w:rFonts w:ascii="Times New Roman" w:hAnsi="Times New Roman" w:cs="Times New Roman"/>
                <w:sz w:val="20"/>
                <w:szCs w:val="20"/>
              </w:rPr>
              <w:t xml:space="preserve"> (.</w:t>
            </w:r>
            <w:r w:rsidR="009C3F2B">
              <w:rPr>
                <w:rFonts w:ascii="Times New Roman" w:hAnsi="Times New Roman" w:cs="Times New Roman"/>
                <w:sz w:val="20"/>
                <w:szCs w:val="20"/>
              </w:rPr>
              <w:t>49</w:t>
            </w:r>
            <w:r w:rsidRPr="00D429D0">
              <w:rPr>
                <w:rFonts w:ascii="Times New Roman" w:hAnsi="Times New Roman" w:cs="Times New Roman"/>
                <w:sz w:val="20"/>
                <w:szCs w:val="20"/>
              </w:rPr>
              <w:t>)</w:t>
            </w:r>
          </w:p>
        </w:tc>
        <w:tc>
          <w:tcPr>
            <w:tcW w:w="1080" w:type="dxa"/>
            <w:tcBorders>
              <w:top w:val="nil"/>
              <w:bottom w:val="nil"/>
            </w:tcBorders>
            <w:vAlign w:val="center"/>
          </w:tcPr>
          <w:p w14:paraId="039EC225"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1 – 4</w:t>
            </w:r>
          </w:p>
        </w:tc>
        <w:tc>
          <w:tcPr>
            <w:tcW w:w="1170" w:type="dxa"/>
            <w:tcBorders>
              <w:top w:val="nil"/>
              <w:bottom w:val="nil"/>
            </w:tcBorders>
            <w:vAlign w:val="center"/>
          </w:tcPr>
          <w:p w14:paraId="7C8AB145"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.97</w:t>
            </w:r>
          </w:p>
        </w:tc>
        <w:tc>
          <w:tcPr>
            <w:tcW w:w="1260" w:type="dxa"/>
            <w:tcBorders>
              <w:top w:val="nil"/>
              <w:bottom w:val="nil"/>
            </w:tcBorders>
            <w:vAlign w:val="center"/>
          </w:tcPr>
          <w:p w14:paraId="6FBFAE3B" w14:textId="77777777" w:rsidR="0084457B" w:rsidRPr="00D429D0" w:rsidRDefault="0084457B" w:rsidP="0084457B">
            <w:pPr>
              <w:jc w:val="center"/>
              <w:rPr>
                <w:rFonts w:ascii="Times New Roman" w:hAnsi="Times New Roman" w:cs="Times New Roman"/>
                <w:sz w:val="20"/>
                <w:szCs w:val="20"/>
              </w:rPr>
            </w:pPr>
            <w:r w:rsidRPr="00D429D0">
              <w:rPr>
                <w:rFonts w:ascii="Times New Roman" w:hAnsi="Times New Roman" w:cs="Times New Roman"/>
                <w:sz w:val="20"/>
                <w:szCs w:val="20"/>
              </w:rPr>
              <w:t>7</w:t>
            </w:r>
          </w:p>
        </w:tc>
        <w:tc>
          <w:tcPr>
            <w:tcW w:w="1800" w:type="dxa"/>
            <w:tcBorders>
              <w:top w:val="nil"/>
              <w:bottom w:val="nil"/>
            </w:tcBorders>
            <w:vAlign w:val="center"/>
          </w:tcPr>
          <w:p w14:paraId="50E12C1C" w14:textId="33A81AA2" w:rsidR="0084457B" w:rsidRPr="00D429D0" w:rsidRDefault="00155666" w:rsidP="0084457B">
            <w:pPr>
              <w:jc w:val="center"/>
              <w:rPr>
                <w:rFonts w:ascii="Times New Roman" w:hAnsi="Times New Roman" w:cs="Times New Roman"/>
                <w:sz w:val="20"/>
                <w:szCs w:val="20"/>
              </w:rPr>
            </w:pPr>
            <w:r>
              <w:rPr>
                <w:rFonts w:ascii="Times New Roman" w:hAnsi="Times New Roman" w:cs="Times New Roman"/>
                <w:sz w:val="20"/>
                <w:szCs w:val="20"/>
              </w:rPr>
              <w:t xml:space="preserve">State-Trait Anger Expression Inventory </w:t>
            </w:r>
            <w:r w:rsidR="004434E3" w:rsidRPr="004434E3">
              <w:rPr>
                <w:rFonts w:ascii="Times New Roman" w:hAnsi="Times New Roman" w:cs="Times New Roman"/>
                <w:sz w:val="20"/>
              </w:rPr>
              <w:t>(6)</w:t>
            </w:r>
          </w:p>
        </w:tc>
      </w:tr>
      <w:tr w:rsidR="003C6668" w:rsidRPr="00D429D0" w14:paraId="2DA649F8" w14:textId="77777777" w:rsidTr="003C6668">
        <w:trPr>
          <w:trHeight w:val="288"/>
        </w:trPr>
        <w:tc>
          <w:tcPr>
            <w:tcW w:w="2088" w:type="dxa"/>
            <w:tcBorders>
              <w:top w:val="nil"/>
              <w:bottom w:val="single" w:sz="4" w:space="0" w:color="auto"/>
            </w:tcBorders>
            <w:vAlign w:val="center"/>
          </w:tcPr>
          <w:p w14:paraId="175DF221" w14:textId="77991C9D" w:rsidR="003C6668" w:rsidRDefault="003C6668" w:rsidP="007145A7">
            <w:pPr>
              <w:rPr>
                <w:rFonts w:ascii="Times New Roman" w:hAnsi="Times New Roman" w:cs="Times New Roman"/>
                <w:sz w:val="20"/>
                <w:szCs w:val="20"/>
              </w:rPr>
            </w:pPr>
            <w:r>
              <w:rPr>
                <w:rFonts w:ascii="Times New Roman" w:hAnsi="Times New Roman" w:cs="Times New Roman"/>
                <w:sz w:val="20"/>
                <w:szCs w:val="20"/>
              </w:rPr>
              <w:t>Drinking Frequency*</w:t>
            </w:r>
          </w:p>
        </w:tc>
        <w:tc>
          <w:tcPr>
            <w:tcW w:w="1260" w:type="dxa"/>
            <w:tcBorders>
              <w:top w:val="nil"/>
              <w:bottom w:val="single" w:sz="4" w:space="0" w:color="auto"/>
            </w:tcBorders>
            <w:vAlign w:val="center"/>
          </w:tcPr>
          <w:p w14:paraId="0A1E953D" w14:textId="178B0C22" w:rsidR="003C6668" w:rsidRPr="00D429D0" w:rsidRDefault="003C6668" w:rsidP="0084457B">
            <w:pPr>
              <w:jc w:val="center"/>
              <w:rPr>
                <w:rFonts w:ascii="Times New Roman" w:hAnsi="Times New Roman" w:cs="Times New Roman"/>
                <w:sz w:val="20"/>
                <w:szCs w:val="20"/>
              </w:rPr>
            </w:pPr>
            <w:r>
              <w:rPr>
                <w:rFonts w:ascii="Times New Roman" w:hAnsi="Times New Roman" w:cs="Times New Roman"/>
                <w:sz w:val="20"/>
                <w:szCs w:val="20"/>
              </w:rPr>
              <w:t>.8</w:t>
            </w:r>
            <w:r w:rsidR="009C3F2B">
              <w:rPr>
                <w:rFonts w:ascii="Times New Roman" w:hAnsi="Times New Roman" w:cs="Times New Roman"/>
                <w:sz w:val="20"/>
                <w:szCs w:val="20"/>
              </w:rPr>
              <w:t>3</w:t>
            </w:r>
            <w:r>
              <w:rPr>
                <w:rFonts w:ascii="Times New Roman" w:hAnsi="Times New Roman" w:cs="Times New Roman"/>
                <w:sz w:val="20"/>
                <w:szCs w:val="20"/>
              </w:rPr>
              <w:t xml:space="preserve"> (1.4</w:t>
            </w:r>
            <w:r w:rsidR="009C3F2B">
              <w:rPr>
                <w:rFonts w:ascii="Times New Roman" w:hAnsi="Times New Roman" w:cs="Times New Roman"/>
                <w:sz w:val="20"/>
                <w:szCs w:val="20"/>
              </w:rPr>
              <w:t>1</w:t>
            </w:r>
            <w:r>
              <w:rPr>
                <w:rFonts w:ascii="Times New Roman" w:hAnsi="Times New Roman" w:cs="Times New Roman"/>
                <w:sz w:val="20"/>
                <w:szCs w:val="20"/>
              </w:rPr>
              <w:t>)</w:t>
            </w:r>
          </w:p>
        </w:tc>
        <w:tc>
          <w:tcPr>
            <w:tcW w:w="1080" w:type="dxa"/>
            <w:tcBorders>
              <w:top w:val="nil"/>
              <w:bottom w:val="single" w:sz="4" w:space="0" w:color="auto"/>
            </w:tcBorders>
            <w:vAlign w:val="center"/>
          </w:tcPr>
          <w:p w14:paraId="524FEFF2" w14:textId="63887FDD" w:rsidR="003C6668" w:rsidRPr="00D429D0" w:rsidRDefault="003C6668" w:rsidP="0084457B">
            <w:pPr>
              <w:jc w:val="center"/>
              <w:rPr>
                <w:rFonts w:ascii="Times New Roman" w:hAnsi="Times New Roman" w:cs="Times New Roman"/>
                <w:sz w:val="20"/>
                <w:szCs w:val="20"/>
              </w:rPr>
            </w:pPr>
            <w:r>
              <w:rPr>
                <w:rFonts w:ascii="Times New Roman" w:hAnsi="Times New Roman" w:cs="Times New Roman"/>
                <w:sz w:val="20"/>
                <w:szCs w:val="20"/>
              </w:rPr>
              <w:t>0 – 24</w:t>
            </w:r>
          </w:p>
        </w:tc>
        <w:tc>
          <w:tcPr>
            <w:tcW w:w="1170" w:type="dxa"/>
            <w:tcBorders>
              <w:top w:val="nil"/>
              <w:bottom w:val="single" w:sz="4" w:space="0" w:color="auto"/>
            </w:tcBorders>
            <w:vAlign w:val="center"/>
          </w:tcPr>
          <w:p w14:paraId="5FB4E5E3" w14:textId="72B44CF1" w:rsidR="003C6668" w:rsidRPr="00D429D0" w:rsidRDefault="003C6668" w:rsidP="0084457B">
            <w:pPr>
              <w:jc w:val="center"/>
              <w:rPr>
                <w:rFonts w:ascii="Times New Roman" w:hAnsi="Times New Roman" w:cs="Times New Roman"/>
                <w:sz w:val="20"/>
                <w:szCs w:val="20"/>
              </w:rPr>
            </w:pPr>
            <w:r>
              <w:rPr>
                <w:rFonts w:ascii="Times New Roman" w:hAnsi="Times New Roman" w:cs="Times New Roman"/>
                <w:sz w:val="20"/>
                <w:szCs w:val="20"/>
              </w:rPr>
              <w:t>-</w:t>
            </w:r>
          </w:p>
        </w:tc>
        <w:tc>
          <w:tcPr>
            <w:tcW w:w="1260" w:type="dxa"/>
            <w:tcBorders>
              <w:top w:val="nil"/>
              <w:bottom w:val="single" w:sz="4" w:space="0" w:color="auto"/>
            </w:tcBorders>
            <w:vAlign w:val="center"/>
          </w:tcPr>
          <w:p w14:paraId="39E4208A" w14:textId="60568835" w:rsidR="003C6668" w:rsidRPr="00D429D0" w:rsidRDefault="003C6668" w:rsidP="0084457B">
            <w:pPr>
              <w:jc w:val="center"/>
              <w:rPr>
                <w:rFonts w:ascii="Times New Roman" w:hAnsi="Times New Roman" w:cs="Times New Roman"/>
                <w:sz w:val="20"/>
                <w:szCs w:val="20"/>
              </w:rPr>
            </w:pPr>
            <w:r>
              <w:rPr>
                <w:rFonts w:ascii="Times New Roman" w:hAnsi="Times New Roman" w:cs="Times New Roman"/>
                <w:sz w:val="20"/>
                <w:szCs w:val="20"/>
              </w:rPr>
              <w:t>1</w:t>
            </w:r>
          </w:p>
        </w:tc>
        <w:tc>
          <w:tcPr>
            <w:tcW w:w="1800" w:type="dxa"/>
            <w:tcBorders>
              <w:top w:val="nil"/>
              <w:bottom w:val="single" w:sz="4" w:space="0" w:color="auto"/>
            </w:tcBorders>
            <w:vAlign w:val="center"/>
          </w:tcPr>
          <w:p w14:paraId="7FC11742" w14:textId="020A4DC7" w:rsidR="003C6668" w:rsidRDefault="003C6668" w:rsidP="0084457B">
            <w:pPr>
              <w:jc w:val="center"/>
              <w:rPr>
                <w:rFonts w:ascii="Times New Roman" w:hAnsi="Times New Roman" w:cs="Times New Roman"/>
                <w:sz w:val="20"/>
                <w:szCs w:val="20"/>
              </w:rPr>
            </w:pPr>
            <w:r>
              <w:rPr>
                <w:rFonts w:ascii="Times New Roman" w:hAnsi="Times New Roman" w:cs="Times New Roman"/>
                <w:sz w:val="20"/>
                <w:szCs w:val="20"/>
              </w:rPr>
              <w:t>-</w:t>
            </w:r>
          </w:p>
        </w:tc>
      </w:tr>
    </w:tbl>
    <w:p w14:paraId="7165C9A3" w14:textId="6C82E323" w:rsidR="0084457B" w:rsidRDefault="009A13A8" w:rsidP="003E272E">
      <w:pPr>
        <w:spacing w:after="0" w:line="240" w:lineRule="auto"/>
        <w:rPr>
          <w:rFonts w:ascii="Times New Roman" w:hAnsi="Times New Roman" w:cs="Times New Roman"/>
        </w:rPr>
      </w:pPr>
      <w:r>
        <w:rPr>
          <w:rFonts w:ascii="Times New Roman" w:hAnsi="Times New Roman" w:cs="Times New Roman"/>
        </w:rPr>
        <w:t xml:space="preserve">Note. </w:t>
      </w:r>
      <w:r w:rsidR="009C3F2B" w:rsidRPr="009C3F2B">
        <w:rPr>
          <w:rFonts w:ascii="Times New Roman" w:hAnsi="Times New Roman" w:cs="Times New Roman"/>
        </w:rPr>
        <w:t>5,92</w:t>
      </w:r>
      <w:r w:rsidR="009C3F2B">
        <w:rPr>
          <w:rFonts w:ascii="Times New Roman" w:hAnsi="Times New Roman" w:cs="Times New Roman"/>
        </w:rPr>
        <w:t>1</w:t>
      </w:r>
      <w:r w:rsidRPr="009C3F2B">
        <w:rPr>
          <w:rFonts w:ascii="Times New Roman" w:hAnsi="Times New Roman" w:cs="Times New Roman"/>
        </w:rPr>
        <w:t xml:space="preserve"> &gt; </w:t>
      </w:r>
      <w:r w:rsidRPr="009C3F2B">
        <w:rPr>
          <w:rFonts w:ascii="Times New Roman" w:hAnsi="Times New Roman" w:cs="Times New Roman"/>
          <w:i/>
          <w:iCs/>
        </w:rPr>
        <w:t>N</w:t>
      </w:r>
      <w:r w:rsidRPr="009C3F2B">
        <w:rPr>
          <w:rFonts w:ascii="Times New Roman" w:hAnsi="Times New Roman" w:cs="Times New Roman"/>
        </w:rPr>
        <w:t xml:space="preserve"> &gt;</w:t>
      </w:r>
      <w:r w:rsidR="00CB3219" w:rsidRPr="009C3F2B">
        <w:rPr>
          <w:rFonts w:ascii="Times New Roman" w:hAnsi="Times New Roman" w:cs="Times New Roman"/>
        </w:rPr>
        <w:t xml:space="preserve"> </w:t>
      </w:r>
      <w:r w:rsidR="009C3F2B">
        <w:rPr>
          <w:rFonts w:ascii="Times New Roman" w:hAnsi="Times New Roman" w:cs="Times New Roman"/>
        </w:rPr>
        <w:t>6,001</w:t>
      </w:r>
      <w:r w:rsidR="00AD66FB">
        <w:rPr>
          <w:rFonts w:ascii="Times New Roman" w:hAnsi="Times New Roman" w:cs="Times New Roman"/>
        </w:rPr>
        <w:t xml:space="preserve">. All </w:t>
      </w:r>
      <w:r w:rsidR="008A4D6E">
        <w:rPr>
          <w:rFonts w:ascii="Times New Roman" w:hAnsi="Times New Roman" w:cs="Times New Roman"/>
        </w:rPr>
        <w:t>constructs</w:t>
      </w:r>
      <w:r w:rsidR="00AD66FB">
        <w:rPr>
          <w:rFonts w:ascii="Times New Roman" w:hAnsi="Times New Roman" w:cs="Times New Roman"/>
        </w:rPr>
        <w:t xml:space="preserve"> except </w:t>
      </w:r>
      <w:r w:rsidR="003C6668">
        <w:rPr>
          <w:rFonts w:ascii="Times New Roman" w:hAnsi="Times New Roman" w:cs="Times New Roman"/>
        </w:rPr>
        <w:t>drinking frequency</w:t>
      </w:r>
      <w:r w:rsidR="00AD66FB">
        <w:rPr>
          <w:rFonts w:ascii="Times New Roman" w:hAnsi="Times New Roman" w:cs="Times New Roman"/>
        </w:rPr>
        <w:t xml:space="preserve"> were </w:t>
      </w:r>
      <w:r w:rsidR="008A4D6E">
        <w:rPr>
          <w:rFonts w:ascii="Times New Roman" w:hAnsi="Times New Roman" w:cs="Times New Roman"/>
        </w:rPr>
        <w:t>measured as means of all items.</w:t>
      </w:r>
      <w:r w:rsidR="003C6668">
        <w:rPr>
          <w:rFonts w:ascii="Times New Roman" w:hAnsi="Times New Roman" w:cs="Times New Roman"/>
        </w:rPr>
        <w:t xml:space="preserve"> *Participants were asked whether they currently consume alcoholic beverages and, if so, how many per day on average. A continuous measure was constructed, where non-drinkers were recoded as “0”.  </w:t>
      </w:r>
      <w:r w:rsidR="008A4D6E">
        <w:rPr>
          <w:rFonts w:ascii="Times New Roman" w:hAnsi="Times New Roman" w:cs="Times New Roman"/>
        </w:rPr>
        <w:t xml:space="preserve"> </w:t>
      </w:r>
    </w:p>
    <w:p w14:paraId="2B27C523" w14:textId="77777777" w:rsidR="0084457B" w:rsidRDefault="0084457B" w:rsidP="003E272E">
      <w:pPr>
        <w:spacing w:after="0" w:line="240" w:lineRule="auto"/>
        <w:rPr>
          <w:rFonts w:ascii="Times New Roman" w:hAnsi="Times New Roman" w:cs="Times New Roman"/>
        </w:rPr>
      </w:pPr>
    </w:p>
    <w:p w14:paraId="6D585946" w14:textId="77777777" w:rsidR="0084457B" w:rsidRDefault="0084457B" w:rsidP="003E272E">
      <w:pPr>
        <w:spacing w:after="0" w:line="240" w:lineRule="auto"/>
        <w:rPr>
          <w:rFonts w:ascii="Times New Roman" w:hAnsi="Times New Roman" w:cs="Times New Roman"/>
        </w:rPr>
      </w:pPr>
    </w:p>
    <w:p w14:paraId="3586100C" w14:textId="50253FC3" w:rsidR="00911E80" w:rsidRDefault="00911E80" w:rsidP="00B366A1">
      <w:pPr>
        <w:rPr>
          <w:rFonts w:ascii="Times New Roman" w:hAnsi="Times New Roman" w:cs="Times New Roman"/>
        </w:rPr>
      </w:pPr>
    </w:p>
    <w:p w14:paraId="0A8246B2" w14:textId="77777777" w:rsidR="00911E80" w:rsidRDefault="00911E80" w:rsidP="003E272E">
      <w:pPr>
        <w:spacing w:after="0" w:line="240" w:lineRule="auto"/>
        <w:rPr>
          <w:rFonts w:ascii="Times New Roman" w:hAnsi="Times New Roman" w:cs="Times New Roman"/>
        </w:rPr>
      </w:pPr>
    </w:p>
    <w:p w14:paraId="7A9C7578" w14:textId="77777777" w:rsidR="00911E80" w:rsidRDefault="00911E80" w:rsidP="003E272E">
      <w:pPr>
        <w:spacing w:after="0" w:line="240" w:lineRule="auto"/>
        <w:rPr>
          <w:rFonts w:ascii="Times New Roman" w:hAnsi="Times New Roman" w:cs="Times New Roman"/>
        </w:rPr>
      </w:pPr>
    </w:p>
    <w:p w14:paraId="1EE7C6E1" w14:textId="77777777" w:rsidR="00911E80" w:rsidRDefault="00911E80" w:rsidP="003E272E">
      <w:pPr>
        <w:spacing w:after="0" w:line="240" w:lineRule="auto"/>
        <w:rPr>
          <w:rFonts w:ascii="Times New Roman" w:hAnsi="Times New Roman" w:cs="Times New Roman"/>
        </w:rPr>
      </w:pPr>
    </w:p>
    <w:p w14:paraId="7BA8B161" w14:textId="77777777" w:rsidR="00911E80" w:rsidRDefault="00911E80" w:rsidP="003E272E">
      <w:pPr>
        <w:spacing w:after="0" w:line="240" w:lineRule="auto"/>
        <w:rPr>
          <w:rFonts w:ascii="Times New Roman" w:hAnsi="Times New Roman" w:cs="Times New Roman"/>
        </w:rPr>
      </w:pPr>
    </w:p>
    <w:p w14:paraId="3B7AA009" w14:textId="77777777" w:rsidR="00911E80" w:rsidRDefault="00911E80" w:rsidP="003E272E">
      <w:pPr>
        <w:spacing w:after="0" w:line="240" w:lineRule="auto"/>
        <w:rPr>
          <w:rFonts w:ascii="Times New Roman" w:hAnsi="Times New Roman" w:cs="Times New Roman"/>
        </w:rPr>
      </w:pPr>
    </w:p>
    <w:p w14:paraId="2807B5C4" w14:textId="77777777" w:rsidR="00911E80" w:rsidRDefault="00911E80" w:rsidP="003E272E">
      <w:pPr>
        <w:spacing w:after="0" w:line="240" w:lineRule="auto"/>
        <w:rPr>
          <w:rFonts w:ascii="Times New Roman" w:hAnsi="Times New Roman" w:cs="Times New Roman"/>
        </w:rPr>
      </w:pPr>
    </w:p>
    <w:p w14:paraId="6489CC32" w14:textId="77777777" w:rsidR="00911E80" w:rsidRDefault="00911E80" w:rsidP="003E272E">
      <w:pPr>
        <w:spacing w:after="0" w:line="240" w:lineRule="auto"/>
        <w:rPr>
          <w:rFonts w:ascii="Times New Roman" w:hAnsi="Times New Roman" w:cs="Times New Roman"/>
        </w:rPr>
      </w:pPr>
    </w:p>
    <w:p w14:paraId="5A280FAD" w14:textId="77777777" w:rsidR="00911E80" w:rsidRDefault="00911E80" w:rsidP="003E272E">
      <w:pPr>
        <w:spacing w:after="0" w:line="240" w:lineRule="auto"/>
        <w:rPr>
          <w:rFonts w:ascii="Times New Roman" w:hAnsi="Times New Roman" w:cs="Times New Roman"/>
        </w:rPr>
      </w:pPr>
    </w:p>
    <w:p w14:paraId="47F9BD2B" w14:textId="77777777" w:rsidR="00911E80" w:rsidRDefault="00911E80" w:rsidP="003E272E">
      <w:pPr>
        <w:spacing w:after="0" w:line="240" w:lineRule="auto"/>
        <w:rPr>
          <w:rFonts w:ascii="Times New Roman" w:hAnsi="Times New Roman" w:cs="Times New Roman"/>
        </w:rPr>
      </w:pPr>
    </w:p>
    <w:p w14:paraId="35B8BAD7" w14:textId="77777777" w:rsidR="00911E80" w:rsidRDefault="00911E80" w:rsidP="003E272E">
      <w:pPr>
        <w:spacing w:after="0" w:line="240" w:lineRule="auto"/>
        <w:rPr>
          <w:rFonts w:ascii="Times New Roman" w:hAnsi="Times New Roman" w:cs="Times New Roman"/>
        </w:rPr>
      </w:pPr>
    </w:p>
    <w:p w14:paraId="000DB11E" w14:textId="77777777" w:rsidR="00911E80" w:rsidRDefault="00911E80" w:rsidP="003E272E">
      <w:pPr>
        <w:spacing w:after="0" w:line="240" w:lineRule="auto"/>
        <w:rPr>
          <w:rFonts w:ascii="Times New Roman" w:hAnsi="Times New Roman" w:cs="Times New Roman"/>
        </w:rPr>
      </w:pPr>
    </w:p>
    <w:p w14:paraId="31C0883C" w14:textId="77777777" w:rsidR="00911E80" w:rsidRDefault="00911E80" w:rsidP="003E272E">
      <w:pPr>
        <w:spacing w:after="0" w:line="240" w:lineRule="auto"/>
        <w:rPr>
          <w:rFonts w:ascii="Times New Roman" w:hAnsi="Times New Roman" w:cs="Times New Roman"/>
        </w:rPr>
      </w:pPr>
    </w:p>
    <w:p w14:paraId="57F976C8" w14:textId="77777777" w:rsidR="00911E80" w:rsidRDefault="00911E80" w:rsidP="003E272E">
      <w:pPr>
        <w:spacing w:after="0" w:line="240" w:lineRule="auto"/>
        <w:rPr>
          <w:rFonts w:ascii="Times New Roman" w:hAnsi="Times New Roman" w:cs="Times New Roman"/>
        </w:rPr>
      </w:pPr>
    </w:p>
    <w:p w14:paraId="1D65AEDB" w14:textId="77777777" w:rsidR="00911E80" w:rsidRDefault="00911E80" w:rsidP="003E272E">
      <w:pPr>
        <w:spacing w:after="0" w:line="240" w:lineRule="auto"/>
        <w:rPr>
          <w:rFonts w:ascii="Times New Roman" w:hAnsi="Times New Roman" w:cs="Times New Roman"/>
        </w:rPr>
      </w:pPr>
    </w:p>
    <w:p w14:paraId="35A6AE2C" w14:textId="77777777" w:rsidR="00911E80" w:rsidRDefault="00911E80" w:rsidP="003E272E">
      <w:pPr>
        <w:spacing w:after="0" w:line="240" w:lineRule="auto"/>
        <w:rPr>
          <w:rFonts w:ascii="Times New Roman" w:hAnsi="Times New Roman" w:cs="Times New Roman"/>
        </w:rPr>
      </w:pPr>
    </w:p>
    <w:p w14:paraId="55906D3A" w14:textId="77777777" w:rsidR="00911E80" w:rsidRDefault="00911E80" w:rsidP="003E272E">
      <w:pPr>
        <w:spacing w:after="0" w:line="240" w:lineRule="auto"/>
        <w:rPr>
          <w:rFonts w:ascii="Times New Roman" w:hAnsi="Times New Roman" w:cs="Times New Roman"/>
        </w:rPr>
      </w:pPr>
    </w:p>
    <w:p w14:paraId="47F880D3" w14:textId="77777777" w:rsidR="00911E80" w:rsidRDefault="00911E80" w:rsidP="003E272E">
      <w:pPr>
        <w:spacing w:after="0" w:line="240" w:lineRule="auto"/>
        <w:rPr>
          <w:rFonts w:ascii="Times New Roman" w:hAnsi="Times New Roman" w:cs="Times New Roman"/>
        </w:rPr>
      </w:pPr>
    </w:p>
    <w:p w14:paraId="0A8EC426" w14:textId="77777777" w:rsidR="00911E80" w:rsidRDefault="00911E80" w:rsidP="003E272E">
      <w:pPr>
        <w:spacing w:after="0" w:line="240" w:lineRule="auto"/>
        <w:rPr>
          <w:rFonts w:ascii="Times New Roman" w:hAnsi="Times New Roman" w:cs="Times New Roman"/>
        </w:rPr>
      </w:pPr>
    </w:p>
    <w:p w14:paraId="409148A2" w14:textId="0FE16F8F" w:rsidR="00911E80" w:rsidRDefault="00911E80" w:rsidP="00CF03B4">
      <w:pPr>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 xml:space="preserve">Supplemental Figure 1. Non-zero cross-trait LD-score regression intercepts </w:t>
      </w:r>
      <w:r w:rsidR="002F3487">
        <w:rPr>
          <w:rFonts w:ascii="Times New Roman" w:hAnsi="Times New Roman" w:cs="Times New Roman"/>
        </w:rPr>
        <w:t>suggest</w:t>
      </w:r>
      <w:r>
        <w:rPr>
          <w:rFonts w:ascii="Times New Roman" w:hAnsi="Times New Roman" w:cs="Times New Roman"/>
        </w:rPr>
        <w:t xml:space="preserve"> cryptic relatedness among GWAS samples</w:t>
      </w:r>
    </w:p>
    <w:p w14:paraId="5225A167" w14:textId="0DFEF65E" w:rsidR="00911E80" w:rsidRDefault="00187B43">
      <w:pPr>
        <w:rPr>
          <w:rFonts w:ascii="Times New Roman" w:hAnsi="Times New Roman" w:cs="Times New Roman"/>
        </w:rPr>
      </w:pPr>
      <w:r>
        <w:rPr>
          <w:rFonts w:ascii="Times New Roman" w:hAnsi="Times New Roman" w:cs="Times New Roman"/>
          <w:noProof/>
        </w:rPr>
        <w:drawing>
          <wp:inline distT="0" distB="0" distL="0" distR="0" wp14:anchorId="093E2CDF" wp14:editId="50E371AF">
            <wp:extent cx="5943600" cy="4628515"/>
            <wp:effectExtent l="0" t="0" r="0" b="635"/>
            <wp:docPr id="4" name="Picture 4"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treemap 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4628515"/>
                    </a:xfrm>
                    <a:prstGeom prst="rect">
                      <a:avLst/>
                    </a:prstGeom>
                  </pic:spPr>
                </pic:pic>
              </a:graphicData>
            </a:graphic>
          </wp:inline>
        </w:drawing>
      </w:r>
    </w:p>
    <w:p w14:paraId="481E94E4" w14:textId="1F8B2029" w:rsidR="00987458" w:rsidRDefault="00987458">
      <w:pPr>
        <w:rPr>
          <w:rFonts w:ascii="Times New Roman" w:hAnsi="Times New Roman" w:cs="Times New Roman"/>
        </w:rPr>
      </w:pPr>
      <w:r>
        <w:rPr>
          <w:rFonts w:ascii="Times New Roman" w:hAnsi="Times New Roman" w:cs="Times New Roman"/>
        </w:rPr>
        <w:br w:type="page"/>
      </w:r>
    </w:p>
    <w:p w14:paraId="45574BEF" w14:textId="68A6EC35" w:rsidR="00032009" w:rsidRDefault="001D3758" w:rsidP="00032009">
      <w:pPr>
        <w:spacing w:after="0" w:line="240" w:lineRule="auto"/>
        <w:rPr>
          <w:rFonts w:ascii="Times New Roman" w:hAnsi="Times New Roman" w:cs="Times New Roman"/>
        </w:rPr>
      </w:pPr>
      <w:r>
        <w:rPr>
          <w:rFonts w:ascii="Times New Roman" w:hAnsi="Times New Roman" w:cs="Times New Roman"/>
        </w:rPr>
        <w:lastRenderedPageBreak/>
        <w:t>Supplemental Figure 2</w:t>
      </w:r>
      <w:r w:rsidR="00032009" w:rsidRPr="00DC0BD6">
        <w:rPr>
          <w:rFonts w:ascii="Times New Roman" w:hAnsi="Times New Roman" w:cs="Times New Roman"/>
        </w:rPr>
        <w:t xml:space="preserve">. </w:t>
      </w:r>
      <w:r w:rsidR="00032009">
        <w:rPr>
          <w:rFonts w:ascii="Times New Roman" w:hAnsi="Times New Roman" w:cs="Times New Roman"/>
        </w:rPr>
        <w:t>Invariant indicator loadings of the general factor of psychopathology by age group and gender in the Health and Retirement Study</w:t>
      </w:r>
    </w:p>
    <w:p w14:paraId="4108F3EE" w14:textId="77777777" w:rsidR="00032009" w:rsidRDefault="00032009" w:rsidP="00032009">
      <w:pPr>
        <w:spacing w:after="0" w:line="240" w:lineRule="auto"/>
        <w:rPr>
          <w:rFonts w:ascii="Times New Roman" w:hAnsi="Times New Roman" w:cs="Times New Roman"/>
        </w:rPr>
      </w:pPr>
    </w:p>
    <w:p w14:paraId="0F82BEB7" w14:textId="77777777" w:rsidR="00032009" w:rsidRDefault="00032009" w:rsidP="00032009">
      <w:pPr>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14:anchorId="2A2A58D1" wp14:editId="359E22B7">
            <wp:extent cx="3752603" cy="2723194"/>
            <wp:effectExtent l="0" t="0" r="635" b="1270"/>
            <wp:docPr id="11" name="Picture 1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nefactor_menwomen_holdout.jpg"/>
                    <pic:cNvPicPr/>
                  </pic:nvPicPr>
                  <pic:blipFill rotWithShape="1">
                    <a:blip r:embed="rId6" cstate="print">
                      <a:extLst>
                        <a:ext uri="{28A0092B-C50C-407E-A947-70E740481C1C}">
                          <a14:useLocalDpi xmlns:a14="http://schemas.microsoft.com/office/drawing/2010/main" val="0"/>
                        </a:ext>
                      </a:extLst>
                    </a:blip>
                    <a:srcRect l="11589" t="12256" r="17083" b="18728"/>
                    <a:stretch/>
                  </pic:blipFill>
                  <pic:spPr bwMode="auto">
                    <a:xfrm>
                      <a:off x="0" y="0"/>
                      <a:ext cx="3763349" cy="2730992"/>
                    </a:xfrm>
                    <a:prstGeom prst="rect">
                      <a:avLst/>
                    </a:prstGeom>
                    <a:ln>
                      <a:noFill/>
                    </a:ln>
                    <a:extLst>
                      <a:ext uri="{53640926-AAD7-44D8-BBD7-CCE9431645EC}">
                        <a14:shadowObscured xmlns:a14="http://schemas.microsoft.com/office/drawing/2010/main"/>
                      </a:ext>
                    </a:extLst>
                  </pic:spPr>
                </pic:pic>
              </a:graphicData>
            </a:graphic>
          </wp:inline>
        </w:drawing>
      </w:r>
    </w:p>
    <w:p w14:paraId="25DB3060" w14:textId="77777777" w:rsidR="00032009" w:rsidRDefault="00032009" w:rsidP="00032009">
      <w:pPr>
        <w:spacing w:after="0" w:line="240" w:lineRule="auto"/>
        <w:rPr>
          <w:rFonts w:ascii="Times New Roman" w:hAnsi="Times New Roman" w:cs="Times New Roman"/>
        </w:rPr>
      </w:pPr>
    </w:p>
    <w:p w14:paraId="64DB87B3" w14:textId="77777777" w:rsidR="00032009" w:rsidRDefault="00032009" w:rsidP="00032009">
      <w:pPr>
        <w:spacing w:after="0" w:line="240" w:lineRule="auto"/>
        <w:rPr>
          <w:rFonts w:ascii="Times New Roman" w:hAnsi="Times New Roman" w:cs="Times New Roman"/>
          <w:noProof/>
        </w:rPr>
      </w:pPr>
      <w:r>
        <w:rPr>
          <w:rFonts w:ascii="Times New Roman" w:hAnsi="Times New Roman" w:cs="Times New Roman"/>
        </w:rPr>
        <w:t xml:space="preserve">(A) </w:t>
      </w:r>
      <w:r w:rsidRPr="00FF0228">
        <w:rPr>
          <w:rFonts w:ascii="Times New Roman" w:hAnsi="Times New Roman" w:cs="Times New Roman"/>
          <w:noProof/>
        </w:rPr>
        <w:t xml:space="preserve"> </w:t>
      </w:r>
    </w:p>
    <w:p w14:paraId="54F1BA0A" w14:textId="77777777" w:rsidR="00032009" w:rsidRDefault="00032009" w:rsidP="00032009">
      <w:pPr>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14:anchorId="0EA6A9B0" wp14:editId="2AC88B4C">
            <wp:extent cx="4144488" cy="2675892"/>
            <wp:effectExtent l="0" t="0" r="8890" b="0"/>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nefactor_allagesgroups_holdout.jpg"/>
                    <pic:cNvPicPr/>
                  </pic:nvPicPr>
                  <pic:blipFill rotWithShape="1">
                    <a:blip r:embed="rId7" cstate="print">
                      <a:extLst>
                        <a:ext uri="{28A0092B-C50C-407E-A947-70E740481C1C}">
                          <a14:useLocalDpi xmlns:a14="http://schemas.microsoft.com/office/drawing/2010/main" val="0"/>
                        </a:ext>
                      </a:extLst>
                    </a:blip>
                    <a:srcRect t="11723" r="14885" b="15004"/>
                    <a:stretch/>
                  </pic:blipFill>
                  <pic:spPr bwMode="auto">
                    <a:xfrm>
                      <a:off x="0" y="0"/>
                      <a:ext cx="4161218" cy="2686694"/>
                    </a:xfrm>
                    <a:prstGeom prst="rect">
                      <a:avLst/>
                    </a:prstGeom>
                    <a:ln>
                      <a:noFill/>
                    </a:ln>
                    <a:extLst>
                      <a:ext uri="{53640926-AAD7-44D8-BBD7-CCE9431645EC}">
                        <a14:shadowObscured xmlns:a14="http://schemas.microsoft.com/office/drawing/2010/main"/>
                      </a:ext>
                    </a:extLst>
                  </pic:spPr>
                </pic:pic>
              </a:graphicData>
            </a:graphic>
          </wp:inline>
        </w:drawing>
      </w:r>
    </w:p>
    <w:p w14:paraId="587AED92" w14:textId="77777777" w:rsidR="00032009" w:rsidRDefault="00032009" w:rsidP="00032009">
      <w:pPr>
        <w:spacing w:after="0" w:line="240" w:lineRule="auto"/>
        <w:rPr>
          <w:rFonts w:ascii="Times New Roman" w:hAnsi="Times New Roman" w:cs="Times New Roman"/>
        </w:rPr>
      </w:pPr>
      <w:r>
        <w:rPr>
          <w:rFonts w:ascii="Times New Roman" w:hAnsi="Times New Roman" w:cs="Times New Roman"/>
        </w:rPr>
        <w:t xml:space="preserve">(B) </w:t>
      </w:r>
    </w:p>
    <w:p w14:paraId="7EF8CF01" w14:textId="77777777" w:rsidR="00032009" w:rsidRDefault="00032009" w:rsidP="00032009">
      <w:pPr>
        <w:spacing w:after="0" w:line="240" w:lineRule="auto"/>
        <w:rPr>
          <w:rFonts w:ascii="Times New Roman" w:hAnsi="Times New Roman" w:cs="Times New Roman"/>
        </w:rPr>
      </w:pPr>
      <w:r>
        <w:rPr>
          <w:rFonts w:ascii="Times New Roman" w:hAnsi="Times New Roman" w:cs="Times New Roman"/>
        </w:rPr>
        <w:t xml:space="preserve">Note. (A) Confirmatory one-factor phenotypic models in the hold-out sample, split by gender (model fit: </w:t>
      </w:r>
      <w:r w:rsidRPr="00BD5A0D">
        <w:rPr>
          <w:rFonts w:ascii="Times New Roman" w:hAnsi="Times New Roman" w:cs="Times New Roman"/>
        </w:rPr>
        <w:t>χ² (</w:t>
      </w:r>
      <w:r>
        <w:rPr>
          <w:rFonts w:ascii="Times New Roman" w:hAnsi="Times New Roman" w:cs="Times New Roman"/>
        </w:rPr>
        <w:t>18</w:t>
      </w:r>
      <w:r w:rsidRPr="00BD5A0D">
        <w:rPr>
          <w:rFonts w:ascii="Times New Roman" w:hAnsi="Times New Roman" w:cs="Times New Roman"/>
        </w:rPr>
        <w:t xml:space="preserve">) = </w:t>
      </w:r>
      <w:r>
        <w:rPr>
          <w:rFonts w:ascii="Times New Roman" w:hAnsi="Times New Roman" w:cs="Times New Roman"/>
        </w:rPr>
        <w:t>64.22</w:t>
      </w:r>
      <w:r w:rsidRPr="00BD5A0D">
        <w:rPr>
          <w:rFonts w:ascii="Times New Roman" w:hAnsi="Times New Roman" w:cs="Times New Roman"/>
        </w:rPr>
        <w:t xml:space="preserve">, </w:t>
      </w:r>
      <w:r w:rsidRPr="00BD5A0D">
        <w:rPr>
          <w:rFonts w:ascii="Times New Roman" w:hAnsi="Times New Roman" w:cs="Times New Roman"/>
          <w:i/>
          <w:iCs/>
        </w:rPr>
        <w:t>p</w:t>
      </w:r>
      <w:r w:rsidRPr="00BD5A0D">
        <w:rPr>
          <w:rFonts w:ascii="Times New Roman" w:hAnsi="Times New Roman" w:cs="Times New Roman"/>
        </w:rPr>
        <w:t xml:space="preserve"> &lt; .001; CFI = .</w:t>
      </w:r>
      <w:r>
        <w:rPr>
          <w:rFonts w:ascii="Times New Roman" w:hAnsi="Times New Roman" w:cs="Times New Roman"/>
        </w:rPr>
        <w:t>985</w:t>
      </w:r>
      <w:r w:rsidRPr="00BD5A0D">
        <w:rPr>
          <w:rFonts w:ascii="Times New Roman" w:hAnsi="Times New Roman" w:cs="Times New Roman"/>
        </w:rPr>
        <w:t>; TLI = .</w:t>
      </w:r>
      <w:r>
        <w:rPr>
          <w:rFonts w:ascii="Times New Roman" w:hAnsi="Times New Roman" w:cs="Times New Roman"/>
        </w:rPr>
        <w:t>975</w:t>
      </w:r>
      <w:r w:rsidRPr="00BD5A0D">
        <w:rPr>
          <w:rFonts w:ascii="Times New Roman" w:hAnsi="Times New Roman" w:cs="Times New Roman"/>
        </w:rPr>
        <w:t>; RMSEA = .</w:t>
      </w:r>
      <w:r>
        <w:rPr>
          <w:rFonts w:ascii="Times New Roman" w:hAnsi="Times New Roman" w:cs="Times New Roman"/>
        </w:rPr>
        <w:t xml:space="preserve">045, 90% CI </w:t>
      </w:r>
      <w:r w:rsidRPr="00BD5A0D">
        <w:rPr>
          <w:rFonts w:ascii="Times New Roman" w:hAnsi="Times New Roman" w:cs="Times New Roman"/>
        </w:rPr>
        <w:t>[.</w:t>
      </w:r>
      <w:r>
        <w:rPr>
          <w:rFonts w:ascii="Times New Roman" w:hAnsi="Times New Roman" w:cs="Times New Roman"/>
        </w:rPr>
        <w:t>033</w:t>
      </w:r>
      <w:r w:rsidRPr="00BD5A0D">
        <w:rPr>
          <w:rFonts w:ascii="Times New Roman" w:hAnsi="Times New Roman" w:cs="Times New Roman"/>
        </w:rPr>
        <w:t>, .</w:t>
      </w:r>
      <w:r>
        <w:rPr>
          <w:rFonts w:ascii="Times New Roman" w:hAnsi="Times New Roman" w:cs="Times New Roman"/>
        </w:rPr>
        <w:t>057</w:t>
      </w:r>
      <w:r w:rsidRPr="00BD5A0D">
        <w:rPr>
          <w:rFonts w:ascii="Times New Roman" w:hAnsi="Times New Roman" w:cs="Times New Roman"/>
        </w:rPr>
        <w:t>]</w:t>
      </w:r>
      <w:r>
        <w:rPr>
          <w:rFonts w:ascii="Times New Roman" w:hAnsi="Times New Roman" w:cs="Times New Roman"/>
        </w:rPr>
        <w:t xml:space="preserve">). Increasingly stringent measurement invariance testing revealed no significant change in model fit when loadings were fixed across groups (metric invariant model ΔCFI = .009, ΔRMSEA = 004), but a significant depreciation of model fit when loadings and intercepts were fixed across groups (scalar invariant model ΔCFI = .018, ΔRMSEA = .009). (B) Confirmatory one-factor phenotypic models in the hold-out sample, split by age group (model fit: </w:t>
      </w:r>
      <w:r w:rsidRPr="00BD5A0D">
        <w:rPr>
          <w:rFonts w:ascii="Times New Roman" w:hAnsi="Times New Roman" w:cs="Times New Roman"/>
        </w:rPr>
        <w:t>χ² (</w:t>
      </w:r>
      <w:r>
        <w:rPr>
          <w:rFonts w:ascii="Times New Roman" w:hAnsi="Times New Roman" w:cs="Times New Roman"/>
        </w:rPr>
        <w:t>27</w:t>
      </w:r>
      <w:r w:rsidRPr="00BD5A0D">
        <w:rPr>
          <w:rFonts w:ascii="Times New Roman" w:hAnsi="Times New Roman" w:cs="Times New Roman"/>
        </w:rPr>
        <w:t xml:space="preserve">) = </w:t>
      </w:r>
      <w:r>
        <w:rPr>
          <w:rFonts w:ascii="Times New Roman" w:hAnsi="Times New Roman" w:cs="Times New Roman"/>
        </w:rPr>
        <w:t>82.77</w:t>
      </w:r>
      <w:r w:rsidRPr="00BD5A0D">
        <w:rPr>
          <w:rFonts w:ascii="Times New Roman" w:hAnsi="Times New Roman" w:cs="Times New Roman"/>
        </w:rPr>
        <w:t xml:space="preserve">, </w:t>
      </w:r>
      <w:r w:rsidRPr="00BD5A0D">
        <w:rPr>
          <w:rFonts w:ascii="Times New Roman" w:hAnsi="Times New Roman" w:cs="Times New Roman"/>
          <w:i/>
          <w:iCs/>
        </w:rPr>
        <w:t>p</w:t>
      </w:r>
      <w:r w:rsidRPr="00BD5A0D">
        <w:rPr>
          <w:rFonts w:ascii="Times New Roman" w:hAnsi="Times New Roman" w:cs="Times New Roman"/>
        </w:rPr>
        <w:t xml:space="preserve"> &lt; .001; CFI = .</w:t>
      </w:r>
      <w:r>
        <w:rPr>
          <w:rFonts w:ascii="Times New Roman" w:hAnsi="Times New Roman" w:cs="Times New Roman"/>
        </w:rPr>
        <w:t>983</w:t>
      </w:r>
      <w:r w:rsidRPr="00BD5A0D">
        <w:rPr>
          <w:rFonts w:ascii="Times New Roman" w:hAnsi="Times New Roman" w:cs="Times New Roman"/>
        </w:rPr>
        <w:t>; TLI = .</w:t>
      </w:r>
      <w:r>
        <w:rPr>
          <w:rFonts w:ascii="Times New Roman" w:hAnsi="Times New Roman" w:cs="Times New Roman"/>
        </w:rPr>
        <w:t>971</w:t>
      </w:r>
      <w:r w:rsidRPr="00BD5A0D">
        <w:rPr>
          <w:rFonts w:ascii="Times New Roman" w:hAnsi="Times New Roman" w:cs="Times New Roman"/>
        </w:rPr>
        <w:t>; RMSEA = .</w:t>
      </w:r>
      <w:r>
        <w:rPr>
          <w:rFonts w:ascii="Times New Roman" w:hAnsi="Times New Roman" w:cs="Times New Roman"/>
        </w:rPr>
        <w:t xml:space="preserve">049, 90% CI </w:t>
      </w:r>
      <w:r w:rsidRPr="00BD5A0D">
        <w:rPr>
          <w:rFonts w:ascii="Times New Roman" w:hAnsi="Times New Roman" w:cs="Times New Roman"/>
        </w:rPr>
        <w:t>[.</w:t>
      </w:r>
      <w:r>
        <w:rPr>
          <w:rFonts w:ascii="Times New Roman" w:hAnsi="Times New Roman" w:cs="Times New Roman"/>
        </w:rPr>
        <w:t>037</w:t>
      </w:r>
      <w:r w:rsidRPr="00BD5A0D">
        <w:rPr>
          <w:rFonts w:ascii="Times New Roman" w:hAnsi="Times New Roman" w:cs="Times New Roman"/>
        </w:rPr>
        <w:t>, .</w:t>
      </w:r>
      <w:r>
        <w:rPr>
          <w:rFonts w:ascii="Times New Roman" w:hAnsi="Times New Roman" w:cs="Times New Roman"/>
        </w:rPr>
        <w:t>061</w:t>
      </w:r>
      <w:r w:rsidRPr="00BD5A0D">
        <w:rPr>
          <w:rFonts w:ascii="Times New Roman" w:hAnsi="Times New Roman" w:cs="Times New Roman"/>
        </w:rPr>
        <w:t>]</w:t>
      </w:r>
      <w:r>
        <w:rPr>
          <w:rFonts w:ascii="Times New Roman" w:hAnsi="Times New Roman" w:cs="Times New Roman"/>
        </w:rPr>
        <w:t>). Increasingly stringent measurement invariance testing revealed no significant change in model fit when loadings were fixed across groups (metric invariant model ΔCFI = .009, ΔRMSEA = .003), but a significant depreciation of model fit when loadings and intercepts were fixed across groups (scalar invariant model ΔCFI = .031, ΔRMSEA = .015).</w:t>
      </w:r>
    </w:p>
    <w:p w14:paraId="217D3424" w14:textId="0804DC1A" w:rsidR="009713B7" w:rsidRDefault="00D85E37" w:rsidP="003E272E">
      <w:pPr>
        <w:spacing w:after="0" w:line="240" w:lineRule="auto"/>
        <w:rPr>
          <w:rFonts w:ascii="Times New Roman" w:hAnsi="Times New Roman" w:cs="Times New Roman"/>
        </w:rPr>
      </w:pPr>
      <w:r>
        <w:rPr>
          <w:rFonts w:ascii="Times New Roman" w:hAnsi="Times New Roman" w:cs="Times New Roman"/>
        </w:rPr>
        <w:lastRenderedPageBreak/>
        <w:t xml:space="preserve">Supplemental Figure </w:t>
      </w:r>
      <w:r w:rsidR="001D3758">
        <w:rPr>
          <w:rFonts w:ascii="Times New Roman" w:hAnsi="Times New Roman" w:cs="Times New Roman"/>
        </w:rPr>
        <w:t>3</w:t>
      </w:r>
      <w:r w:rsidR="00502B8B">
        <w:rPr>
          <w:rFonts w:ascii="Times New Roman" w:hAnsi="Times New Roman" w:cs="Times New Roman"/>
        </w:rPr>
        <w:t>. Unstandardized factor loadings for Genomic SEM one-factor and two-factor models.</w:t>
      </w:r>
    </w:p>
    <w:p w14:paraId="3799DCF9" w14:textId="45F7AF4A" w:rsidR="00793F94" w:rsidRDefault="00731D17" w:rsidP="003E272E">
      <w:pPr>
        <w:spacing w:after="0" w:line="240" w:lineRule="auto"/>
        <w:rPr>
          <w:rFonts w:ascii="Times New Roman" w:hAnsi="Times New Roman" w:cs="Times New Roman"/>
        </w:rPr>
      </w:pPr>
      <w:r>
        <w:rPr>
          <w:rFonts w:ascii="Times New Roman" w:hAnsi="Times New Roman" w:cs="Times New Roman"/>
          <w:noProof/>
        </w:rPr>
        <w:drawing>
          <wp:inline distT="0" distB="0" distL="0" distR="0" wp14:anchorId="6A0833A8" wp14:editId="597493FB">
            <wp:extent cx="3648656" cy="2964815"/>
            <wp:effectExtent l="0" t="0" r="9525" b="6985"/>
            <wp:docPr id="1" name="Picture 1"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piece of paper&#10;&#10;Description automatically generated"/>
                    <pic:cNvPicPr/>
                  </pic:nvPicPr>
                  <pic:blipFill rotWithShape="1">
                    <a:blip r:embed="rId8" cstate="print">
                      <a:extLst>
                        <a:ext uri="{28A0092B-C50C-407E-A947-70E740481C1C}">
                          <a14:useLocalDpi xmlns:a14="http://schemas.microsoft.com/office/drawing/2010/main" val="0"/>
                        </a:ext>
                      </a:extLst>
                    </a:blip>
                    <a:srcRect l="12097" t="4763"/>
                    <a:stretch/>
                  </pic:blipFill>
                  <pic:spPr bwMode="auto">
                    <a:xfrm>
                      <a:off x="0" y="0"/>
                      <a:ext cx="3665048" cy="2978135"/>
                    </a:xfrm>
                    <a:prstGeom prst="rect">
                      <a:avLst/>
                    </a:prstGeom>
                    <a:ln>
                      <a:noFill/>
                    </a:ln>
                    <a:extLst>
                      <a:ext uri="{53640926-AAD7-44D8-BBD7-CCE9431645EC}">
                        <a14:shadowObscured xmlns:a14="http://schemas.microsoft.com/office/drawing/2010/main"/>
                      </a:ext>
                    </a:extLst>
                  </pic:spPr>
                </pic:pic>
              </a:graphicData>
            </a:graphic>
          </wp:inline>
        </w:drawing>
      </w:r>
    </w:p>
    <w:p w14:paraId="4A0C7CC1" w14:textId="5C1ACDE8" w:rsidR="00731D17" w:rsidRDefault="00731D17" w:rsidP="003E272E">
      <w:pPr>
        <w:spacing w:after="0" w:line="240" w:lineRule="auto"/>
        <w:rPr>
          <w:rFonts w:ascii="Times New Roman" w:hAnsi="Times New Roman" w:cs="Times New Roman"/>
        </w:rPr>
      </w:pPr>
    </w:p>
    <w:p w14:paraId="0B5A164D" w14:textId="60BD0A6A" w:rsidR="00731D17" w:rsidRDefault="00731D17" w:rsidP="003E272E">
      <w:pPr>
        <w:spacing w:after="0" w:line="240" w:lineRule="auto"/>
        <w:rPr>
          <w:rFonts w:ascii="Times New Roman" w:hAnsi="Times New Roman" w:cs="Times New Roman"/>
        </w:rPr>
      </w:pPr>
      <w:r>
        <w:rPr>
          <w:rFonts w:ascii="Times New Roman" w:hAnsi="Times New Roman" w:cs="Times New Roman"/>
          <w:noProof/>
        </w:rPr>
        <w:drawing>
          <wp:inline distT="0" distB="0" distL="0" distR="0" wp14:anchorId="4F4574F9" wp14:editId="0EB0EA16">
            <wp:extent cx="3798548" cy="2848911"/>
            <wp:effectExtent l="0" t="0" r="0" b="8890"/>
            <wp:docPr id="2" name="Picture 2" descr="A close up of a neckl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neckla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00593" cy="2850445"/>
                    </a:xfrm>
                    <a:prstGeom prst="rect">
                      <a:avLst/>
                    </a:prstGeom>
                  </pic:spPr>
                </pic:pic>
              </a:graphicData>
            </a:graphic>
          </wp:inline>
        </w:drawing>
      </w:r>
    </w:p>
    <w:p w14:paraId="6E887D88" w14:textId="77777777" w:rsidR="00793F94" w:rsidRDefault="00793F94" w:rsidP="003E272E">
      <w:pPr>
        <w:spacing w:after="0" w:line="240" w:lineRule="auto"/>
        <w:rPr>
          <w:rFonts w:ascii="Times New Roman" w:hAnsi="Times New Roman" w:cs="Times New Roman"/>
        </w:rPr>
      </w:pPr>
    </w:p>
    <w:p w14:paraId="369EAE2E" w14:textId="6E84E486" w:rsidR="00793F94" w:rsidRDefault="00793F94" w:rsidP="003E272E">
      <w:pPr>
        <w:spacing w:after="0" w:line="240" w:lineRule="auto"/>
        <w:rPr>
          <w:rFonts w:ascii="Times New Roman" w:hAnsi="Times New Roman" w:cs="Times New Roman"/>
        </w:rPr>
      </w:pPr>
      <w:r w:rsidRPr="00731D17">
        <w:rPr>
          <w:rFonts w:ascii="Times New Roman" w:hAnsi="Times New Roman" w:cs="Times New Roman"/>
          <w:i/>
          <w:iCs/>
        </w:rPr>
        <w:t>Note.</w:t>
      </w:r>
      <w:r>
        <w:rPr>
          <w:rFonts w:ascii="Times New Roman" w:hAnsi="Times New Roman" w:cs="Times New Roman"/>
        </w:rPr>
        <w:t xml:space="preserve"> </w:t>
      </w:r>
      <w:r w:rsidRPr="00793F94">
        <w:rPr>
          <w:rFonts w:ascii="Times New Roman" w:hAnsi="Times New Roman" w:cs="Times New Roman"/>
        </w:rPr>
        <w:t>Confirmatory factor analyses were conducted on the GWAS summary statistics in Table 1, using the Genomic SEM package in R Statistical Software</w:t>
      </w:r>
      <w:r w:rsidR="005507DC">
        <w:rPr>
          <w:rFonts w:ascii="Times New Roman" w:hAnsi="Times New Roman" w:cs="Times New Roman"/>
        </w:rPr>
        <w:t xml:space="preserve"> </w:t>
      </w:r>
      <w:r w:rsidR="004434E3" w:rsidRPr="004434E3">
        <w:rPr>
          <w:rFonts w:ascii="Times New Roman" w:hAnsi="Times New Roman" w:cs="Times New Roman"/>
        </w:rPr>
        <w:t>(7)</w:t>
      </w:r>
      <w:r>
        <w:rPr>
          <w:rFonts w:ascii="Times New Roman" w:hAnsi="Times New Roman" w:cs="Times New Roman"/>
        </w:rPr>
        <w:t xml:space="preserve">. </w:t>
      </w:r>
      <w:r w:rsidRPr="00793F94">
        <w:rPr>
          <w:rFonts w:ascii="Times New Roman" w:hAnsi="Times New Roman" w:cs="Times New Roman"/>
        </w:rPr>
        <w:t>In both the one-factor and two-factor models, the residual variance of MDD was fixed to zero. Model fit comparisons between the one-factor model (χ² [14] = 76.762, p &lt; .001, AIC = 104.762, CFI = .962, SRMR = .127) and two-factor model (χ² [13] = 46.072, p &lt; .001, AIC = 76.072, CFI = .980, SRMR = .084) indicated superior model fit of the two-factor model (Δχ² = 30.69(1), p &lt; .001, ΔCFI &gt; .01, lower AIC). Single-nucleotide polymorphism effects were then integrated into the model to derive new SNP weights for construction of latent polygenic scores (see Supplemental Methods).</w:t>
      </w:r>
    </w:p>
    <w:p w14:paraId="600EE2C0" w14:textId="361DCC8C" w:rsidR="00930B28" w:rsidRDefault="00930B28" w:rsidP="003E272E">
      <w:pPr>
        <w:spacing w:after="0" w:line="240" w:lineRule="auto"/>
        <w:rPr>
          <w:rFonts w:ascii="Times New Roman" w:hAnsi="Times New Roman" w:cs="Times New Roman"/>
        </w:rPr>
      </w:pPr>
    </w:p>
    <w:p w14:paraId="0AF63158" w14:textId="77777777" w:rsidR="00911E80" w:rsidRDefault="00911E80" w:rsidP="002F3487">
      <w:pPr>
        <w:spacing w:after="0" w:line="240" w:lineRule="auto"/>
        <w:rPr>
          <w:rFonts w:ascii="Times New Roman" w:hAnsi="Times New Roman" w:cs="Times New Roman"/>
          <w:b/>
        </w:rPr>
      </w:pPr>
    </w:p>
    <w:p w14:paraId="1FA6C536" w14:textId="68972F15" w:rsidR="00930B28" w:rsidRPr="00930B28" w:rsidRDefault="00930B28" w:rsidP="00930B28">
      <w:pPr>
        <w:spacing w:after="0" w:line="240" w:lineRule="auto"/>
        <w:jc w:val="center"/>
        <w:rPr>
          <w:rFonts w:ascii="Times New Roman" w:hAnsi="Times New Roman" w:cs="Times New Roman"/>
          <w:b/>
        </w:rPr>
      </w:pPr>
      <w:r w:rsidRPr="00930B28">
        <w:rPr>
          <w:rFonts w:ascii="Times New Roman" w:hAnsi="Times New Roman" w:cs="Times New Roman"/>
          <w:b/>
        </w:rPr>
        <w:lastRenderedPageBreak/>
        <w:t>References</w:t>
      </w:r>
    </w:p>
    <w:p w14:paraId="17C6E733" w14:textId="44A03AD6" w:rsidR="00930B28" w:rsidRPr="00930B28" w:rsidRDefault="00930B28" w:rsidP="00930B28">
      <w:pPr>
        <w:spacing w:after="0" w:line="240" w:lineRule="auto"/>
        <w:jc w:val="center"/>
        <w:rPr>
          <w:rFonts w:ascii="Times New Roman" w:hAnsi="Times New Roman" w:cs="Times New Roman"/>
        </w:rPr>
      </w:pPr>
    </w:p>
    <w:p w14:paraId="72CD8023" w14:textId="77777777" w:rsidR="004434E3" w:rsidRPr="004434E3" w:rsidRDefault="004434E3" w:rsidP="004434E3">
      <w:pPr>
        <w:pStyle w:val="Bibliography"/>
        <w:rPr>
          <w:rFonts w:ascii="Times New Roman" w:hAnsi="Times New Roman" w:cs="Times New Roman"/>
        </w:rPr>
      </w:pPr>
      <w:r w:rsidRPr="004434E3">
        <w:rPr>
          <w:rFonts w:ascii="Times New Roman" w:hAnsi="Times New Roman" w:cs="Times New Roman"/>
        </w:rPr>
        <w:t>1. Ware EB, Schmitz LL, Gard AM, Faul J (2018): HRS Polygenic Scores – Release 3. Ann Arbor, MI: Survey Research Center, Institute for Social Research, University of Michigan.</w:t>
      </w:r>
    </w:p>
    <w:p w14:paraId="50B9C43D" w14:textId="77777777" w:rsidR="004434E3" w:rsidRPr="004434E3" w:rsidRDefault="004434E3" w:rsidP="004434E3">
      <w:pPr>
        <w:pStyle w:val="Bibliography"/>
        <w:rPr>
          <w:rFonts w:ascii="Times New Roman" w:hAnsi="Times New Roman" w:cs="Times New Roman"/>
        </w:rPr>
      </w:pPr>
      <w:r w:rsidRPr="004434E3">
        <w:rPr>
          <w:rFonts w:ascii="Times New Roman" w:hAnsi="Times New Roman" w:cs="Times New Roman"/>
        </w:rPr>
        <w:t>2. Watson D, Clark LA (1994): The PANAS-X: Manual for the positive and negative affect schedule – expanded form. University of Iowa.</w:t>
      </w:r>
    </w:p>
    <w:p w14:paraId="01AA2604" w14:textId="77777777" w:rsidR="004434E3" w:rsidRPr="004434E3" w:rsidRDefault="004434E3" w:rsidP="004434E3">
      <w:pPr>
        <w:pStyle w:val="Bibliography"/>
        <w:rPr>
          <w:rFonts w:ascii="Times New Roman" w:hAnsi="Times New Roman" w:cs="Times New Roman"/>
        </w:rPr>
      </w:pPr>
      <w:r w:rsidRPr="004434E3">
        <w:rPr>
          <w:rFonts w:ascii="Times New Roman" w:hAnsi="Times New Roman" w:cs="Times New Roman"/>
        </w:rPr>
        <w:t xml:space="preserve">3. Beck AT, Epstein N, Brown G, Steer RA (1988): An inventory for measuring clinical anxiety: psychometric properties. </w:t>
      </w:r>
      <w:r w:rsidRPr="004434E3">
        <w:rPr>
          <w:rFonts w:ascii="Times New Roman" w:hAnsi="Times New Roman" w:cs="Times New Roman"/>
          <w:i/>
          <w:iCs/>
        </w:rPr>
        <w:t>J Consult Clin Psychol</w:t>
      </w:r>
      <w:r w:rsidRPr="004434E3">
        <w:rPr>
          <w:rFonts w:ascii="Times New Roman" w:hAnsi="Times New Roman" w:cs="Times New Roman"/>
        </w:rPr>
        <w:t xml:space="preserve"> 56: 893.</w:t>
      </w:r>
    </w:p>
    <w:p w14:paraId="7781105C" w14:textId="77777777" w:rsidR="004434E3" w:rsidRPr="004434E3" w:rsidRDefault="004434E3" w:rsidP="004434E3">
      <w:pPr>
        <w:pStyle w:val="Bibliography"/>
        <w:rPr>
          <w:rFonts w:ascii="Times New Roman" w:hAnsi="Times New Roman" w:cs="Times New Roman"/>
        </w:rPr>
      </w:pPr>
      <w:r w:rsidRPr="004434E3">
        <w:rPr>
          <w:rFonts w:ascii="Times New Roman" w:hAnsi="Times New Roman" w:cs="Times New Roman"/>
        </w:rPr>
        <w:t xml:space="preserve">4. Radloff LS (1977): The CES-D scale a self-report depression scale for research in the general population. </w:t>
      </w:r>
      <w:r w:rsidRPr="004434E3">
        <w:rPr>
          <w:rFonts w:ascii="Times New Roman" w:hAnsi="Times New Roman" w:cs="Times New Roman"/>
          <w:i/>
          <w:iCs/>
        </w:rPr>
        <w:t>Appl Psychol Meas</w:t>
      </w:r>
      <w:r w:rsidRPr="004434E3">
        <w:rPr>
          <w:rFonts w:ascii="Times New Roman" w:hAnsi="Times New Roman" w:cs="Times New Roman"/>
        </w:rPr>
        <w:t xml:space="preserve"> 1: 385–401.</w:t>
      </w:r>
    </w:p>
    <w:p w14:paraId="2D5DA05F" w14:textId="77777777" w:rsidR="004434E3" w:rsidRPr="004434E3" w:rsidRDefault="004434E3" w:rsidP="004434E3">
      <w:pPr>
        <w:pStyle w:val="Bibliography"/>
        <w:rPr>
          <w:rFonts w:ascii="Times New Roman" w:hAnsi="Times New Roman" w:cs="Times New Roman"/>
        </w:rPr>
      </w:pPr>
      <w:r w:rsidRPr="004434E3">
        <w:rPr>
          <w:rFonts w:ascii="Times New Roman" w:hAnsi="Times New Roman" w:cs="Times New Roman"/>
        </w:rPr>
        <w:t>5. Tellegen A (1982): Brief Manual for the Multidimensional Personality Questionnaire. University of Minnesota.</w:t>
      </w:r>
    </w:p>
    <w:p w14:paraId="7BDE20C5" w14:textId="77777777" w:rsidR="004434E3" w:rsidRPr="004434E3" w:rsidRDefault="004434E3" w:rsidP="004434E3">
      <w:pPr>
        <w:pStyle w:val="Bibliography"/>
        <w:rPr>
          <w:rFonts w:ascii="Times New Roman" w:hAnsi="Times New Roman" w:cs="Times New Roman"/>
        </w:rPr>
      </w:pPr>
      <w:r w:rsidRPr="004434E3">
        <w:rPr>
          <w:rFonts w:ascii="Times New Roman" w:hAnsi="Times New Roman" w:cs="Times New Roman"/>
        </w:rPr>
        <w:t xml:space="preserve">6. Forgays DK, Spielberger CD, Ottaway SA, Forgays DG (1998): Factor Structure of the State-Trait Anger Expression Inventory for Middle-Aged Men and Women. </w:t>
      </w:r>
      <w:r w:rsidRPr="004434E3">
        <w:rPr>
          <w:rFonts w:ascii="Times New Roman" w:hAnsi="Times New Roman" w:cs="Times New Roman"/>
          <w:i/>
          <w:iCs/>
        </w:rPr>
        <w:t>Assessment</w:t>
      </w:r>
      <w:r w:rsidRPr="004434E3">
        <w:rPr>
          <w:rFonts w:ascii="Times New Roman" w:hAnsi="Times New Roman" w:cs="Times New Roman"/>
        </w:rPr>
        <w:t xml:space="preserve"> 5: 141–155.</w:t>
      </w:r>
    </w:p>
    <w:p w14:paraId="139C119E" w14:textId="77777777" w:rsidR="004434E3" w:rsidRPr="004434E3" w:rsidRDefault="004434E3" w:rsidP="004434E3">
      <w:pPr>
        <w:pStyle w:val="Bibliography"/>
        <w:rPr>
          <w:rFonts w:ascii="Times New Roman" w:hAnsi="Times New Roman" w:cs="Times New Roman"/>
        </w:rPr>
      </w:pPr>
      <w:r w:rsidRPr="004434E3">
        <w:rPr>
          <w:rFonts w:ascii="Times New Roman" w:hAnsi="Times New Roman" w:cs="Times New Roman"/>
        </w:rPr>
        <w:t xml:space="preserve">7. Grotzinger AD, Rhemtulla M, Vlaming R de, Ritchie SJ, Mallard TT, Hill WD, </w:t>
      </w:r>
      <w:r w:rsidRPr="004434E3">
        <w:rPr>
          <w:rFonts w:ascii="Times New Roman" w:hAnsi="Times New Roman" w:cs="Times New Roman"/>
          <w:i/>
          <w:iCs/>
        </w:rPr>
        <w:t>et al.</w:t>
      </w:r>
      <w:r w:rsidRPr="004434E3">
        <w:rPr>
          <w:rFonts w:ascii="Times New Roman" w:hAnsi="Times New Roman" w:cs="Times New Roman"/>
        </w:rPr>
        <w:t xml:space="preserve"> (2019): Genomic structural equation modelling provides insights into the multivariate genetic architecture of complex traits [no. 5]. </w:t>
      </w:r>
      <w:r w:rsidRPr="004434E3">
        <w:rPr>
          <w:rFonts w:ascii="Times New Roman" w:hAnsi="Times New Roman" w:cs="Times New Roman"/>
          <w:i/>
          <w:iCs/>
        </w:rPr>
        <w:t>Nat Hum Behav</w:t>
      </w:r>
      <w:r w:rsidRPr="004434E3">
        <w:rPr>
          <w:rFonts w:ascii="Times New Roman" w:hAnsi="Times New Roman" w:cs="Times New Roman"/>
        </w:rPr>
        <w:t xml:space="preserve"> 3: 513–525.</w:t>
      </w:r>
    </w:p>
    <w:p w14:paraId="51FDFD22" w14:textId="78776DAF" w:rsidR="00930B28" w:rsidRPr="00930B28" w:rsidRDefault="00930B28" w:rsidP="00930B28">
      <w:pPr>
        <w:spacing w:after="0" w:line="240" w:lineRule="auto"/>
        <w:rPr>
          <w:rFonts w:ascii="Times New Roman" w:hAnsi="Times New Roman" w:cs="Times New Roman"/>
        </w:rPr>
      </w:pPr>
    </w:p>
    <w:sectPr w:rsidR="00930B28" w:rsidRPr="00930B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9A5"/>
    <w:rsid w:val="00005774"/>
    <w:rsid w:val="00032009"/>
    <w:rsid w:val="000454B7"/>
    <w:rsid w:val="000979C7"/>
    <w:rsid w:val="000F12CF"/>
    <w:rsid w:val="001024AB"/>
    <w:rsid w:val="00104663"/>
    <w:rsid w:val="001072E3"/>
    <w:rsid w:val="00126CEF"/>
    <w:rsid w:val="00130C2A"/>
    <w:rsid w:val="00133597"/>
    <w:rsid w:val="00155666"/>
    <w:rsid w:val="00166E55"/>
    <w:rsid w:val="00187B43"/>
    <w:rsid w:val="001A1F14"/>
    <w:rsid w:val="001A45FB"/>
    <w:rsid w:val="001B5202"/>
    <w:rsid w:val="001D3758"/>
    <w:rsid w:val="001D3CDF"/>
    <w:rsid w:val="00212AE6"/>
    <w:rsid w:val="00213328"/>
    <w:rsid w:val="0022652B"/>
    <w:rsid w:val="00246702"/>
    <w:rsid w:val="00250436"/>
    <w:rsid w:val="0027230E"/>
    <w:rsid w:val="0028672F"/>
    <w:rsid w:val="00293EAD"/>
    <w:rsid w:val="00295DFF"/>
    <w:rsid w:val="002F3487"/>
    <w:rsid w:val="003104E0"/>
    <w:rsid w:val="003471AA"/>
    <w:rsid w:val="00397A09"/>
    <w:rsid w:val="003A0480"/>
    <w:rsid w:val="003C6668"/>
    <w:rsid w:val="003E272E"/>
    <w:rsid w:val="003F49A5"/>
    <w:rsid w:val="0043039A"/>
    <w:rsid w:val="004373E5"/>
    <w:rsid w:val="004377C6"/>
    <w:rsid w:val="004434E3"/>
    <w:rsid w:val="0046323D"/>
    <w:rsid w:val="00496C2E"/>
    <w:rsid w:val="004F175E"/>
    <w:rsid w:val="00502B8B"/>
    <w:rsid w:val="0054014C"/>
    <w:rsid w:val="005411A5"/>
    <w:rsid w:val="005462B2"/>
    <w:rsid w:val="005507DC"/>
    <w:rsid w:val="0056790B"/>
    <w:rsid w:val="00571B50"/>
    <w:rsid w:val="005B36DE"/>
    <w:rsid w:val="00610450"/>
    <w:rsid w:val="00615731"/>
    <w:rsid w:val="006532FE"/>
    <w:rsid w:val="00677286"/>
    <w:rsid w:val="00685B12"/>
    <w:rsid w:val="006C3ECD"/>
    <w:rsid w:val="00713B9F"/>
    <w:rsid w:val="0072606E"/>
    <w:rsid w:val="00731D17"/>
    <w:rsid w:val="007412CD"/>
    <w:rsid w:val="00761A78"/>
    <w:rsid w:val="00793F94"/>
    <w:rsid w:val="007B25E5"/>
    <w:rsid w:val="007B499F"/>
    <w:rsid w:val="00802174"/>
    <w:rsid w:val="00814108"/>
    <w:rsid w:val="00825D41"/>
    <w:rsid w:val="00836BC5"/>
    <w:rsid w:val="008403B9"/>
    <w:rsid w:val="0084457B"/>
    <w:rsid w:val="00884C4A"/>
    <w:rsid w:val="00886E0D"/>
    <w:rsid w:val="008A4D6E"/>
    <w:rsid w:val="00911E80"/>
    <w:rsid w:val="00930B28"/>
    <w:rsid w:val="00945CCC"/>
    <w:rsid w:val="00956AC4"/>
    <w:rsid w:val="009713B7"/>
    <w:rsid w:val="00987458"/>
    <w:rsid w:val="00990084"/>
    <w:rsid w:val="009A13A8"/>
    <w:rsid w:val="009A55EB"/>
    <w:rsid w:val="009C3F2B"/>
    <w:rsid w:val="009F3C30"/>
    <w:rsid w:val="00A20629"/>
    <w:rsid w:val="00A37069"/>
    <w:rsid w:val="00A44649"/>
    <w:rsid w:val="00A6327C"/>
    <w:rsid w:val="00A76D45"/>
    <w:rsid w:val="00AA39F4"/>
    <w:rsid w:val="00AD66FB"/>
    <w:rsid w:val="00B01A5C"/>
    <w:rsid w:val="00B077E5"/>
    <w:rsid w:val="00B225FB"/>
    <w:rsid w:val="00B238A2"/>
    <w:rsid w:val="00B309E2"/>
    <w:rsid w:val="00B366A1"/>
    <w:rsid w:val="00B434FD"/>
    <w:rsid w:val="00B8601B"/>
    <w:rsid w:val="00BA1B86"/>
    <w:rsid w:val="00BB026E"/>
    <w:rsid w:val="00BB6D93"/>
    <w:rsid w:val="00BD2A7A"/>
    <w:rsid w:val="00BE2367"/>
    <w:rsid w:val="00BE5A68"/>
    <w:rsid w:val="00C01F50"/>
    <w:rsid w:val="00C242A2"/>
    <w:rsid w:val="00C3525C"/>
    <w:rsid w:val="00C47676"/>
    <w:rsid w:val="00C54F2E"/>
    <w:rsid w:val="00C74D3C"/>
    <w:rsid w:val="00C751F2"/>
    <w:rsid w:val="00CB3219"/>
    <w:rsid w:val="00CB78CA"/>
    <w:rsid w:val="00CF03B4"/>
    <w:rsid w:val="00D7042B"/>
    <w:rsid w:val="00D85E37"/>
    <w:rsid w:val="00D87D33"/>
    <w:rsid w:val="00DA7197"/>
    <w:rsid w:val="00DC6594"/>
    <w:rsid w:val="00DE5AB4"/>
    <w:rsid w:val="00E00F3C"/>
    <w:rsid w:val="00E04249"/>
    <w:rsid w:val="00E21125"/>
    <w:rsid w:val="00E47B51"/>
    <w:rsid w:val="00E50D89"/>
    <w:rsid w:val="00E6415D"/>
    <w:rsid w:val="00E70C14"/>
    <w:rsid w:val="00F23F32"/>
    <w:rsid w:val="00F4114D"/>
    <w:rsid w:val="00F862F2"/>
    <w:rsid w:val="00FC2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E6CA3"/>
  <w15:docId w15:val="{ED55A339-A4CA-4A1B-B51D-C827359E0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4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0084"/>
    <w:pPr>
      <w:ind w:left="720"/>
      <w:contextualSpacing/>
    </w:pPr>
  </w:style>
  <w:style w:type="paragraph" w:styleId="BalloonText">
    <w:name w:val="Balloon Text"/>
    <w:basedOn w:val="Normal"/>
    <w:link w:val="BalloonTextChar"/>
    <w:uiPriority w:val="99"/>
    <w:semiHidden/>
    <w:unhideWhenUsed/>
    <w:rsid w:val="00990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084"/>
    <w:rPr>
      <w:rFonts w:ascii="Tahoma" w:hAnsi="Tahoma" w:cs="Tahoma"/>
      <w:sz w:val="16"/>
      <w:szCs w:val="16"/>
    </w:rPr>
  </w:style>
  <w:style w:type="character" w:styleId="CommentReference">
    <w:name w:val="annotation reference"/>
    <w:basedOn w:val="DefaultParagraphFont"/>
    <w:uiPriority w:val="99"/>
    <w:semiHidden/>
    <w:unhideWhenUsed/>
    <w:rsid w:val="00C242A2"/>
    <w:rPr>
      <w:sz w:val="16"/>
      <w:szCs w:val="16"/>
    </w:rPr>
  </w:style>
  <w:style w:type="paragraph" w:styleId="CommentText">
    <w:name w:val="annotation text"/>
    <w:basedOn w:val="Normal"/>
    <w:link w:val="CommentTextChar"/>
    <w:uiPriority w:val="99"/>
    <w:unhideWhenUsed/>
    <w:rsid w:val="00C242A2"/>
    <w:pPr>
      <w:spacing w:line="240" w:lineRule="auto"/>
    </w:pPr>
    <w:rPr>
      <w:sz w:val="20"/>
      <w:szCs w:val="20"/>
    </w:rPr>
  </w:style>
  <w:style w:type="character" w:customStyle="1" w:styleId="CommentTextChar">
    <w:name w:val="Comment Text Char"/>
    <w:basedOn w:val="DefaultParagraphFont"/>
    <w:link w:val="CommentText"/>
    <w:uiPriority w:val="99"/>
    <w:rsid w:val="00C242A2"/>
    <w:rPr>
      <w:sz w:val="20"/>
      <w:szCs w:val="20"/>
    </w:rPr>
  </w:style>
  <w:style w:type="paragraph" w:styleId="CommentSubject">
    <w:name w:val="annotation subject"/>
    <w:basedOn w:val="CommentText"/>
    <w:next w:val="CommentText"/>
    <w:link w:val="CommentSubjectChar"/>
    <w:uiPriority w:val="99"/>
    <w:semiHidden/>
    <w:unhideWhenUsed/>
    <w:rsid w:val="00C242A2"/>
    <w:rPr>
      <w:b/>
      <w:bCs/>
    </w:rPr>
  </w:style>
  <w:style w:type="character" w:customStyle="1" w:styleId="CommentSubjectChar">
    <w:name w:val="Comment Subject Char"/>
    <w:basedOn w:val="CommentTextChar"/>
    <w:link w:val="CommentSubject"/>
    <w:uiPriority w:val="99"/>
    <w:semiHidden/>
    <w:rsid w:val="00C242A2"/>
    <w:rPr>
      <w:b/>
      <w:bCs/>
      <w:sz w:val="20"/>
      <w:szCs w:val="20"/>
    </w:rPr>
  </w:style>
  <w:style w:type="character" w:styleId="Hyperlink">
    <w:name w:val="Hyperlink"/>
    <w:basedOn w:val="DefaultParagraphFont"/>
    <w:uiPriority w:val="99"/>
    <w:unhideWhenUsed/>
    <w:rsid w:val="003104E0"/>
    <w:rPr>
      <w:color w:val="0563C1" w:themeColor="hyperlink"/>
      <w:u w:val="single"/>
    </w:rPr>
  </w:style>
  <w:style w:type="paragraph" w:styleId="Bibliography">
    <w:name w:val="Bibliography"/>
    <w:basedOn w:val="Normal"/>
    <w:next w:val="Normal"/>
    <w:uiPriority w:val="37"/>
    <w:unhideWhenUsed/>
    <w:rsid w:val="00930B28"/>
    <w:pPr>
      <w:spacing w:after="0" w:line="480" w:lineRule="auto"/>
      <w:ind w:left="720" w:hanging="720"/>
    </w:pPr>
  </w:style>
  <w:style w:type="character" w:styleId="UnresolvedMention">
    <w:name w:val="Unresolved Mention"/>
    <w:basedOn w:val="DefaultParagraphFont"/>
    <w:uiPriority w:val="99"/>
    <w:semiHidden/>
    <w:unhideWhenUsed/>
    <w:rsid w:val="005411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784564">
      <w:bodyDiv w:val="1"/>
      <w:marLeft w:val="0"/>
      <w:marRight w:val="0"/>
      <w:marTop w:val="0"/>
      <w:marBottom w:val="0"/>
      <w:divBdr>
        <w:top w:val="none" w:sz="0" w:space="0" w:color="auto"/>
        <w:left w:val="none" w:sz="0" w:space="0" w:color="auto"/>
        <w:bottom w:val="none" w:sz="0" w:space="0" w:color="auto"/>
        <w:right w:val="none" w:sz="0" w:space="0" w:color="auto"/>
      </w:divBdr>
    </w:div>
    <w:div w:id="258295631">
      <w:bodyDiv w:val="1"/>
      <w:marLeft w:val="0"/>
      <w:marRight w:val="0"/>
      <w:marTop w:val="0"/>
      <w:marBottom w:val="0"/>
      <w:divBdr>
        <w:top w:val="none" w:sz="0" w:space="0" w:color="auto"/>
        <w:left w:val="none" w:sz="0" w:space="0" w:color="auto"/>
        <w:bottom w:val="none" w:sz="0" w:space="0" w:color="auto"/>
        <w:right w:val="none" w:sz="0" w:space="0" w:color="auto"/>
      </w:divBdr>
    </w:div>
    <w:div w:id="710418847">
      <w:bodyDiv w:val="1"/>
      <w:marLeft w:val="0"/>
      <w:marRight w:val="0"/>
      <w:marTop w:val="0"/>
      <w:marBottom w:val="0"/>
      <w:divBdr>
        <w:top w:val="none" w:sz="0" w:space="0" w:color="auto"/>
        <w:left w:val="none" w:sz="0" w:space="0" w:color="auto"/>
        <w:bottom w:val="none" w:sz="0" w:space="0" w:color="auto"/>
        <w:right w:val="none" w:sz="0" w:space="0" w:color="auto"/>
      </w:divBdr>
    </w:div>
    <w:div w:id="731930332">
      <w:bodyDiv w:val="1"/>
      <w:marLeft w:val="0"/>
      <w:marRight w:val="0"/>
      <w:marTop w:val="0"/>
      <w:marBottom w:val="0"/>
      <w:divBdr>
        <w:top w:val="none" w:sz="0" w:space="0" w:color="auto"/>
        <w:left w:val="none" w:sz="0" w:space="0" w:color="auto"/>
        <w:bottom w:val="none" w:sz="0" w:space="0" w:color="auto"/>
        <w:right w:val="none" w:sz="0" w:space="0" w:color="auto"/>
      </w:divBdr>
    </w:div>
    <w:div w:id="994183702">
      <w:bodyDiv w:val="1"/>
      <w:marLeft w:val="0"/>
      <w:marRight w:val="0"/>
      <w:marTop w:val="0"/>
      <w:marBottom w:val="0"/>
      <w:divBdr>
        <w:top w:val="none" w:sz="0" w:space="0" w:color="auto"/>
        <w:left w:val="none" w:sz="0" w:space="0" w:color="auto"/>
        <w:bottom w:val="none" w:sz="0" w:space="0" w:color="auto"/>
        <w:right w:val="none" w:sz="0" w:space="0" w:color="auto"/>
      </w:divBdr>
    </w:div>
    <w:div w:id="1757677097">
      <w:bodyDiv w:val="1"/>
      <w:marLeft w:val="0"/>
      <w:marRight w:val="0"/>
      <w:marTop w:val="0"/>
      <w:marBottom w:val="0"/>
      <w:divBdr>
        <w:top w:val="none" w:sz="0" w:space="0" w:color="auto"/>
        <w:left w:val="none" w:sz="0" w:space="0" w:color="auto"/>
        <w:bottom w:val="none" w:sz="0" w:space="0" w:color="auto"/>
        <w:right w:val="none" w:sz="0" w:space="0" w:color="auto"/>
      </w:divBdr>
    </w:div>
    <w:div w:id="1968706593">
      <w:bodyDiv w:val="1"/>
      <w:marLeft w:val="0"/>
      <w:marRight w:val="0"/>
      <w:marTop w:val="0"/>
      <w:marBottom w:val="0"/>
      <w:divBdr>
        <w:top w:val="none" w:sz="0" w:space="0" w:color="auto"/>
        <w:left w:val="none" w:sz="0" w:space="0" w:color="auto"/>
        <w:bottom w:val="none" w:sz="0" w:space="0" w:color="auto"/>
        <w:right w:val="none" w:sz="0" w:space="0" w:color="auto"/>
      </w:divBdr>
    </w:div>
    <w:div w:id="203472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5C9DEF9-2AD4-4E14-A603-D1B0A58B3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 Arianna</dc:creator>
  <cp:lastModifiedBy>Gard, Arianna</cp:lastModifiedBy>
  <cp:revision>2</cp:revision>
  <dcterms:created xsi:type="dcterms:W3CDTF">2020-11-15T20:58:00Z</dcterms:created>
  <dcterms:modified xsi:type="dcterms:W3CDTF">2020-11-15T20:58:00Z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id="kVsWva3a"/&gt;&lt;style id="http://www.zotero.org/styles/biological-psychiatry" hasBibliography="1" bibliographyStyleHasBeenSet="1"/&gt;&lt;prefs&gt;&lt;pref name="fieldType" value="Field"/&gt;&lt;pref name="automaticJo</vt:lpwstr>
  </property>
  <property fmtid="{D5CDD505-2E9C-101B-9397-08002B2CF9AE}" pid="3" name="ZOTERO_PREF_2">
    <vt:lpwstr>urnalAbbreviations" value="true"/&gt;&lt;/prefs&gt;&lt;/data&gt;</vt:lpwstr>
  </property>
</Properties>
</file>