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02CEA" w14:textId="77777777" w:rsidR="00652424" w:rsidRPr="00227C31" w:rsidRDefault="00652424" w:rsidP="0065242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27C31">
        <w:rPr>
          <w:rFonts w:ascii="Times New Roman" w:hAnsi="Times New Roman" w:cs="Times New Roman"/>
          <w:b/>
          <w:bCs/>
          <w:sz w:val="24"/>
          <w:szCs w:val="24"/>
          <w:lang w:val="en-US"/>
        </w:rPr>
        <w:t>Cocaine-induced loss of LTD and social impairments are restored by fatty acid amide hydrolase inhibition</w:t>
      </w:r>
    </w:p>
    <w:p w14:paraId="1E5B3EA1" w14:textId="77777777" w:rsidR="00652424" w:rsidRPr="00227C31" w:rsidRDefault="00652424" w:rsidP="00652424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227C31">
        <w:rPr>
          <w:rFonts w:ascii="Times New Roman" w:hAnsi="Times New Roman" w:cs="Times New Roman"/>
          <w:lang w:val="es-ES"/>
        </w:rPr>
        <w:t>Laia Alegre-Zurano</w:t>
      </w:r>
      <w:r w:rsidRPr="00227C31">
        <w:rPr>
          <w:rFonts w:ascii="Times New Roman" w:hAnsi="Times New Roman" w:cs="Times New Roman"/>
          <w:vertAlign w:val="superscript"/>
          <w:lang w:val="es-ES"/>
        </w:rPr>
        <w:t>1</w:t>
      </w:r>
      <w:r w:rsidRPr="00227C31">
        <w:rPr>
          <w:rFonts w:ascii="Times New Roman" w:hAnsi="Times New Roman" w:cs="Times New Roman"/>
          <w:lang w:val="es-ES"/>
        </w:rPr>
        <w:t>, Alba Caceres-Rodriguez</w:t>
      </w:r>
      <w:r w:rsidRPr="00227C31">
        <w:rPr>
          <w:rFonts w:ascii="Times New Roman" w:hAnsi="Times New Roman" w:cs="Times New Roman"/>
          <w:vertAlign w:val="superscript"/>
          <w:lang w:val="es-ES"/>
        </w:rPr>
        <w:t>3,4</w:t>
      </w:r>
      <w:r w:rsidRPr="00227C31">
        <w:rPr>
          <w:rFonts w:ascii="Times New Roman" w:hAnsi="Times New Roman" w:cs="Times New Roman"/>
          <w:lang w:val="es-ES"/>
        </w:rPr>
        <w:t>, Paula Berbegal-Sáez</w:t>
      </w:r>
      <w:r w:rsidRPr="00227C31">
        <w:rPr>
          <w:rFonts w:ascii="Times New Roman" w:hAnsi="Times New Roman" w:cs="Times New Roman"/>
          <w:vertAlign w:val="superscript"/>
          <w:lang w:val="es-ES"/>
        </w:rPr>
        <w:t>1</w:t>
      </w:r>
      <w:r w:rsidRPr="00227C31">
        <w:rPr>
          <w:rFonts w:ascii="Times New Roman" w:hAnsi="Times New Roman" w:cs="Times New Roman"/>
          <w:lang w:val="es-ES"/>
        </w:rPr>
        <w:t>, Olivier Lassalle</w:t>
      </w:r>
      <w:r w:rsidRPr="00227C31">
        <w:rPr>
          <w:rFonts w:ascii="Times New Roman" w:hAnsi="Times New Roman" w:cs="Times New Roman"/>
          <w:vertAlign w:val="superscript"/>
          <w:lang w:val="es-ES"/>
        </w:rPr>
        <w:t>3,4</w:t>
      </w:r>
      <w:r w:rsidRPr="00227C31">
        <w:rPr>
          <w:rFonts w:ascii="Times New Roman" w:hAnsi="Times New Roman" w:cs="Times New Roman"/>
          <w:lang w:val="es-ES"/>
        </w:rPr>
        <w:t>, Olivier Manzoni</w:t>
      </w:r>
      <w:r w:rsidRPr="00227C31">
        <w:rPr>
          <w:rFonts w:ascii="Times New Roman" w:hAnsi="Times New Roman" w:cs="Times New Roman"/>
          <w:vertAlign w:val="superscript"/>
          <w:lang w:val="es-ES"/>
        </w:rPr>
        <w:t>3,4#</w:t>
      </w:r>
      <w:r w:rsidRPr="00227C31">
        <w:rPr>
          <w:rFonts w:ascii="Times New Roman" w:hAnsi="Times New Roman" w:cs="Times New Roman"/>
          <w:lang w:val="es-ES"/>
        </w:rPr>
        <w:t xml:space="preserve"> and Olga Valverde</w:t>
      </w:r>
      <w:r w:rsidRPr="00227C31">
        <w:rPr>
          <w:rFonts w:ascii="Times New Roman" w:hAnsi="Times New Roman" w:cs="Times New Roman"/>
          <w:vertAlign w:val="superscript"/>
          <w:lang w:val="es-ES"/>
        </w:rPr>
        <w:t>1,2#*</w:t>
      </w:r>
    </w:p>
    <w:p w14:paraId="77A49803" w14:textId="77777777" w:rsidR="00652424" w:rsidRPr="00227C31" w:rsidRDefault="00652424" w:rsidP="00652424">
      <w:pPr>
        <w:spacing w:line="360" w:lineRule="auto"/>
        <w:jc w:val="both"/>
        <w:rPr>
          <w:rFonts w:ascii="Times New Roman" w:hAnsi="Times New Roman" w:cs="Times New Roman"/>
          <w:b/>
          <w:bCs/>
          <w:lang w:val="es-ES"/>
        </w:rPr>
      </w:pPr>
    </w:p>
    <w:p w14:paraId="47A04F1A" w14:textId="77777777" w:rsidR="00652424" w:rsidRPr="00227C31" w:rsidRDefault="00652424" w:rsidP="00652424">
      <w:pPr>
        <w:spacing w:line="360" w:lineRule="auto"/>
        <w:jc w:val="both"/>
        <w:rPr>
          <w:rFonts w:ascii="Times New Roman" w:hAnsi="Times New Roman" w:cs="Times New Roman"/>
          <w:b/>
          <w:bCs/>
          <w:lang w:val="es-ES"/>
        </w:rPr>
      </w:pPr>
    </w:p>
    <w:p w14:paraId="72D2706E" w14:textId="77777777" w:rsidR="00652424" w:rsidRPr="00227C31" w:rsidRDefault="00652424" w:rsidP="00652424">
      <w:pPr>
        <w:spacing w:line="360" w:lineRule="auto"/>
        <w:jc w:val="both"/>
        <w:rPr>
          <w:rFonts w:ascii="Times New Roman" w:hAnsi="Times New Roman" w:cs="Times New Roman"/>
          <w:b/>
          <w:bCs/>
          <w:lang w:val="es-ES"/>
        </w:rPr>
      </w:pPr>
    </w:p>
    <w:p w14:paraId="05AA91CA" w14:textId="6C07659F" w:rsidR="00652424" w:rsidRPr="00227C31" w:rsidRDefault="00652424" w:rsidP="0065242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27C31">
        <w:rPr>
          <w:rFonts w:ascii="Times New Roman" w:hAnsi="Times New Roman" w:cs="Times New Roman"/>
          <w:b/>
          <w:bCs/>
        </w:rPr>
        <w:t>SUPPLEMENTARY MATERIAL</w:t>
      </w:r>
    </w:p>
    <w:p w14:paraId="7BA79DFD" w14:textId="77777777" w:rsidR="00652424" w:rsidRPr="00227C31" w:rsidRDefault="00652424" w:rsidP="00652424">
      <w:pPr>
        <w:spacing w:line="360" w:lineRule="auto"/>
        <w:jc w:val="both"/>
        <w:rPr>
          <w:rFonts w:ascii="Times New Roman" w:hAnsi="Times New Roman" w:cs="Times New Roman"/>
        </w:rPr>
      </w:pPr>
      <w:r w:rsidRPr="00227C31">
        <w:rPr>
          <w:rFonts w:ascii="Times New Roman" w:hAnsi="Times New Roman" w:cs="Times New Roman"/>
          <w:b/>
          <w:bCs/>
        </w:rPr>
        <w:t>Supplementary Figure 1. Liquid consumption in the saccharin preference test following cocaine exposure. A</w:t>
      </w:r>
      <w:r w:rsidRPr="00227C31">
        <w:rPr>
          <w:rFonts w:ascii="Times New Roman" w:hAnsi="Times New Roman" w:cs="Times New Roman"/>
        </w:rPr>
        <w:t xml:space="preserve"> Saccharine, </w:t>
      </w:r>
      <w:r w:rsidRPr="00227C31">
        <w:rPr>
          <w:rFonts w:ascii="Times New Roman" w:hAnsi="Times New Roman" w:cs="Times New Roman"/>
          <w:b/>
          <w:bCs/>
        </w:rPr>
        <w:t>B</w:t>
      </w:r>
      <w:r w:rsidRPr="00227C31">
        <w:rPr>
          <w:rFonts w:ascii="Times New Roman" w:hAnsi="Times New Roman" w:cs="Times New Roman"/>
        </w:rPr>
        <w:t xml:space="preserve"> water and </w:t>
      </w:r>
      <w:r w:rsidRPr="00227C31">
        <w:rPr>
          <w:rFonts w:ascii="Times New Roman" w:hAnsi="Times New Roman" w:cs="Times New Roman"/>
          <w:b/>
          <w:bCs/>
        </w:rPr>
        <w:t>C</w:t>
      </w:r>
      <w:r w:rsidRPr="00227C31">
        <w:rPr>
          <w:rFonts w:ascii="Times New Roman" w:hAnsi="Times New Roman" w:cs="Times New Roman"/>
        </w:rPr>
        <w:t xml:space="preserve"> total liquid consumption 1 hour following an acute cocaine or saline administration. </w:t>
      </w:r>
      <w:r w:rsidRPr="00227C31">
        <w:rPr>
          <w:rFonts w:ascii="Times New Roman" w:hAnsi="Times New Roman" w:cs="Times New Roman"/>
          <w:b/>
          <w:bCs/>
        </w:rPr>
        <w:t>D</w:t>
      </w:r>
      <w:r w:rsidRPr="00227C31">
        <w:rPr>
          <w:rFonts w:ascii="Times New Roman" w:hAnsi="Times New Roman" w:cs="Times New Roman"/>
        </w:rPr>
        <w:t xml:space="preserve"> Saccharine, </w:t>
      </w:r>
      <w:r w:rsidRPr="00227C31">
        <w:rPr>
          <w:rFonts w:ascii="Times New Roman" w:hAnsi="Times New Roman" w:cs="Times New Roman"/>
          <w:b/>
          <w:bCs/>
        </w:rPr>
        <w:t>E</w:t>
      </w:r>
      <w:r w:rsidRPr="00227C31">
        <w:rPr>
          <w:rFonts w:ascii="Times New Roman" w:hAnsi="Times New Roman" w:cs="Times New Roman"/>
        </w:rPr>
        <w:t xml:space="preserve"> water and </w:t>
      </w:r>
      <w:r w:rsidRPr="00227C31">
        <w:rPr>
          <w:rFonts w:ascii="Times New Roman" w:hAnsi="Times New Roman" w:cs="Times New Roman"/>
          <w:b/>
          <w:bCs/>
        </w:rPr>
        <w:t>F</w:t>
      </w:r>
      <w:r w:rsidRPr="00227C31">
        <w:rPr>
          <w:rFonts w:ascii="Times New Roman" w:hAnsi="Times New Roman" w:cs="Times New Roman"/>
        </w:rPr>
        <w:t xml:space="preserve"> total liquid consumption 24 hours following an acute cocaine or saline administration. Student’s </w:t>
      </w:r>
      <w:r w:rsidRPr="00227C31">
        <w:rPr>
          <w:rFonts w:ascii="Times New Roman" w:hAnsi="Times New Roman" w:cs="Times New Roman"/>
          <w:i/>
          <w:iCs/>
        </w:rPr>
        <w:t>t</w:t>
      </w:r>
      <w:r w:rsidRPr="00227C31">
        <w:rPr>
          <w:rFonts w:ascii="Times New Roman" w:hAnsi="Times New Roman" w:cs="Times New Roman"/>
        </w:rPr>
        <w:t xml:space="preserve"> test.</w:t>
      </w:r>
    </w:p>
    <w:p w14:paraId="6864E82C" w14:textId="77777777" w:rsidR="00652424" w:rsidRPr="004606C1" w:rsidRDefault="00652424" w:rsidP="00652424">
      <w:pPr>
        <w:spacing w:line="360" w:lineRule="auto"/>
        <w:jc w:val="both"/>
        <w:rPr>
          <w:rFonts w:ascii="Times New Roman" w:hAnsi="Times New Roman" w:cs="Times New Roman"/>
        </w:rPr>
      </w:pPr>
      <w:r w:rsidRPr="00227C31">
        <w:rPr>
          <w:rFonts w:ascii="Times New Roman" w:hAnsi="Times New Roman" w:cs="Times New Roman"/>
          <w:b/>
          <w:bCs/>
        </w:rPr>
        <w:t xml:space="preserve">Supplementary Figure 2. Liquid consumption in the saccharin preference test following cocaine exposure and URB597 treatment. </w:t>
      </w:r>
      <w:r w:rsidRPr="00227C31">
        <w:rPr>
          <w:rFonts w:ascii="Times New Roman" w:hAnsi="Times New Roman" w:cs="Times New Roman"/>
        </w:rPr>
        <w:t xml:space="preserve">24 hours after cocaine or saline exposure, </w:t>
      </w:r>
      <w:r w:rsidRPr="00227C31">
        <w:rPr>
          <w:rFonts w:ascii="Times New Roman" w:hAnsi="Times New Roman" w:cs="Times New Roman"/>
          <w:b/>
          <w:bCs/>
        </w:rPr>
        <w:t>A</w:t>
      </w:r>
      <w:r w:rsidRPr="00227C31">
        <w:rPr>
          <w:rFonts w:ascii="Times New Roman" w:hAnsi="Times New Roman" w:cs="Times New Roman"/>
        </w:rPr>
        <w:t xml:space="preserve"> Saccharine, </w:t>
      </w:r>
      <w:r w:rsidRPr="00227C31">
        <w:rPr>
          <w:rFonts w:ascii="Times New Roman" w:hAnsi="Times New Roman" w:cs="Times New Roman"/>
          <w:b/>
          <w:bCs/>
        </w:rPr>
        <w:t>B</w:t>
      </w:r>
      <w:r w:rsidRPr="00227C31">
        <w:rPr>
          <w:rFonts w:ascii="Times New Roman" w:hAnsi="Times New Roman" w:cs="Times New Roman"/>
        </w:rPr>
        <w:t xml:space="preserve"> water and </w:t>
      </w:r>
      <w:r w:rsidRPr="00227C31">
        <w:rPr>
          <w:rFonts w:ascii="Times New Roman" w:hAnsi="Times New Roman" w:cs="Times New Roman"/>
          <w:b/>
          <w:bCs/>
        </w:rPr>
        <w:t>C</w:t>
      </w:r>
      <w:r w:rsidRPr="00227C31">
        <w:rPr>
          <w:rFonts w:ascii="Times New Roman" w:hAnsi="Times New Roman" w:cs="Times New Roman"/>
        </w:rPr>
        <w:t xml:space="preserve"> total liquid consumption 1 hour following URB597 or vehicle treatment. 24 hours after cocaine or saline exposure, </w:t>
      </w:r>
      <w:r w:rsidRPr="00227C31">
        <w:rPr>
          <w:rFonts w:ascii="Times New Roman" w:hAnsi="Times New Roman" w:cs="Times New Roman"/>
          <w:b/>
          <w:bCs/>
        </w:rPr>
        <w:t>D</w:t>
      </w:r>
      <w:r w:rsidRPr="00227C31">
        <w:rPr>
          <w:rFonts w:ascii="Times New Roman" w:hAnsi="Times New Roman" w:cs="Times New Roman"/>
        </w:rPr>
        <w:t xml:space="preserve"> Saccharine, </w:t>
      </w:r>
      <w:r w:rsidRPr="00227C31">
        <w:rPr>
          <w:rFonts w:ascii="Times New Roman" w:hAnsi="Times New Roman" w:cs="Times New Roman"/>
          <w:b/>
          <w:bCs/>
        </w:rPr>
        <w:t>E</w:t>
      </w:r>
      <w:r w:rsidRPr="00227C31">
        <w:rPr>
          <w:rFonts w:ascii="Times New Roman" w:hAnsi="Times New Roman" w:cs="Times New Roman"/>
        </w:rPr>
        <w:t xml:space="preserve"> water and </w:t>
      </w:r>
      <w:r w:rsidRPr="00227C31">
        <w:rPr>
          <w:rFonts w:ascii="Times New Roman" w:hAnsi="Times New Roman" w:cs="Times New Roman"/>
          <w:b/>
          <w:bCs/>
        </w:rPr>
        <w:t>F</w:t>
      </w:r>
      <w:r w:rsidRPr="00227C31">
        <w:rPr>
          <w:rFonts w:ascii="Times New Roman" w:hAnsi="Times New Roman" w:cs="Times New Roman"/>
        </w:rPr>
        <w:t xml:space="preserve"> total liquid consumption 24 hours following URB597 or vehicle treatment. Two-way ANOVA.</w:t>
      </w:r>
      <w:bookmarkStart w:id="0" w:name="_GoBack"/>
      <w:bookmarkEnd w:id="0"/>
    </w:p>
    <w:p w14:paraId="02541DBC" w14:textId="77777777" w:rsidR="00D67C16" w:rsidRDefault="00D67C16"/>
    <w:sectPr w:rsidR="00D67C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424"/>
    <w:rsid w:val="00227C31"/>
    <w:rsid w:val="0034302C"/>
    <w:rsid w:val="00652424"/>
    <w:rsid w:val="00A179E4"/>
    <w:rsid w:val="00D67C16"/>
    <w:rsid w:val="00D7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A90B"/>
  <w15:chartTrackingRefBased/>
  <w15:docId w15:val="{C2713B97-B108-154F-B619-DAEC8626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424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VALVERDE GRANADOS</dc:creator>
  <cp:keywords/>
  <dc:description/>
  <cp:lastModifiedBy>Moses Rajan</cp:lastModifiedBy>
  <cp:revision>2</cp:revision>
  <dcterms:created xsi:type="dcterms:W3CDTF">2023-09-22T11:41:00Z</dcterms:created>
  <dcterms:modified xsi:type="dcterms:W3CDTF">2023-10-20T11:45:00Z</dcterms:modified>
</cp:coreProperties>
</file>