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8635" w14:textId="484ADC8B" w:rsidR="006A12C2" w:rsidRPr="006A12C2" w:rsidRDefault="006A12C2" w:rsidP="006A12C2">
      <w:pPr>
        <w:pStyle w:val="Heading1"/>
        <w:rPr>
          <w:color w:val="000000" w:themeColor="text1"/>
        </w:rPr>
      </w:pPr>
      <w:r w:rsidRPr="006A12C2">
        <w:rPr>
          <w:b/>
          <w:bCs/>
          <w:color w:val="000000" w:themeColor="text1"/>
        </w:rPr>
        <w:t>Supplementary Figures:</w:t>
      </w:r>
      <w:r w:rsidRPr="006A12C2">
        <w:rPr>
          <w:color w:val="000000" w:themeColor="text1"/>
        </w:rPr>
        <w:t xml:space="preserve"> </w:t>
      </w:r>
      <w:r w:rsidRPr="006A12C2">
        <w:rPr>
          <w:color w:val="000000" w:themeColor="text1"/>
        </w:rPr>
        <w:t xml:space="preserve">Cross-disease genetic and epigenetic architecture of the </w:t>
      </w:r>
      <w:r w:rsidRPr="006A12C2">
        <w:rPr>
          <w:i/>
          <w:iCs/>
          <w:color w:val="000000" w:themeColor="text1"/>
        </w:rPr>
        <w:t>MOBP</w:t>
      </w:r>
      <w:r w:rsidRPr="006A12C2">
        <w:rPr>
          <w:rFonts w:cs="Helvetica Neue"/>
          <w:i/>
          <w:iCs/>
          <w:color w:val="000000" w:themeColor="text1"/>
          <w:sz w:val="26"/>
          <w:szCs w:val="26"/>
        </w:rPr>
        <w:t xml:space="preserve"> </w:t>
      </w:r>
      <w:r w:rsidRPr="006A12C2">
        <w:rPr>
          <w:color w:val="000000" w:themeColor="text1"/>
        </w:rPr>
        <w:t xml:space="preserve">locus shows convergence in ALS-PSP </w:t>
      </w:r>
    </w:p>
    <w:p w14:paraId="4E6179B1" w14:textId="77777777" w:rsidR="006A12C2" w:rsidRPr="006A12C2" w:rsidRDefault="006A12C2" w:rsidP="006A12C2">
      <w:pPr>
        <w:rPr>
          <w:rFonts w:ascii="Helvetica" w:hAnsi="Helvetica"/>
          <w:color w:val="000000" w:themeColor="text1"/>
        </w:rPr>
      </w:pPr>
    </w:p>
    <w:p w14:paraId="0C865E5C" w14:textId="77777777" w:rsidR="006A12C2" w:rsidRPr="006A12C2" w:rsidRDefault="006A12C2" w:rsidP="006A12C2">
      <w:pPr>
        <w:spacing w:before="240" w:after="24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Katherine Fodder</w:t>
      </w:r>
      <w:r w:rsidRPr="006A12C2">
        <w:rPr>
          <w:rFonts w:ascii="Helvetica" w:eastAsia="Times New Roman" w:hAnsi="Helvetica" w:cs="Arial"/>
          <w:color w:val="000000" w:themeColor="text1"/>
          <w:kern w:val="0"/>
          <w:vertAlign w:val="superscript"/>
          <w:lang w:eastAsia="en-GB"/>
          <w14:ligatures w14:val="none"/>
        </w:rPr>
        <w:t>1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, Megha Murthy</w:t>
      </w:r>
      <w:r w:rsidRPr="006A12C2">
        <w:rPr>
          <w:rFonts w:ascii="Helvetica" w:eastAsia="Times New Roman" w:hAnsi="Helvetica" w:cs="Arial"/>
          <w:color w:val="000000" w:themeColor="text1"/>
          <w:kern w:val="0"/>
          <w:vertAlign w:val="superscript"/>
          <w:lang w:eastAsia="en-GB"/>
          <w14:ligatures w14:val="none"/>
        </w:rPr>
        <w:t>2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, Rohan de Silva</w:t>
      </w:r>
      <w:r w:rsidRPr="006A12C2">
        <w:rPr>
          <w:rFonts w:ascii="Helvetica" w:eastAsia="Times New Roman" w:hAnsi="Helvetica" w:cs="Arial"/>
          <w:color w:val="000000" w:themeColor="text1"/>
          <w:kern w:val="0"/>
          <w:vertAlign w:val="superscript"/>
          <w:lang w:eastAsia="en-GB"/>
          <w14:ligatures w14:val="none"/>
        </w:rPr>
        <w:t>2,3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, </w:t>
      </w:r>
      <w:proofErr w:type="spellStart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Towfique</w:t>
      </w:r>
      <w:proofErr w:type="spellEnd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 Raj</w:t>
      </w:r>
      <w:r w:rsidRPr="006A12C2">
        <w:rPr>
          <w:rFonts w:ascii="Helvetica" w:eastAsia="Times New Roman" w:hAnsi="Helvetica" w:cs="Arial"/>
          <w:color w:val="000000" w:themeColor="text1"/>
          <w:kern w:val="0"/>
          <w:vertAlign w:val="superscript"/>
          <w:lang w:eastAsia="en-GB"/>
          <w14:ligatures w14:val="none"/>
        </w:rPr>
        <w:t>4,5,6,7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, Kurt Farrell</w:t>
      </w:r>
      <w:r w:rsidRPr="006A12C2">
        <w:rPr>
          <w:rFonts w:ascii="Helvetica" w:eastAsia="Times New Roman" w:hAnsi="Helvetica" w:cs="Arial"/>
          <w:color w:val="000000" w:themeColor="text1"/>
          <w:kern w:val="0"/>
          <w:vertAlign w:val="superscript"/>
          <w:lang w:eastAsia="en-GB"/>
          <w14:ligatures w14:val="none"/>
        </w:rPr>
        <w:t>5,6,7,8,9,10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, Jack Humphrey</w:t>
      </w:r>
      <w:r w:rsidRPr="006A12C2">
        <w:rPr>
          <w:rFonts w:ascii="Helvetica" w:eastAsia="Times New Roman" w:hAnsi="Helvetica" w:cs="Arial"/>
          <w:color w:val="000000" w:themeColor="text1"/>
          <w:kern w:val="0"/>
          <w:vertAlign w:val="superscript"/>
          <w:lang w:eastAsia="en-GB"/>
          <w14:ligatures w14:val="none"/>
        </w:rPr>
        <w:t>4,5,6,7</w:t>
      </w:r>
      <w:r w:rsidRPr="006A12C2">
        <w:rPr>
          <w:rFonts w:ascii="Helvetica" w:eastAsia="Times New Roman" w:hAnsi="Helvetica" w:cs="Arial"/>
          <w:b/>
          <w:bCs/>
          <w:color w:val="000000" w:themeColor="text1"/>
          <w:kern w:val="0"/>
          <w:vertAlign w:val="superscript"/>
          <w:lang w:eastAsia="en-GB"/>
          <w14:ligatures w14:val="none"/>
        </w:rPr>
        <w:t>*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 Conceição Bettencourt</w:t>
      </w:r>
      <w:r w:rsidRPr="006A12C2">
        <w:rPr>
          <w:rFonts w:ascii="Helvetica" w:eastAsia="Times New Roman" w:hAnsi="Helvetica" w:cs="Arial"/>
          <w:color w:val="000000" w:themeColor="text1"/>
          <w:kern w:val="0"/>
          <w:vertAlign w:val="superscript"/>
          <w:lang w:eastAsia="en-GB"/>
          <w14:ligatures w14:val="none"/>
        </w:rPr>
        <w:t>1</w:t>
      </w:r>
      <w:r w:rsidRPr="006A12C2">
        <w:rPr>
          <w:rFonts w:ascii="Helvetica" w:eastAsia="Times New Roman" w:hAnsi="Helvetica" w:cs="Arial"/>
          <w:b/>
          <w:bCs/>
          <w:color w:val="000000" w:themeColor="text1"/>
          <w:kern w:val="0"/>
          <w:vertAlign w:val="superscript"/>
          <w:lang w:eastAsia="en-GB"/>
          <w14:ligatures w14:val="none"/>
        </w:rPr>
        <w:t>*</w:t>
      </w:r>
    </w:p>
    <w:p w14:paraId="19DEA7D8" w14:textId="77777777" w:rsidR="006A12C2" w:rsidRPr="006A12C2" w:rsidRDefault="006A12C2" w:rsidP="006A12C2">
      <w:pPr>
        <w:spacing w:before="240" w:after="24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1. Department of Neurodegenerative Disease, UCL Queen Square Institute of Neurology, London, UK</w:t>
      </w:r>
    </w:p>
    <w:p w14:paraId="0DD9DAB2" w14:textId="77777777" w:rsidR="006A12C2" w:rsidRPr="006A12C2" w:rsidRDefault="006A12C2" w:rsidP="006A12C2">
      <w:pPr>
        <w:spacing w:before="240" w:after="24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2. Department of Clinical and Movement Neurosciences, UCL Queen Square Institute of Neurology, London, UK</w:t>
      </w:r>
    </w:p>
    <w:p w14:paraId="79A78E3E" w14:textId="77777777" w:rsidR="006A12C2" w:rsidRPr="006A12C2" w:rsidRDefault="006A12C2" w:rsidP="006A12C2">
      <w:pPr>
        <w:spacing w:before="240" w:after="240" w:line="240" w:lineRule="auto"/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3. Reta Lila Weston Institute, UCL Queen Square Institute of Neurology, London, UK</w:t>
      </w:r>
    </w:p>
    <w:p w14:paraId="2C08C77A" w14:textId="77777777" w:rsidR="006A12C2" w:rsidRPr="006A12C2" w:rsidRDefault="006A12C2" w:rsidP="006A12C2">
      <w:pPr>
        <w:spacing w:before="240" w:after="24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4. Department of Genetics and Genomic Sciences, Icahn Genomics Institute, Estelle and Daniel </w:t>
      </w:r>
      <w:proofErr w:type="spellStart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Maggin</w:t>
      </w:r>
      <w:proofErr w:type="spellEnd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 Department of Neurology, Icahn School of Medicine at Mount Sinai, New York, NY, USA.</w:t>
      </w:r>
    </w:p>
    <w:p w14:paraId="67D95CD3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  <w:t xml:space="preserve">5. 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Nash Family Department of Neuroscience, Icahn School of Medicine at Mount Sinai, New York, NY, USA</w:t>
      </w:r>
    </w:p>
    <w:p w14:paraId="18CAEBC3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</w:pPr>
    </w:p>
    <w:p w14:paraId="3BC35AE7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6. Ronald M. Loeb </w:t>
      </w:r>
      <w:proofErr w:type="spellStart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Center</w:t>
      </w:r>
      <w:proofErr w:type="spellEnd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 for Alzheimer’s Disease, Icahn School of Medicine at Mount Sinai, New York, NY, USA</w:t>
      </w:r>
    </w:p>
    <w:p w14:paraId="50831932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</w:pPr>
    </w:p>
    <w:p w14:paraId="506A85BB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7. Friedman Brain Institute, Icahn School of Medicine at Mount Sinai, New York, NY, USA</w:t>
      </w:r>
    </w:p>
    <w:p w14:paraId="2199265C" w14:textId="77777777" w:rsidR="006A12C2" w:rsidRPr="006A12C2" w:rsidRDefault="006A12C2" w:rsidP="006A12C2">
      <w:pPr>
        <w:spacing w:before="240" w:after="24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8. Department of Pathology, Icahn School of Medicine at Mount Sinai, New York, NY, USA</w:t>
      </w:r>
    </w:p>
    <w:p w14:paraId="0B615F95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9. Department of Artificial Intelligence &amp; Human Health, Icahn School of Medicine at Mount Sinai, New York, NY, USA</w:t>
      </w:r>
    </w:p>
    <w:p w14:paraId="319C8789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10. Neuropathology Brain Bank &amp; Research </w:t>
      </w:r>
      <w:proofErr w:type="spellStart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CoRE</w:t>
      </w:r>
      <w:proofErr w:type="spellEnd"/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, Icahn School of Medicine at Mount Sinai, New York, NY, USA</w:t>
      </w:r>
    </w:p>
    <w:p w14:paraId="5D085348" w14:textId="77777777" w:rsidR="006A12C2" w:rsidRPr="006A12C2" w:rsidRDefault="006A12C2" w:rsidP="006A12C2">
      <w:pPr>
        <w:spacing w:after="0" w:line="24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</w:p>
    <w:p w14:paraId="236FDA0F" w14:textId="77777777" w:rsidR="006A12C2" w:rsidRPr="006A12C2" w:rsidRDefault="006A12C2" w:rsidP="006A12C2">
      <w:pPr>
        <w:spacing w:before="240" w:after="240" w:line="36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*Corresponding Authors: </w:t>
      </w:r>
    </w:p>
    <w:p w14:paraId="150D3051" w14:textId="77777777" w:rsidR="006A12C2" w:rsidRPr="006A12C2" w:rsidRDefault="006A12C2" w:rsidP="006A12C2">
      <w:pPr>
        <w:spacing w:before="240" w:after="240" w:line="36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Jack Humphrey, PhD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  <w:t>Icahn School of Medicine at Mount Sinai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  <w:t>1 Gustave Levy Plaza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lastRenderedPageBreak/>
        <w:t>New York 10029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</w:r>
      <w:hyperlink r:id="rId4" w:history="1">
        <w:r w:rsidRPr="006A12C2">
          <w:rPr>
            <w:rFonts w:ascii="Helvetica" w:eastAsia="Times New Roman" w:hAnsi="Helvetica" w:cs="Arial"/>
            <w:color w:val="000000" w:themeColor="text1"/>
            <w:kern w:val="0"/>
            <w:u w:val="single"/>
            <w:lang w:eastAsia="en-GB"/>
            <w14:ligatures w14:val="none"/>
          </w:rPr>
          <w:t>jack.humphrey@mssm.edu</w:t>
        </w:r>
      </w:hyperlink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> </w:t>
      </w:r>
    </w:p>
    <w:p w14:paraId="3603561D" w14:textId="77777777" w:rsidR="006A12C2" w:rsidRPr="006A12C2" w:rsidRDefault="006A12C2" w:rsidP="006A12C2">
      <w:pPr>
        <w:spacing w:before="240" w:after="240" w:line="360" w:lineRule="auto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t xml:space="preserve">Conceição Bettencourt, PhD 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  <w:t xml:space="preserve">Department of Neurodegenerative Disease 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  <w:t>UCL Queen Square Institute of Neurology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  <w:t xml:space="preserve">1 Wakefield Street 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  <w:t xml:space="preserve">London WC1N 1PJ 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  <w:t xml:space="preserve">United Kingdom </w:t>
      </w:r>
      <w:r w:rsidRPr="006A12C2">
        <w:rPr>
          <w:rFonts w:ascii="Helvetica" w:eastAsia="Times New Roman" w:hAnsi="Helvetica" w:cs="Arial"/>
          <w:color w:val="000000" w:themeColor="text1"/>
          <w:kern w:val="0"/>
          <w:lang w:eastAsia="en-GB"/>
          <w14:ligatures w14:val="none"/>
        </w:rPr>
        <w:br/>
      </w:r>
      <w:hyperlink r:id="rId5" w:history="1">
        <w:r w:rsidRPr="006A12C2">
          <w:rPr>
            <w:rFonts w:ascii="Helvetica" w:eastAsia="Times New Roman" w:hAnsi="Helvetica" w:cs="Arial"/>
            <w:color w:val="000000" w:themeColor="text1"/>
            <w:kern w:val="0"/>
            <w:u w:val="single"/>
            <w:lang w:eastAsia="en-GB"/>
            <w14:ligatures w14:val="none"/>
          </w:rPr>
          <w:t>c.be</w:t>
        </w:r>
        <w:r w:rsidRPr="006A12C2">
          <w:rPr>
            <w:rFonts w:ascii="Helvetica" w:eastAsia="Times New Roman" w:hAnsi="Helvetica" w:cs="Arial"/>
            <w:color w:val="000000" w:themeColor="text1"/>
            <w:kern w:val="0"/>
            <w:u w:val="single"/>
            <w:lang w:eastAsia="en-GB"/>
            <w14:ligatures w14:val="none"/>
          </w:rPr>
          <w:t>t</w:t>
        </w:r>
        <w:r w:rsidRPr="006A12C2">
          <w:rPr>
            <w:rFonts w:ascii="Helvetica" w:eastAsia="Times New Roman" w:hAnsi="Helvetica" w:cs="Arial"/>
            <w:color w:val="000000" w:themeColor="text1"/>
            <w:kern w:val="0"/>
            <w:u w:val="single"/>
            <w:lang w:eastAsia="en-GB"/>
            <w14:ligatures w14:val="none"/>
          </w:rPr>
          <w:t>tencourt@ucl.ac.uk</w:t>
        </w:r>
      </w:hyperlink>
    </w:p>
    <w:p w14:paraId="646A627A" w14:textId="77777777" w:rsidR="006A12C2" w:rsidRPr="006A12C2" w:rsidRDefault="006A12C2" w:rsidP="006A12C2">
      <w:pPr>
        <w:spacing w:after="0" w:line="360" w:lineRule="auto"/>
        <w:ind w:left="-1134" w:right="-1039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</w:p>
    <w:p w14:paraId="3F640FBC" w14:textId="77777777" w:rsidR="006A12C2" w:rsidRPr="006A12C2" w:rsidRDefault="006A12C2" w:rsidP="006A12C2">
      <w:pPr>
        <w:spacing w:after="0" w:line="360" w:lineRule="auto"/>
        <w:ind w:left="-1134" w:right="-1039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</w:p>
    <w:p w14:paraId="647A7127" w14:textId="77777777" w:rsidR="006A12C2" w:rsidRPr="006A12C2" w:rsidRDefault="006A12C2" w:rsidP="006A12C2">
      <w:pPr>
        <w:spacing w:after="0" w:line="360" w:lineRule="auto"/>
        <w:ind w:left="-1134" w:right="-1039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</w:p>
    <w:p w14:paraId="543A4EB4" w14:textId="77777777" w:rsidR="006A12C2" w:rsidRPr="006A12C2" w:rsidRDefault="006A12C2" w:rsidP="006A12C2">
      <w:pPr>
        <w:spacing w:after="0" w:line="360" w:lineRule="auto"/>
        <w:ind w:left="-1134" w:right="-1039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</w:p>
    <w:p w14:paraId="408A5620" w14:textId="77777777" w:rsidR="006A12C2" w:rsidRPr="006A12C2" w:rsidRDefault="006A12C2" w:rsidP="006A12C2">
      <w:pPr>
        <w:spacing w:after="0" w:line="360" w:lineRule="auto"/>
        <w:ind w:left="-1134" w:right="-1039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</w:p>
    <w:p w14:paraId="051BB52F" w14:textId="77777777" w:rsidR="006A12C2" w:rsidRPr="006A12C2" w:rsidRDefault="006A12C2" w:rsidP="006A12C2">
      <w:pPr>
        <w:spacing w:after="0" w:line="360" w:lineRule="auto"/>
        <w:ind w:left="-1134" w:right="-1039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</w:p>
    <w:p w14:paraId="18FCB7EE" w14:textId="1616D5FB" w:rsidR="006A12C2" w:rsidRPr="006A12C2" w:rsidRDefault="006A12C2" w:rsidP="006A12C2">
      <w:pPr>
        <w:spacing w:after="0" w:line="360" w:lineRule="auto"/>
        <w:ind w:left="-1134" w:right="-1039"/>
        <w:rPr>
          <w:rFonts w:ascii="Helvetica" w:eastAsia="Times New Roman" w:hAnsi="Helvetica" w:cs="Times New Roman"/>
          <w:color w:val="000000" w:themeColor="text1"/>
          <w:kern w:val="0"/>
          <w:lang w:eastAsia="en-GB"/>
          <w14:ligatures w14:val="none"/>
        </w:rPr>
      </w:pPr>
      <w:r w:rsidRPr="006A12C2">
        <w:rPr>
          <w:rFonts w:ascii="Helvetica" w:eastAsia="Times New Roman" w:hAnsi="Helvetica" w:cs="Times New Roman"/>
          <w:noProof/>
          <w:color w:val="000000" w:themeColor="text1"/>
          <w:kern w:val="0"/>
          <w:lang w:eastAsia="en-GB"/>
        </w:rPr>
        <w:lastRenderedPageBreak/>
        <w:drawing>
          <wp:inline distT="0" distB="0" distL="0" distR="0" wp14:anchorId="0CAC5978" wp14:editId="2E94A918">
            <wp:extent cx="7211005" cy="4500863"/>
            <wp:effectExtent l="0" t="0" r="3175" b="0"/>
            <wp:docPr id="8588007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800749" name="Picture 85880074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0" t="4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594" cy="4516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28D617" w14:textId="77777777" w:rsidR="006A12C2" w:rsidRPr="006A12C2" w:rsidRDefault="006A12C2" w:rsidP="006A12C2">
      <w:pPr>
        <w:spacing w:before="240" w:after="240" w:line="360" w:lineRule="auto"/>
        <w:rPr>
          <w:rFonts w:ascii="Helvetica" w:eastAsia="Times New Roman" w:hAnsi="Helvetica" w:cs="Arial"/>
          <w:b/>
          <w:bCs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b/>
          <w:bCs/>
          <w:color w:val="000000" w:themeColor="text1"/>
          <w:kern w:val="0"/>
          <w:lang w:eastAsia="en-GB"/>
          <w14:ligatures w14:val="none"/>
        </w:rPr>
        <w:t xml:space="preserve">Supplementary Fig. 1 | Genetic architecture and cross-disease </w:t>
      </w:r>
      <w:proofErr w:type="spellStart"/>
      <w:r w:rsidRPr="006A12C2">
        <w:rPr>
          <w:rFonts w:ascii="Helvetica" w:eastAsia="Times New Roman" w:hAnsi="Helvetica" w:cs="Arial"/>
          <w:b/>
          <w:bCs/>
          <w:color w:val="000000" w:themeColor="text1"/>
          <w:kern w:val="0"/>
          <w:lang w:eastAsia="en-GB"/>
          <w14:ligatures w14:val="none"/>
        </w:rPr>
        <w:t>colocalisation</w:t>
      </w:r>
      <w:proofErr w:type="spellEnd"/>
      <w:r w:rsidRPr="006A12C2">
        <w:rPr>
          <w:rFonts w:ascii="Helvetica" w:eastAsia="Times New Roman" w:hAnsi="Helvetica" w:cs="Arial"/>
          <w:b/>
          <w:bCs/>
          <w:color w:val="000000" w:themeColor="text1"/>
          <w:kern w:val="0"/>
          <w:lang w:eastAsia="en-GB"/>
          <w14:ligatures w14:val="none"/>
        </w:rPr>
        <w:t xml:space="preserve"> of the </w:t>
      </w:r>
      <w:r w:rsidRPr="006A12C2">
        <w:rPr>
          <w:rFonts w:ascii="Helvetica" w:eastAsia="Times New Roman" w:hAnsi="Helvetica" w:cs="Arial"/>
          <w:b/>
          <w:bCs/>
          <w:i/>
          <w:iCs/>
          <w:color w:val="000000" w:themeColor="text1"/>
          <w:kern w:val="0"/>
          <w:lang w:eastAsia="en-GB"/>
          <w14:ligatures w14:val="none"/>
        </w:rPr>
        <w:t>MOBP</w:t>
      </w:r>
      <w:r w:rsidRPr="006A12C2">
        <w:rPr>
          <w:rFonts w:ascii="Helvetica" w:eastAsia="Times New Roman" w:hAnsi="Helvetica" w:cs="Arial"/>
          <w:b/>
          <w:bCs/>
          <w:color w:val="000000" w:themeColor="text1"/>
          <w:kern w:val="0"/>
          <w:lang w:eastAsia="en-GB"/>
          <w14:ligatures w14:val="none"/>
        </w:rPr>
        <w:t xml:space="preserve"> locus across neurodegenerative diseases</w:t>
      </w:r>
      <w:r w:rsidRPr="006A12C2">
        <w:rPr>
          <w:rFonts w:ascii="Helvetica" w:eastAsia="Times New Roman" w:hAnsi="Helvetica" w:cs="Arial"/>
          <w:b/>
          <w:bCs/>
          <w:i/>
          <w:iCs/>
          <w:color w:val="000000" w:themeColor="text1"/>
          <w:kern w:val="0"/>
          <w:lang w:eastAsia="en-GB"/>
          <w14:ligatures w14:val="none"/>
        </w:rPr>
        <w:t>.</w:t>
      </w:r>
      <w:r w:rsidRPr="006A12C2">
        <w:rPr>
          <w:rFonts w:ascii="Helvetica" w:eastAsia="Times New Roman" w:hAnsi="Helvetica" w:cs="Arial"/>
          <w:b/>
          <w:bCs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</w:p>
    <w:p w14:paraId="63AA05C6" w14:textId="77777777" w:rsidR="006A12C2" w:rsidRPr="006A12C2" w:rsidRDefault="006A12C2" w:rsidP="006A12C2">
      <w:pPr>
        <w:spacing w:before="240" w:after="240" w:line="360" w:lineRule="auto"/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A) Regional Manhattan plots for AD, MSA, CJD, PD, ALS, PSP and </w:t>
      </w:r>
      <w:proofErr w:type="gramStart"/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>FTD  across</w:t>
      </w:r>
      <w:proofErr w:type="gramEnd"/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a ±1 Mb window around the </w:t>
      </w:r>
      <w:r w:rsidRPr="006A12C2">
        <w:rPr>
          <w:rFonts w:ascii="Helvetica" w:eastAsia="Times New Roman" w:hAnsi="Helvetica" w:cs="Arial"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MOBP </w:t>
      </w:r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>locus (chr3). Points represent single SNP associations, plotted as –log10(P). Red and orange dashed lines indicate genome-wide significance (P = 5×10</w:t>
      </w:r>
      <w:r w:rsidRPr="006A12C2">
        <w:rPr>
          <w:rFonts w:ascii="Helvetica" w:eastAsia="Times New Roman" w:hAnsi="Helvetica" w:cs="Cambria Math"/>
          <w:color w:val="000000" w:themeColor="text1"/>
          <w:kern w:val="0"/>
          <w:sz w:val="20"/>
          <w:szCs w:val="20"/>
          <w:lang w:eastAsia="en-GB"/>
          <w14:ligatures w14:val="none"/>
        </w:rPr>
        <w:t>⁻</w:t>
      </w:r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>⁸) and suggestive significance (P = 1×10</w:t>
      </w:r>
      <w:r w:rsidRPr="006A12C2">
        <w:rPr>
          <w:rFonts w:ascii="Helvetica" w:eastAsia="Times New Roman" w:hAnsi="Helvetica" w:cs="Cambria Math"/>
          <w:color w:val="000000" w:themeColor="text1"/>
          <w:kern w:val="0"/>
          <w:sz w:val="20"/>
          <w:szCs w:val="20"/>
          <w:lang w:eastAsia="en-GB"/>
          <w14:ligatures w14:val="none"/>
        </w:rPr>
        <w:t>⁻</w:t>
      </w:r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⁵), respectively. B) Pairwise correlation heatmap of GWAS –log10(P) values across the </w:t>
      </w:r>
      <w:r w:rsidRPr="006A12C2">
        <w:rPr>
          <w:rFonts w:ascii="Helvetica" w:eastAsia="Times New Roman" w:hAnsi="Helvetica" w:cs="Arial"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>MOBP</w:t>
      </w:r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region. C) COLOC.ABF posterior probability distribution for all pairwise GWAS comparisons at the MOBP locus. Bars show posterior probabilities for hypotheses H0–H4: H0 = neither trait associated; H1 = trait 1 only; H2 = trait 2 only; H3 = both traits associated but with distinct causal variants; H4 = both traits share a causal variant. C)  Zoomed association plots for PSP, ALS and FTD around the </w:t>
      </w:r>
      <w:r w:rsidRPr="006A12C2">
        <w:rPr>
          <w:rFonts w:ascii="Helvetica" w:eastAsia="Times New Roman" w:hAnsi="Helvetica" w:cs="Arial"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>MOBP</w:t>
      </w:r>
      <w:r w:rsidRPr="006A12C2">
        <w:rPr>
          <w:rFonts w:ascii="Helvetica" w:eastAsia="Times New Roman" w:hAnsi="Helvetica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peak, with SNPs coloured by their SNP-level posterior probability of belonging to the shared H4 component from COLOC.ABF (SNP.PP.H4). ALS, amyotrophic lateral sclerosis; PSP, progressive supranuclear palsy; FTD, frontotemporal dementia; AD, Alzheimer’s disease; MSA, multiple system atrophy; PD, Parkinson’s disease; CJD, </w:t>
      </w:r>
      <w:r w:rsidRPr="006A12C2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Creutzfeldt-Jakob disease; SNP, single-nucleotide polymorphism; PP, posterior probability. </w:t>
      </w:r>
    </w:p>
    <w:p w14:paraId="706AD670" w14:textId="77777777" w:rsidR="00E72786" w:rsidRPr="006A12C2" w:rsidRDefault="00E72786">
      <w:pPr>
        <w:rPr>
          <w:color w:val="000000" w:themeColor="text1"/>
        </w:rPr>
      </w:pPr>
    </w:p>
    <w:sectPr w:rsidR="00E72786" w:rsidRPr="006A1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C2"/>
    <w:rsid w:val="00297BC9"/>
    <w:rsid w:val="005174FB"/>
    <w:rsid w:val="006A12C2"/>
    <w:rsid w:val="007A77F0"/>
    <w:rsid w:val="00B807A9"/>
    <w:rsid w:val="00E72786"/>
    <w:rsid w:val="00EE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82722"/>
  <w15:chartTrackingRefBased/>
  <w15:docId w15:val="{7B0D9A06-B487-1B46-98C3-E6F10027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2C2"/>
  </w:style>
  <w:style w:type="paragraph" w:styleId="Heading1">
    <w:name w:val="heading 1"/>
    <w:basedOn w:val="Normal"/>
    <w:next w:val="Normal"/>
    <w:link w:val="Heading1Char"/>
    <w:uiPriority w:val="9"/>
    <w:qFormat/>
    <w:rsid w:val="006A1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2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2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1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2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2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2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2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2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2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2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2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2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2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2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2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c.bettencourt@ucl.ac.uk" TargetMode="External"/><Relationship Id="rId4" Type="http://schemas.openxmlformats.org/officeDocument/2006/relationships/hyperlink" Target="mailto:jack.humphrey@mssm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434</Words>
  <Characters>2682</Characters>
  <Application>Microsoft Office Word</Application>
  <DocSecurity>0</DocSecurity>
  <Lines>95</Lines>
  <Paragraphs>15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Fodder</dc:creator>
  <cp:keywords/>
  <dc:description/>
  <cp:lastModifiedBy>Kate Fodder</cp:lastModifiedBy>
  <cp:revision>1</cp:revision>
  <dcterms:created xsi:type="dcterms:W3CDTF">2026-03-24T18:14:00Z</dcterms:created>
  <dcterms:modified xsi:type="dcterms:W3CDTF">2026-03-24T18:17:00Z</dcterms:modified>
</cp:coreProperties>
</file>