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7C9AC" w14:textId="77777777" w:rsidR="0043402C" w:rsidRDefault="0043402C" w:rsidP="0043402C">
      <w:pPr>
        <w:tabs>
          <w:tab w:val="left" w:pos="360"/>
        </w:tabs>
        <w:spacing w:line="48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14:paraId="1FC09810" w14:textId="31572DC0" w:rsidR="0043402C" w:rsidRDefault="0043402C" w:rsidP="0043402C">
      <w:pPr>
        <w:tabs>
          <w:tab w:val="left" w:pos="360"/>
        </w:tabs>
        <w:spacing w:line="48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Supplemental Materials</w:t>
      </w:r>
      <w:r w:rsidR="007723FA">
        <w:rPr>
          <w:rFonts w:ascii="Times New Roman" w:hAnsi="Times New Roman" w:cs="Times New Roman"/>
          <w:b/>
          <w:sz w:val="24"/>
        </w:rPr>
        <w:t xml:space="preserve"> for</w:t>
      </w:r>
    </w:p>
    <w:p w14:paraId="5CA121E0" w14:textId="77777777" w:rsidR="007723FA" w:rsidRDefault="007723FA" w:rsidP="0043402C">
      <w:pPr>
        <w:tabs>
          <w:tab w:val="left" w:pos="360"/>
        </w:tabs>
        <w:spacing w:line="48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14:paraId="44FB1DFE" w14:textId="77777777" w:rsidR="007723FA" w:rsidRDefault="007723FA" w:rsidP="0043402C">
      <w:pPr>
        <w:tabs>
          <w:tab w:val="left" w:pos="360"/>
        </w:tabs>
        <w:spacing w:line="480" w:lineRule="auto"/>
        <w:jc w:val="center"/>
        <w:outlineLvl w:val="0"/>
        <w:rPr>
          <w:rFonts w:ascii="Times New Roman" w:hAnsi="Times New Roman" w:cs="Times New Roman"/>
          <w:b/>
          <w:sz w:val="24"/>
        </w:rPr>
      </w:pPr>
    </w:p>
    <w:p w14:paraId="6AD66F1C" w14:textId="77777777" w:rsidR="007723FA" w:rsidRPr="007723FA" w:rsidRDefault="007723FA" w:rsidP="007723FA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23FA">
        <w:rPr>
          <w:rFonts w:ascii="Times New Roman" w:hAnsi="Times New Roman" w:cs="Times New Roman"/>
          <w:b/>
          <w:sz w:val="28"/>
          <w:szCs w:val="28"/>
        </w:rPr>
        <w:t>Neural Effects of Positive and Negative Incentives during Cannabis Withdrawal</w:t>
      </w:r>
    </w:p>
    <w:p w14:paraId="00E00645" w14:textId="7FF04CFD" w:rsidR="007723FA" w:rsidRPr="00946240" w:rsidRDefault="007723FA" w:rsidP="00DD2CC5">
      <w:pPr>
        <w:tabs>
          <w:tab w:val="left" w:pos="8640"/>
        </w:tabs>
        <w:spacing w:line="480" w:lineRule="auto"/>
        <w:ind w:right="630"/>
        <w:jc w:val="center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Pr="00490535">
        <w:rPr>
          <w:rFonts w:ascii="Times New Roman" w:hAnsi="Times New Roman" w:cs="Times New Roman"/>
          <w:sz w:val="24"/>
        </w:rPr>
        <w:t>Francesca</w:t>
      </w:r>
      <w:r>
        <w:rPr>
          <w:rFonts w:ascii="Times New Roman" w:hAnsi="Times New Roman" w:cs="Times New Roman"/>
          <w:sz w:val="24"/>
        </w:rPr>
        <w:t xml:space="preserve"> M.</w:t>
      </w:r>
      <w:r w:rsidRPr="00490535">
        <w:rPr>
          <w:rFonts w:ascii="Times New Roman" w:hAnsi="Times New Roman" w:cs="Times New Roman"/>
          <w:sz w:val="24"/>
        </w:rPr>
        <w:t xml:space="preserve"> Filbey</w:t>
      </w:r>
      <w:r>
        <w:rPr>
          <w:rFonts w:ascii="Times New Roman" w:hAnsi="Times New Roman" w:cs="Times New Roman"/>
          <w:sz w:val="24"/>
        </w:rPr>
        <w:t>, PhD</w:t>
      </w:r>
      <w:r w:rsidRPr="00490535">
        <w:rPr>
          <w:rFonts w:ascii="Times New Roman" w:hAnsi="Times New Roman" w:cs="Times New Roman"/>
          <w:sz w:val="24"/>
        </w:rPr>
        <w:t>, Joseph Dunlop</w:t>
      </w:r>
      <w:r>
        <w:rPr>
          <w:rFonts w:ascii="Times New Roman" w:hAnsi="Times New Roman" w:cs="Times New Roman"/>
          <w:sz w:val="24"/>
        </w:rPr>
        <w:t>, MS, BA</w:t>
      </w:r>
      <w:r w:rsidRPr="00490535">
        <w:rPr>
          <w:rFonts w:ascii="Times New Roman" w:hAnsi="Times New Roman" w:cs="Times New Roman"/>
          <w:sz w:val="24"/>
        </w:rPr>
        <w:t xml:space="preserve">, </w:t>
      </w:r>
      <w:r w:rsidR="00DD2CC5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>Ursula S. Myers, BA</w:t>
      </w:r>
      <w:r w:rsidR="00946240">
        <w:rPr>
          <w:rFonts w:ascii="Times New Roman" w:hAnsi="Times New Roman" w:cs="Times New Roman"/>
          <w:sz w:val="24"/>
        </w:rPr>
        <w:t>,</w:t>
      </w:r>
    </w:p>
    <w:p w14:paraId="3A9669B7" w14:textId="6F323388" w:rsidR="007723FA" w:rsidRDefault="007723FA">
      <w:pPr>
        <w:rPr>
          <w:rFonts w:ascii="Times New Roman" w:hAnsi="Times New Roman" w:cs="Times New Roman"/>
          <w:b/>
          <w:sz w:val="24"/>
        </w:rPr>
      </w:pPr>
    </w:p>
    <w:p w14:paraId="5268A0B3" w14:textId="77777777" w:rsidR="007723FA" w:rsidRDefault="007723F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3ABCC203" w14:textId="73EFD26D" w:rsidR="00564CDF" w:rsidRPr="007723FA" w:rsidRDefault="0043402C" w:rsidP="007723FA">
      <w:pPr>
        <w:tabs>
          <w:tab w:val="left" w:pos="72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723FA">
        <w:rPr>
          <w:rFonts w:ascii="Times New Roman" w:hAnsi="Times New Roman" w:cs="Times New Roman"/>
          <w:b/>
          <w:sz w:val="24"/>
        </w:rPr>
        <w:lastRenderedPageBreak/>
        <w:t xml:space="preserve">Effects of incentive magnitude.  </w:t>
      </w:r>
    </w:p>
    <w:p w14:paraId="5A49B110" w14:textId="0C43B485" w:rsidR="007723FA" w:rsidRDefault="00480391" w:rsidP="00564CDF">
      <w:pPr>
        <w:tabs>
          <w:tab w:val="left" w:pos="720"/>
        </w:tabs>
        <w:spacing w:line="480" w:lineRule="auto"/>
        <w:rPr>
          <w:rFonts w:ascii="Times New Roman" w:hAnsi="Times New Roman" w:cs="Times New Roman"/>
          <w:sz w:val="24"/>
        </w:rPr>
      </w:pPr>
      <w:r w:rsidRPr="007723FA">
        <w:rPr>
          <w:rFonts w:ascii="Times New Roman" w:hAnsi="Times New Roman" w:cs="Times New Roman"/>
          <w:sz w:val="24"/>
        </w:rPr>
        <w:tab/>
      </w:r>
      <w:r w:rsidR="0043402C" w:rsidRPr="007723FA">
        <w:rPr>
          <w:rFonts w:ascii="Times New Roman" w:hAnsi="Times New Roman" w:cs="Times New Roman"/>
          <w:sz w:val="24"/>
        </w:rPr>
        <w:t>A partially repeated measures ANOVA for RT with type of incentive (GAIN, LOSS) and level of incentive ($5, $1, $0.20) repeated, found no effect of incentive magnitude on response time (</w:t>
      </w:r>
      <w:r w:rsidR="0043402C" w:rsidRPr="007723FA">
        <w:rPr>
          <w:rFonts w:ascii="Times New Roman" w:hAnsi="Times New Roman" w:cs="Times New Roman"/>
          <w:i/>
          <w:sz w:val="24"/>
        </w:rPr>
        <w:t xml:space="preserve">F </w:t>
      </w:r>
      <w:r w:rsidR="0043402C" w:rsidRPr="007723FA">
        <w:rPr>
          <w:rFonts w:ascii="Times New Roman" w:hAnsi="Times New Roman" w:cs="Times New Roman"/>
          <w:sz w:val="24"/>
        </w:rPr>
        <w:t xml:space="preserve">(2, 166)= 0.46, MSE=148.8 </w:t>
      </w:r>
      <w:r w:rsidR="0043402C" w:rsidRPr="007723FA">
        <w:rPr>
          <w:rFonts w:ascii="Times New Roman" w:hAnsi="Times New Roman" w:cs="Times New Roman"/>
          <w:i/>
          <w:sz w:val="24"/>
        </w:rPr>
        <w:t>p</w:t>
      </w:r>
      <w:r w:rsidR="0043402C" w:rsidRPr="007723FA">
        <w:rPr>
          <w:rFonts w:ascii="Times New Roman" w:hAnsi="Times New Roman" w:cs="Times New Roman"/>
          <w:sz w:val="24"/>
        </w:rPr>
        <w:t>=0.6322), but did find a significant higher order interaction between incentive magnitude, group, and type of incentive; in the MJ group at the $5 incentive level, RT was faster for GAIN trials (M= 207.3) than in LOSS trials (M = 221.5) (</w:t>
      </w:r>
      <w:r w:rsidR="0043402C" w:rsidRPr="007723FA">
        <w:rPr>
          <w:rFonts w:ascii="Times New Roman" w:hAnsi="Times New Roman" w:cs="Times New Roman"/>
          <w:i/>
          <w:sz w:val="24"/>
        </w:rPr>
        <w:t xml:space="preserve">F </w:t>
      </w:r>
      <w:r w:rsidR="0043402C" w:rsidRPr="007723FA">
        <w:rPr>
          <w:rFonts w:ascii="Times New Roman" w:hAnsi="Times New Roman" w:cs="Times New Roman"/>
          <w:sz w:val="24"/>
        </w:rPr>
        <w:t xml:space="preserve">(2, 166)= 15.84, MSE=178.1, </w:t>
      </w:r>
      <w:r w:rsidR="0043402C" w:rsidRPr="007723FA">
        <w:rPr>
          <w:rFonts w:ascii="Times New Roman" w:hAnsi="Times New Roman" w:cs="Times New Roman"/>
          <w:i/>
          <w:sz w:val="24"/>
        </w:rPr>
        <w:t>p</w:t>
      </w:r>
      <w:r w:rsidR="0043402C" w:rsidRPr="007723FA">
        <w:rPr>
          <w:rFonts w:ascii="Times New Roman" w:hAnsi="Times New Roman" w:cs="Times New Roman"/>
          <w:sz w:val="24"/>
        </w:rPr>
        <w:t>&lt;0.001).  The table below lists the peak regions of activation for the controls (CON) during the high magnitude trials (i.e., $5.00)</w:t>
      </w:r>
      <w:r w:rsidR="002947A1">
        <w:rPr>
          <w:rFonts w:ascii="Times New Roman" w:hAnsi="Times New Roman" w:cs="Times New Roman"/>
          <w:sz w:val="24"/>
        </w:rPr>
        <w:t xml:space="preserve"> </w:t>
      </w:r>
      <w:r w:rsidR="002947A1" w:rsidRPr="00490535">
        <w:rPr>
          <w:rFonts w:ascii="Times New Roman" w:hAnsi="Times New Roman" w:cs="Times New Roman"/>
          <w:sz w:val="24"/>
        </w:rPr>
        <w:t xml:space="preserve">(cluster-corrected </w:t>
      </w:r>
      <w:r w:rsidR="002947A1" w:rsidRPr="002448FB">
        <w:rPr>
          <w:rFonts w:ascii="Times New Roman" w:hAnsi="Times New Roman" w:cs="Times New Roman"/>
          <w:i/>
          <w:sz w:val="24"/>
        </w:rPr>
        <w:t>p</w:t>
      </w:r>
      <w:r w:rsidR="002947A1" w:rsidRPr="00490535">
        <w:rPr>
          <w:rFonts w:ascii="Times New Roman" w:hAnsi="Times New Roman" w:cs="Times New Roman"/>
          <w:sz w:val="24"/>
        </w:rPr>
        <w:t xml:space="preserve">&lt;.05, </w:t>
      </w:r>
      <w:r w:rsidR="002947A1" w:rsidRPr="00B53D9B">
        <w:rPr>
          <w:rFonts w:ascii="Times New Roman" w:hAnsi="Times New Roman" w:cs="Times New Roman"/>
          <w:i/>
          <w:sz w:val="24"/>
        </w:rPr>
        <w:t>z</w:t>
      </w:r>
      <w:r w:rsidR="002947A1" w:rsidRPr="00490535">
        <w:rPr>
          <w:rFonts w:ascii="Times New Roman" w:hAnsi="Times New Roman" w:cs="Times New Roman"/>
          <w:sz w:val="24"/>
        </w:rPr>
        <w:t>=</w:t>
      </w:r>
      <w:r w:rsidR="002947A1">
        <w:rPr>
          <w:rFonts w:ascii="Times New Roman" w:hAnsi="Times New Roman" w:cs="Times New Roman"/>
          <w:sz w:val="24"/>
        </w:rPr>
        <w:t>2.3</w:t>
      </w:r>
      <w:r w:rsidR="002947A1" w:rsidRPr="00490535">
        <w:rPr>
          <w:rFonts w:ascii="Times New Roman" w:hAnsi="Times New Roman" w:cs="Times New Roman"/>
          <w:sz w:val="24"/>
        </w:rPr>
        <w:t>)</w:t>
      </w:r>
      <w:r w:rsidR="0043402C" w:rsidRPr="007723FA">
        <w:rPr>
          <w:rFonts w:ascii="Times New Roman" w:hAnsi="Times New Roman" w:cs="Times New Roman"/>
          <w:sz w:val="24"/>
        </w:rPr>
        <w:t xml:space="preserve">.   </w:t>
      </w:r>
    </w:p>
    <w:tbl>
      <w:tblPr>
        <w:tblW w:w="8208" w:type="dxa"/>
        <w:jc w:val="center"/>
        <w:tblLayout w:type="fixed"/>
        <w:tblLook w:val="0000" w:firstRow="0" w:lastRow="0" w:firstColumn="0" w:lastColumn="0" w:noHBand="0" w:noVBand="0"/>
      </w:tblPr>
      <w:tblGrid>
        <w:gridCol w:w="796"/>
        <w:gridCol w:w="556"/>
        <w:gridCol w:w="656"/>
        <w:gridCol w:w="556"/>
        <w:gridCol w:w="3244"/>
        <w:gridCol w:w="2400"/>
      </w:tblGrid>
      <w:tr w:rsidR="007723FA" w14:paraId="0D704CE6" w14:textId="77777777" w:rsidTr="004369D4">
        <w:trPr>
          <w:jc w:val="center"/>
        </w:trPr>
        <w:tc>
          <w:tcPr>
            <w:tcW w:w="8208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1A8BC1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i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i/>
                <w:sz w:val="24"/>
              </w:rPr>
              <w:t>GAIN vs. NEUTRAL (cluster size = 40,759)</w:t>
            </w:r>
          </w:p>
        </w:tc>
      </w:tr>
      <w:tr w:rsidR="007723FA" w14:paraId="2A340509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842C89B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Z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516ACDD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x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1F269DB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y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D3F303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z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D1EAF0E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Localization</w:t>
            </w:r>
          </w:p>
        </w:tc>
        <w:tc>
          <w:tcPr>
            <w:tcW w:w="2400" w:type="dxa"/>
          </w:tcPr>
          <w:p w14:paraId="6D2E7464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BA</w:t>
            </w:r>
          </w:p>
        </w:tc>
      </w:tr>
      <w:tr w:rsidR="007723FA" w14:paraId="56C7E9C8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8B1E28B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4.71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4CB1C8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-56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4D23D7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-26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64D54F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24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1580840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L inferior parietal lobe</w:t>
            </w:r>
          </w:p>
        </w:tc>
        <w:tc>
          <w:tcPr>
            <w:tcW w:w="2400" w:type="dxa"/>
          </w:tcPr>
          <w:p w14:paraId="79413CD6" w14:textId="77777777" w:rsidR="007723FA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40</w:t>
            </w:r>
          </w:p>
        </w:tc>
      </w:tr>
      <w:tr w:rsidR="007723FA" w14:paraId="0C215E32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E608A3A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4.52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8A3B47A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10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B4F8B41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12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59E1BC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0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D9C48C7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R lentiform nucleus</w:t>
            </w:r>
          </w:p>
        </w:tc>
        <w:tc>
          <w:tcPr>
            <w:tcW w:w="2400" w:type="dxa"/>
          </w:tcPr>
          <w:p w14:paraId="6FA0EFEE" w14:textId="77777777" w:rsidR="007723FA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-</w:t>
            </w:r>
          </w:p>
        </w:tc>
      </w:tr>
      <w:tr w:rsidR="007723FA" w14:paraId="2015AD8B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7276AD2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4.45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E39DF2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-56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D3254C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-28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EEC057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16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F9A09D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L superior temporal gyrus</w:t>
            </w:r>
          </w:p>
        </w:tc>
        <w:tc>
          <w:tcPr>
            <w:tcW w:w="2400" w:type="dxa"/>
          </w:tcPr>
          <w:p w14:paraId="3378104A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42</w:t>
            </w:r>
          </w:p>
        </w:tc>
      </w:tr>
      <w:tr w:rsidR="007723FA" w14:paraId="26A5FEA3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AAF6BF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4.27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6CE8F1E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20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D555362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-62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D6C9624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2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9C8BE1F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R lingual gyrus</w:t>
            </w:r>
          </w:p>
        </w:tc>
        <w:tc>
          <w:tcPr>
            <w:tcW w:w="2400" w:type="dxa"/>
          </w:tcPr>
          <w:p w14:paraId="753252F9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19</w:t>
            </w:r>
          </w:p>
        </w:tc>
      </w:tr>
      <w:tr w:rsidR="007723FA" w14:paraId="7F78A32E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9268782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4.15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6296D53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-12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E5406F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-2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9BBDDE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2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CFD7D2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L lentiform nucleus</w:t>
            </w:r>
          </w:p>
        </w:tc>
        <w:tc>
          <w:tcPr>
            <w:tcW w:w="2400" w:type="dxa"/>
          </w:tcPr>
          <w:p w14:paraId="65977BE3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-</w:t>
            </w:r>
          </w:p>
        </w:tc>
      </w:tr>
      <w:tr w:rsidR="007723FA" w14:paraId="561C9A2A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19153E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4.04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750DD57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-18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482912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14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F5C88E8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 w:rsidRPr="00A74324">
              <w:rPr>
                <w:rFonts w:ascii="Times" w:eastAsiaTheme="minorEastAsia" w:hAnsi="Times" w:cs="Times"/>
                <w:bCs/>
                <w:sz w:val="24"/>
              </w:rPr>
              <w:t>-4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FCFF4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L putamen</w:t>
            </w:r>
          </w:p>
        </w:tc>
        <w:tc>
          <w:tcPr>
            <w:tcW w:w="2400" w:type="dxa"/>
          </w:tcPr>
          <w:p w14:paraId="13DB10B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Cs/>
                <w:sz w:val="24"/>
              </w:rPr>
            </w:pPr>
            <w:r>
              <w:rPr>
                <w:rFonts w:ascii="Times" w:eastAsiaTheme="minorEastAsia" w:hAnsi="Times" w:cs="Times"/>
                <w:bCs/>
                <w:sz w:val="24"/>
              </w:rPr>
              <w:t>-</w:t>
            </w:r>
          </w:p>
        </w:tc>
      </w:tr>
      <w:tr w:rsidR="007723FA" w:rsidRPr="00A74324" w14:paraId="6790386D" w14:textId="77777777" w:rsidTr="004369D4">
        <w:trPr>
          <w:jc w:val="center"/>
        </w:trPr>
        <w:tc>
          <w:tcPr>
            <w:tcW w:w="8208" w:type="dxa"/>
            <w:gridSpan w:val="6"/>
            <w:shd w:val="clear" w:color="auto" w:fill="D9D9D9" w:themeFill="background1" w:themeFillShade="D9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530FC2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bCs/>
                <w:i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i/>
                <w:sz w:val="24"/>
              </w:rPr>
              <w:t>LOSS vs NEUTRAL (cluster size</w:t>
            </w:r>
            <w:r>
              <w:rPr>
                <w:rFonts w:ascii="Times" w:eastAsiaTheme="minorEastAsia" w:hAnsi="Times" w:cs="Times"/>
                <w:b/>
                <w:bCs/>
                <w:i/>
                <w:sz w:val="24"/>
              </w:rPr>
              <w:t xml:space="preserve"> </w:t>
            </w:r>
            <w:r w:rsidRPr="00D86DFD">
              <w:rPr>
                <w:rFonts w:ascii="Times" w:eastAsiaTheme="minorEastAsia" w:hAnsi="Times" w:cs="Times"/>
                <w:b/>
                <w:bCs/>
                <w:i/>
                <w:sz w:val="24"/>
              </w:rPr>
              <w:t>=</w:t>
            </w:r>
            <w:r>
              <w:rPr>
                <w:rFonts w:ascii="Times" w:eastAsiaTheme="minorEastAsia" w:hAnsi="Times" w:cs="Times"/>
                <w:b/>
                <w:bCs/>
                <w:i/>
                <w:sz w:val="24"/>
              </w:rPr>
              <w:t xml:space="preserve"> </w:t>
            </w:r>
            <w:r w:rsidRPr="00D86DFD">
              <w:rPr>
                <w:rFonts w:ascii="Times" w:eastAsiaTheme="minorEastAsia" w:hAnsi="Times" w:cs="Times"/>
                <w:b/>
                <w:bCs/>
                <w:i/>
                <w:sz w:val="24"/>
              </w:rPr>
              <w:t>16,257 voxels)</w:t>
            </w:r>
          </w:p>
        </w:tc>
      </w:tr>
      <w:tr w:rsidR="007723FA" w:rsidRPr="00A74324" w14:paraId="5AED4AD4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D19B38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Z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E3C8337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x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82C6F2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y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E171651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z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6C00A8D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Localization</w:t>
            </w:r>
          </w:p>
        </w:tc>
        <w:tc>
          <w:tcPr>
            <w:tcW w:w="2400" w:type="dxa"/>
          </w:tcPr>
          <w:p w14:paraId="20619712" w14:textId="77777777" w:rsidR="007723FA" w:rsidRPr="00D86DFD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b/>
                <w:sz w:val="24"/>
              </w:rPr>
            </w:pPr>
            <w:r w:rsidRPr="00D86DFD">
              <w:rPr>
                <w:rFonts w:ascii="Times" w:eastAsiaTheme="minorEastAsia" w:hAnsi="Times" w:cs="Times"/>
                <w:b/>
                <w:bCs/>
                <w:sz w:val="24"/>
              </w:rPr>
              <w:t>BA</w:t>
            </w:r>
          </w:p>
        </w:tc>
      </w:tr>
      <w:tr w:rsidR="007723FA" w:rsidRPr="00A74324" w14:paraId="72090F70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5C972F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4.41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720BCB0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50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DF3AB3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-24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7FD344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46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7CC529B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R postcentral gyrus</w:t>
            </w:r>
          </w:p>
        </w:tc>
        <w:tc>
          <w:tcPr>
            <w:tcW w:w="2400" w:type="dxa"/>
          </w:tcPr>
          <w:p w14:paraId="4489B59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2</w:t>
            </w:r>
          </w:p>
        </w:tc>
      </w:tr>
      <w:tr w:rsidR="007723FA" w:rsidRPr="00A74324" w14:paraId="235A5397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A23FD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4.3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B78C4A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30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31CD318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-48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3DB21C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64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8AC8678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R superior parietal lobe</w:t>
            </w:r>
          </w:p>
        </w:tc>
        <w:tc>
          <w:tcPr>
            <w:tcW w:w="2400" w:type="dxa"/>
          </w:tcPr>
          <w:p w14:paraId="0DAF9100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7</w:t>
            </w:r>
          </w:p>
        </w:tc>
      </w:tr>
      <w:tr w:rsidR="007723FA" w:rsidRPr="00A74324" w14:paraId="7C978EA3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B45903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4.08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BB3979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52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7988B1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-6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21D74D6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0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F17EA0A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R superior temporal gyrus</w:t>
            </w:r>
          </w:p>
        </w:tc>
        <w:tc>
          <w:tcPr>
            <w:tcW w:w="2400" w:type="dxa"/>
          </w:tcPr>
          <w:p w14:paraId="337A7998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22</w:t>
            </w:r>
          </w:p>
        </w:tc>
      </w:tr>
      <w:tr w:rsidR="007723FA" w:rsidRPr="00A74324" w14:paraId="09848129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47FBE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4.04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D987E8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34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E3BBDB0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-40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4E8FA4D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60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8D7555B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R postcentral gyrus</w:t>
            </w:r>
          </w:p>
        </w:tc>
        <w:tc>
          <w:tcPr>
            <w:tcW w:w="2400" w:type="dxa"/>
          </w:tcPr>
          <w:p w14:paraId="57F267C9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5</w:t>
            </w:r>
          </w:p>
        </w:tc>
      </w:tr>
      <w:tr w:rsidR="007723FA" w:rsidRPr="00A74324" w14:paraId="4B8E5F63" w14:textId="77777777" w:rsidTr="004369D4">
        <w:trPr>
          <w:jc w:val="center"/>
        </w:trPr>
        <w:tc>
          <w:tcPr>
            <w:tcW w:w="79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B5BAE07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3.95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7301BDB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66</w:t>
            </w:r>
          </w:p>
        </w:tc>
        <w:tc>
          <w:tcPr>
            <w:tcW w:w="6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BA98E2E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-26</w:t>
            </w:r>
          </w:p>
        </w:tc>
        <w:tc>
          <w:tcPr>
            <w:tcW w:w="556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2C04A95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-4</w:t>
            </w:r>
          </w:p>
        </w:tc>
        <w:tc>
          <w:tcPr>
            <w:tcW w:w="3244" w:type="dxa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5FA2819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R middle temporal gyrus</w:t>
            </w:r>
          </w:p>
        </w:tc>
        <w:tc>
          <w:tcPr>
            <w:tcW w:w="2400" w:type="dxa"/>
          </w:tcPr>
          <w:p w14:paraId="58E1051F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21</w:t>
            </w:r>
          </w:p>
        </w:tc>
      </w:tr>
      <w:tr w:rsidR="007723FA" w:rsidRPr="00A74324" w14:paraId="7ED291D9" w14:textId="77777777" w:rsidTr="004369D4">
        <w:trPr>
          <w:jc w:val="center"/>
        </w:trPr>
        <w:tc>
          <w:tcPr>
            <w:tcW w:w="796" w:type="dxa"/>
            <w:tcBorders>
              <w:bottom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FEE2CB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3.88</w:t>
            </w:r>
          </w:p>
        </w:tc>
        <w:tc>
          <w:tcPr>
            <w:tcW w:w="556" w:type="dxa"/>
            <w:tcBorders>
              <w:bottom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F3704FB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60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CC70579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6</w:t>
            </w:r>
          </w:p>
        </w:tc>
        <w:tc>
          <w:tcPr>
            <w:tcW w:w="556" w:type="dxa"/>
            <w:tcBorders>
              <w:bottom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A29C933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Times" w:eastAsiaTheme="minorEastAsia" w:hAnsi="Times" w:cs="Times"/>
                <w:sz w:val="24"/>
              </w:rPr>
            </w:pPr>
            <w:r w:rsidRPr="00A74324">
              <w:rPr>
                <w:rFonts w:ascii="Times" w:eastAsiaTheme="minorEastAsia" w:hAnsi="Times" w:cs="Times"/>
                <w:sz w:val="24"/>
              </w:rPr>
              <w:t>-4</w:t>
            </w:r>
          </w:p>
        </w:tc>
        <w:tc>
          <w:tcPr>
            <w:tcW w:w="3244" w:type="dxa"/>
            <w:tcBorders>
              <w:bottom w:val="single" w:sz="4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01885FE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R superior temporal gyrus</w:t>
            </w:r>
          </w:p>
        </w:tc>
        <w:tc>
          <w:tcPr>
            <w:tcW w:w="2400" w:type="dxa"/>
            <w:tcBorders>
              <w:bottom w:val="single" w:sz="4" w:space="0" w:color="auto"/>
            </w:tcBorders>
          </w:tcPr>
          <w:p w14:paraId="17D91A4C" w14:textId="77777777" w:rsidR="007723FA" w:rsidRPr="00A74324" w:rsidRDefault="007723FA" w:rsidP="004369D4">
            <w:pPr>
              <w:widowControl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eastAsiaTheme="minorEastAsia" w:hAnsi="Times" w:cs="Times"/>
                <w:sz w:val="24"/>
              </w:rPr>
            </w:pPr>
            <w:r>
              <w:rPr>
                <w:rFonts w:ascii="Times" w:eastAsiaTheme="minorEastAsia" w:hAnsi="Times" w:cs="Times"/>
                <w:sz w:val="24"/>
              </w:rPr>
              <w:t>22</w:t>
            </w:r>
          </w:p>
        </w:tc>
      </w:tr>
    </w:tbl>
    <w:p w14:paraId="2050E369" w14:textId="0203791B" w:rsidR="0043402C" w:rsidRDefault="0043402C" w:rsidP="00564CDF">
      <w:pPr>
        <w:tabs>
          <w:tab w:val="left" w:pos="720"/>
        </w:tabs>
        <w:spacing w:line="480" w:lineRule="auto"/>
        <w:rPr>
          <w:rFonts w:ascii="Times New Roman" w:hAnsi="Times New Roman" w:cs="Times New Roman"/>
          <w:sz w:val="24"/>
        </w:rPr>
      </w:pPr>
    </w:p>
    <w:p w14:paraId="06A98D84" w14:textId="77777777" w:rsidR="007723FA" w:rsidRPr="007723FA" w:rsidRDefault="007723FA" w:rsidP="00564CDF">
      <w:pPr>
        <w:tabs>
          <w:tab w:val="left" w:pos="720"/>
        </w:tabs>
        <w:spacing w:line="480" w:lineRule="auto"/>
        <w:rPr>
          <w:rFonts w:ascii="Times New Roman" w:hAnsi="Times New Roman" w:cs="Times New Roman"/>
          <w:sz w:val="24"/>
        </w:rPr>
      </w:pPr>
    </w:p>
    <w:sectPr w:rsidR="007723FA" w:rsidRPr="007723FA" w:rsidSect="007723FA">
      <w:headerReference w:type="even" r:id="rId8"/>
      <w:headerReference w:type="default" r:id="rId9"/>
      <w:pgSz w:w="12240" w:h="15840"/>
      <w:pgMar w:top="1080" w:right="1166" w:bottom="45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0690A" w14:textId="77777777" w:rsidR="0043402C" w:rsidRDefault="0043402C" w:rsidP="0043402C">
      <w:r>
        <w:separator/>
      </w:r>
    </w:p>
  </w:endnote>
  <w:endnote w:type="continuationSeparator" w:id="0">
    <w:p w14:paraId="4AB55308" w14:textId="77777777" w:rsidR="0043402C" w:rsidRDefault="0043402C" w:rsidP="0043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A6D74F" w14:textId="77777777" w:rsidR="0043402C" w:rsidRDefault="0043402C" w:rsidP="0043402C">
      <w:r>
        <w:separator/>
      </w:r>
    </w:p>
  </w:footnote>
  <w:footnote w:type="continuationSeparator" w:id="0">
    <w:p w14:paraId="727DBB20" w14:textId="77777777" w:rsidR="0043402C" w:rsidRDefault="0043402C" w:rsidP="0043402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F364D" w14:textId="77777777" w:rsidR="0043402C" w:rsidRDefault="0043402C" w:rsidP="00CD798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F3264E" w14:textId="77777777" w:rsidR="0043402C" w:rsidRDefault="0043402C" w:rsidP="0043402C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0B9AE" w14:textId="77777777" w:rsidR="0043402C" w:rsidRDefault="0043402C" w:rsidP="00CD798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71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4E802B57" w14:textId="77777777" w:rsidR="0043402C" w:rsidRDefault="0043402C" w:rsidP="0043402C">
    <w:pPr>
      <w:pStyle w:val="Header"/>
      <w:ind w:right="360"/>
      <w:jc w:val="right"/>
    </w:pPr>
    <w:r>
      <w:t xml:space="preserve">Filbey et al.    Supplemental Information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320BC"/>
    <w:multiLevelType w:val="hybridMultilevel"/>
    <w:tmpl w:val="7786B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02C"/>
    <w:rsid w:val="00117C6B"/>
    <w:rsid w:val="002947A1"/>
    <w:rsid w:val="002A40A2"/>
    <w:rsid w:val="003E4F5D"/>
    <w:rsid w:val="0043402C"/>
    <w:rsid w:val="00480391"/>
    <w:rsid w:val="00564CDF"/>
    <w:rsid w:val="007671DF"/>
    <w:rsid w:val="007723FA"/>
    <w:rsid w:val="00946240"/>
    <w:rsid w:val="00DD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AABA8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02C"/>
    <w:rPr>
      <w:rFonts w:ascii="Arial" w:eastAsiaTheme="minorHAnsi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02C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40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02C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40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02C"/>
    <w:rPr>
      <w:rFonts w:ascii="Arial" w:eastAsiaTheme="minorHAnsi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4340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02C"/>
    <w:rPr>
      <w:rFonts w:ascii="Arial" w:eastAsiaTheme="minorHAnsi" w:hAnsi="Arial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43402C"/>
  </w:style>
  <w:style w:type="paragraph" w:styleId="ListParagraph">
    <w:name w:val="List Paragraph"/>
    <w:basedOn w:val="Normal"/>
    <w:uiPriority w:val="34"/>
    <w:qFormat/>
    <w:rsid w:val="00564C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02C"/>
    <w:rPr>
      <w:rFonts w:ascii="Arial" w:eastAsiaTheme="minorHAnsi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02C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402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02C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402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02C"/>
    <w:rPr>
      <w:rFonts w:ascii="Arial" w:eastAsiaTheme="minorHAnsi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43402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02C"/>
    <w:rPr>
      <w:rFonts w:ascii="Arial" w:eastAsiaTheme="minorHAnsi" w:hAnsi="Arial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43402C"/>
  </w:style>
  <w:style w:type="paragraph" w:styleId="ListParagraph">
    <w:name w:val="List Paragraph"/>
    <w:basedOn w:val="Normal"/>
    <w:uiPriority w:val="34"/>
    <w:qFormat/>
    <w:rsid w:val="00564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Macintosh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Filbey, Francesca M</dc:creator>
  <cp:keywords/>
  <dc:description/>
  <cp:lastModifiedBy>Filbey, Francesca M</cp:lastModifiedBy>
  <cp:revision>2</cp:revision>
  <dcterms:created xsi:type="dcterms:W3CDTF">2013-03-08T04:03:00Z</dcterms:created>
  <dcterms:modified xsi:type="dcterms:W3CDTF">2013-03-08T04:03:00Z</dcterms:modified>
</cp:coreProperties>
</file>