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37AD2" w14:textId="347BA165" w:rsidR="00F9599F" w:rsidRPr="00F9599F" w:rsidRDefault="00F9599F" w:rsidP="00F9599F">
      <w:pPr>
        <w:pStyle w:val="Caption"/>
        <w:keepNext/>
        <w:rPr>
          <w:b/>
          <w:bCs/>
          <w:sz w:val="24"/>
          <w:szCs w:val="24"/>
        </w:rPr>
      </w:pPr>
      <w:r w:rsidRPr="00F9599F">
        <w:rPr>
          <w:b/>
          <w:bCs/>
          <w:sz w:val="24"/>
          <w:szCs w:val="24"/>
        </w:rPr>
        <w:t xml:space="preserve">Table </w:t>
      </w:r>
      <w:r w:rsidRPr="00F9599F">
        <w:rPr>
          <w:b/>
          <w:bCs/>
          <w:sz w:val="24"/>
          <w:szCs w:val="24"/>
        </w:rPr>
        <w:fldChar w:fldCharType="begin"/>
      </w:r>
      <w:r w:rsidRPr="00F9599F">
        <w:rPr>
          <w:b/>
          <w:bCs/>
          <w:sz w:val="24"/>
          <w:szCs w:val="24"/>
        </w:rPr>
        <w:instrText xml:space="preserve"> SEQ Table \* ARABIC </w:instrText>
      </w:r>
      <w:r w:rsidRPr="00F9599F">
        <w:rPr>
          <w:b/>
          <w:bCs/>
          <w:sz w:val="24"/>
          <w:szCs w:val="24"/>
        </w:rPr>
        <w:fldChar w:fldCharType="separate"/>
      </w:r>
      <w:r w:rsidRPr="00F9599F">
        <w:rPr>
          <w:b/>
          <w:bCs/>
          <w:noProof/>
          <w:sz w:val="24"/>
          <w:szCs w:val="24"/>
        </w:rPr>
        <w:t>1</w:t>
      </w:r>
      <w:r w:rsidRPr="00F9599F">
        <w:rPr>
          <w:b/>
          <w:bCs/>
          <w:sz w:val="24"/>
          <w:szCs w:val="24"/>
        </w:rPr>
        <w:fldChar w:fldCharType="end"/>
      </w:r>
      <w:r w:rsidRPr="00F9599F">
        <w:rPr>
          <w:b/>
          <w:bCs/>
          <w:sz w:val="24"/>
          <w:szCs w:val="24"/>
        </w:rPr>
        <w:t>: Summary of Included Primary Articles</w:t>
      </w:r>
    </w:p>
    <w:tbl>
      <w:tblPr>
        <w:tblStyle w:val="TableGrid"/>
        <w:tblW w:w="13410" w:type="dxa"/>
        <w:jc w:val="center"/>
        <w:tblLayout w:type="fixed"/>
        <w:tblLook w:val="04A0" w:firstRow="1" w:lastRow="0" w:firstColumn="1" w:lastColumn="0" w:noHBand="0" w:noVBand="1"/>
      </w:tblPr>
      <w:tblGrid>
        <w:gridCol w:w="1620"/>
        <w:gridCol w:w="1440"/>
        <w:gridCol w:w="1535"/>
        <w:gridCol w:w="1203"/>
        <w:gridCol w:w="1402"/>
        <w:gridCol w:w="6210"/>
      </w:tblGrid>
      <w:tr w:rsidR="008C7DAF" w:rsidRPr="00484EFC" w14:paraId="09749643" w14:textId="77777777" w:rsidTr="008C7DAF">
        <w:trPr>
          <w:jc w:val="center"/>
        </w:trPr>
        <w:tc>
          <w:tcPr>
            <w:tcW w:w="1620" w:type="dxa"/>
          </w:tcPr>
          <w:p w14:paraId="262671A8" w14:textId="1677737F" w:rsidR="008C7DAF" w:rsidRPr="00484EFC" w:rsidRDefault="008C7DAF" w:rsidP="000E4D19">
            <w:pPr>
              <w:rPr>
                <w:rFonts w:ascii="Times New Roman" w:hAnsi="Times New Roman" w:cs="Times New Roman"/>
                <w:b/>
              </w:rPr>
            </w:pPr>
            <w:r w:rsidRPr="00484EFC">
              <w:rPr>
                <w:rFonts w:ascii="Times New Roman" w:hAnsi="Times New Roman" w:cs="Times New Roman"/>
                <w:b/>
              </w:rPr>
              <w:t>Author</w:t>
            </w:r>
          </w:p>
        </w:tc>
        <w:tc>
          <w:tcPr>
            <w:tcW w:w="1440" w:type="dxa"/>
          </w:tcPr>
          <w:p w14:paraId="2BE304D0" w14:textId="77777777" w:rsidR="008C7DAF" w:rsidRPr="00484EFC" w:rsidRDefault="008C7DAF" w:rsidP="000E4D19">
            <w:pPr>
              <w:rPr>
                <w:rFonts w:ascii="Times New Roman" w:hAnsi="Times New Roman" w:cs="Times New Roman"/>
                <w:b/>
              </w:rPr>
            </w:pPr>
            <w:r w:rsidRPr="00484EFC">
              <w:rPr>
                <w:rFonts w:ascii="Times New Roman" w:hAnsi="Times New Roman" w:cs="Times New Roman"/>
                <w:b/>
              </w:rPr>
              <w:t>Publication year</w:t>
            </w:r>
          </w:p>
        </w:tc>
        <w:tc>
          <w:tcPr>
            <w:tcW w:w="1535" w:type="dxa"/>
          </w:tcPr>
          <w:p w14:paraId="3F3C5DAE" w14:textId="260D4E0C" w:rsidR="008C7DAF" w:rsidRPr="00484EFC" w:rsidRDefault="008C7DAF" w:rsidP="000E4D19">
            <w:pPr>
              <w:rPr>
                <w:rFonts w:ascii="Times New Roman" w:hAnsi="Times New Roman" w:cs="Times New Roman"/>
                <w:b/>
              </w:rPr>
            </w:pPr>
            <w:r w:rsidRPr="00484EFC">
              <w:rPr>
                <w:rFonts w:ascii="Times New Roman" w:hAnsi="Times New Roman" w:cs="Times New Roman"/>
                <w:b/>
              </w:rPr>
              <w:t>Article type</w:t>
            </w:r>
            <w:r>
              <w:rPr>
                <w:rFonts w:ascii="Times New Roman" w:hAnsi="Times New Roman" w:cs="Times New Roman"/>
                <w:b/>
              </w:rPr>
              <w:t xml:space="preserve">/ </w:t>
            </w:r>
            <w:r w:rsidRPr="00484EFC">
              <w:rPr>
                <w:rFonts w:ascii="Times New Roman" w:hAnsi="Times New Roman" w:cs="Times New Roman"/>
                <w:b/>
              </w:rPr>
              <w:t>Study design</w:t>
            </w:r>
          </w:p>
        </w:tc>
        <w:tc>
          <w:tcPr>
            <w:tcW w:w="1203" w:type="dxa"/>
          </w:tcPr>
          <w:p w14:paraId="09E2A5F2" w14:textId="063473A8" w:rsidR="008C7DAF" w:rsidRPr="00484EFC" w:rsidRDefault="008C7DAF" w:rsidP="000E4D19">
            <w:pPr>
              <w:rPr>
                <w:rFonts w:ascii="Times New Roman" w:hAnsi="Times New Roman" w:cs="Times New Roman"/>
                <w:b/>
              </w:rPr>
            </w:pPr>
            <w:r w:rsidRPr="00484EFC">
              <w:rPr>
                <w:rFonts w:ascii="Times New Roman" w:hAnsi="Times New Roman" w:cs="Times New Roman"/>
                <w:b/>
              </w:rPr>
              <w:t>Region</w:t>
            </w:r>
            <w:r>
              <w:rPr>
                <w:rFonts w:ascii="Times New Roman" w:hAnsi="Times New Roman" w:cs="Times New Roman"/>
                <w:b/>
              </w:rPr>
              <w:t xml:space="preserve">/ </w:t>
            </w:r>
            <w:r w:rsidRPr="00484EFC">
              <w:rPr>
                <w:rFonts w:ascii="Times New Roman" w:hAnsi="Times New Roman" w:cs="Times New Roman"/>
                <w:b/>
              </w:rPr>
              <w:t>Country</w:t>
            </w:r>
          </w:p>
        </w:tc>
        <w:tc>
          <w:tcPr>
            <w:tcW w:w="1402" w:type="dxa"/>
          </w:tcPr>
          <w:p w14:paraId="6699ADEE" w14:textId="799B10A7" w:rsidR="008C7DAF" w:rsidRDefault="008C7DAF" w:rsidP="000E4D19">
            <w:pPr>
              <w:rPr>
                <w:rFonts w:ascii="Times New Roman" w:hAnsi="Times New Roman" w:cs="Times New Roman"/>
                <w:b/>
              </w:rPr>
            </w:pPr>
            <w:r>
              <w:rPr>
                <w:rFonts w:ascii="Times New Roman" w:hAnsi="Times New Roman" w:cs="Times New Roman"/>
                <w:b/>
              </w:rPr>
              <w:t>Vaccine Name</w:t>
            </w:r>
          </w:p>
        </w:tc>
        <w:tc>
          <w:tcPr>
            <w:tcW w:w="6210" w:type="dxa"/>
          </w:tcPr>
          <w:p w14:paraId="5704DE33" w14:textId="7A31E135" w:rsidR="008C7DAF" w:rsidRPr="00484EFC" w:rsidRDefault="008C7DAF" w:rsidP="000E4D19">
            <w:pPr>
              <w:rPr>
                <w:rFonts w:ascii="Times New Roman" w:hAnsi="Times New Roman" w:cs="Times New Roman"/>
                <w:b/>
              </w:rPr>
            </w:pPr>
            <w:r>
              <w:rPr>
                <w:rFonts w:ascii="Times New Roman" w:hAnsi="Times New Roman" w:cs="Times New Roman"/>
                <w:b/>
              </w:rPr>
              <w:t>Clinical o</w:t>
            </w:r>
            <w:r w:rsidRPr="00484EFC">
              <w:rPr>
                <w:rFonts w:ascii="Times New Roman" w:hAnsi="Times New Roman" w:cs="Times New Roman"/>
                <w:b/>
              </w:rPr>
              <w:t>utcome</w:t>
            </w:r>
            <w:r>
              <w:rPr>
                <w:rFonts w:ascii="Times New Roman" w:hAnsi="Times New Roman" w:cs="Times New Roman"/>
                <w:b/>
              </w:rPr>
              <w:t xml:space="preserve"> of Monkeypox vaccine</w:t>
            </w:r>
          </w:p>
        </w:tc>
      </w:tr>
      <w:tr w:rsidR="008C7DAF" w:rsidRPr="00484EFC" w14:paraId="208DAA3C" w14:textId="77777777" w:rsidTr="008C7DAF">
        <w:trPr>
          <w:jc w:val="center"/>
        </w:trPr>
        <w:tc>
          <w:tcPr>
            <w:tcW w:w="1620" w:type="dxa"/>
          </w:tcPr>
          <w:p w14:paraId="61B3FC8F" w14:textId="0B26DF2B" w:rsidR="008C7DAF" w:rsidRPr="00484EFC" w:rsidRDefault="008C7DAF" w:rsidP="004F6634">
            <w:pPr>
              <w:rPr>
                <w:rFonts w:ascii="Times New Roman" w:hAnsi="Times New Roman" w:cs="Times New Roman"/>
                <w:b/>
              </w:rPr>
            </w:pPr>
            <w:proofErr w:type="spellStart"/>
            <w:r>
              <w:rPr>
                <w:rFonts w:ascii="Times New Roman" w:hAnsi="Times New Roman" w:cs="Times New Roman"/>
              </w:rPr>
              <w:t>Arita</w:t>
            </w:r>
            <w:proofErr w:type="spellEnd"/>
            <w:r>
              <w:rPr>
                <w:rFonts w:ascii="Times New Roman" w:hAnsi="Times New Roman" w:cs="Times New Roman"/>
              </w:rPr>
              <w:t xml:space="preserve"> I. et al.</w:t>
            </w:r>
            <w:r w:rsidRPr="009617F3">
              <w:rPr>
                <w:rFonts w:ascii="Times New Roman" w:hAnsi="Times New Roman" w:cs="Times New Roman"/>
                <w:vertAlign w:val="superscript"/>
              </w:rPr>
              <w:fldChar w:fldCharType="begin" w:fldLock="1"/>
            </w:r>
            <w:r w:rsidRPr="009617F3">
              <w:rPr>
                <w:rFonts w:ascii="Times New Roman" w:hAnsi="Times New Roman" w:cs="Times New Roman"/>
                <w:vertAlign w:val="superscript"/>
              </w:rPr>
              <w:instrText>ADDIN CSL_CITATION {"citationItems":[{"id":"ITEM-1","itemData":{"DOI":"10.4269/ajtmh.1985.34.781","ISSN":"0002-9637 (Print)","PMID":"2992305","abstract":"During the course of the recently concluded smallpox eradication program, a new  human orthopoxvirus infection was discovered which is caused by monkeypox virus. The disease occurs sporadically in remote villages within tropical rain forests of West and Central Africa. The disease is rare; only 155 cases having been reported from 1970 to 1983. The symptoms and signs of human monkeypox resemble those of smallpox, differing significantly only in the occurrence of lymphadenopathy with human monkeypox disease. Of 155 cases, some 80% are believed to have resulted from infection from an as yet unknown animal reservoir; the rest occurred among unvaccinated close contacts among whom a secondary attack rate of 15% was observed. Although person-to-person spread appears to have occurred in some instances, few cases were observed in the third or fourth generation of transmission and none thereafter. Since 1982, the incidence of human monkeypox infections in Zaire has increased concomitant with an intensified surveillance program. Additional reasons which might explain the increased incidence are discussed. Further surveillance and research of this primarily zoonotic infection are warranted and are in progress.","author":[{"dropping-particle":"","family":"Arita","given":"I","non-dropping-particle":"","parse-names":false,"suffix":""},{"dropping-particle":"","family":"Jezek","given":"Z","non-dropping-particle":"","parse-names":false,"suffix":""},{"dropping-particle":"","family":"Khodakevich","given":"L","non-dropping-particle":"","parse-names":false,"suffix":""},{"dropping-particle":"","family":"Ruti","given":"K","non-dropping-particle":"","parse-names":false,"suffix":""}],"container-title":"The American journal of tropical medicine and hygiene","id":"ITEM-1","issue":"4","issued":{"date-parts":[["1985","7"]]},"language":"eng","page":"781-789","publisher-place":"United States","title":"Human monkeypox: a newly emerged orthopoxvirus zoonosis in the tropical rain  forests of Africa.","type":"article-journal","volume":"34"},"uris":["http://www.mendeley.com/documents/?uuid=cec88d3b-bf3d-4959-97de-b148d4de35b0"]}],"mendeley":{"formattedCitation":"(1)","plainTextFormattedCitation":"(1)","previouslyFormattedCitation":"(1)"},"properties":{"noteIndex":0},"schema":"https://github.com/citation-style-language/schema/raw/master/csl-citation.json"}</w:instrText>
            </w:r>
            <w:r w:rsidRPr="009617F3">
              <w:rPr>
                <w:rFonts w:ascii="Times New Roman" w:hAnsi="Times New Roman" w:cs="Times New Roman"/>
                <w:vertAlign w:val="superscript"/>
              </w:rPr>
              <w:fldChar w:fldCharType="separate"/>
            </w:r>
            <w:r w:rsidRPr="009617F3">
              <w:rPr>
                <w:rFonts w:ascii="Times New Roman" w:hAnsi="Times New Roman" w:cs="Times New Roman"/>
                <w:noProof/>
                <w:vertAlign w:val="superscript"/>
              </w:rPr>
              <w:t>(1)</w:t>
            </w:r>
            <w:r w:rsidRPr="009617F3">
              <w:rPr>
                <w:rFonts w:ascii="Times New Roman" w:hAnsi="Times New Roman" w:cs="Times New Roman"/>
                <w:vertAlign w:val="superscript"/>
              </w:rPr>
              <w:fldChar w:fldCharType="end"/>
            </w:r>
          </w:p>
        </w:tc>
        <w:tc>
          <w:tcPr>
            <w:tcW w:w="1440" w:type="dxa"/>
          </w:tcPr>
          <w:p w14:paraId="50ECDFA0" w14:textId="2EC9C0F5" w:rsidR="008C7DAF" w:rsidRPr="00484EFC" w:rsidRDefault="008C7DAF" w:rsidP="004F6634">
            <w:pPr>
              <w:rPr>
                <w:rFonts w:ascii="Times New Roman" w:hAnsi="Times New Roman" w:cs="Times New Roman"/>
                <w:b/>
              </w:rPr>
            </w:pPr>
            <w:r>
              <w:rPr>
                <w:rFonts w:ascii="Times New Roman" w:hAnsi="Times New Roman" w:cs="Times New Roman"/>
              </w:rPr>
              <w:t>1985</w:t>
            </w:r>
          </w:p>
        </w:tc>
        <w:tc>
          <w:tcPr>
            <w:tcW w:w="1535" w:type="dxa"/>
          </w:tcPr>
          <w:p w14:paraId="2A4BE99F" w14:textId="0CFC3C04" w:rsidR="008C7DAF" w:rsidRPr="00484EFC" w:rsidRDefault="008C7DAF" w:rsidP="003F30BD">
            <w:pPr>
              <w:jc w:val="both"/>
              <w:rPr>
                <w:rFonts w:ascii="Times New Roman" w:hAnsi="Times New Roman" w:cs="Times New Roman"/>
                <w:b/>
              </w:rPr>
            </w:pPr>
            <w:r>
              <w:rPr>
                <w:rFonts w:ascii="Times New Roman" w:hAnsi="Times New Roman" w:cs="Times New Roman"/>
              </w:rPr>
              <w:t xml:space="preserve">Assessment of special surveillance and research </w:t>
            </w:r>
          </w:p>
        </w:tc>
        <w:tc>
          <w:tcPr>
            <w:tcW w:w="1203" w:type="dxa"/>
          </w:tcPr>
          <w:p w14:paraId="43972418" w14:textId="77777777" w:rsidR="008C7DAF" w:rsidRPr="006E5ECD" w:rsidRDefault="008C7DAF" w:rsidP="003F30BD">
            <w:pPr>
              <w:jc w:val="both"/>
              <w:rPr>
                <w:rFonts w:ascii="Times New Roman" w:hAnsi="Times New Roman" w:cs="Times New Roman"/>
              </w:rPr>
            </w:pPr>
            <w:r>
              <w:rPr>
                <w:rFonts w:ascii="Times New Roman" w:hAnsi="Times New Roman" w:cs="Times New Roman"/>
              </w:rPr>
              <w:t>T</w:t>
            </w:r>
            <w:r w:rsidRPr="006E5ECD">
              <w:rPr>
                <w:rFonts w:ascii="Times New Roman" w:hAnsi="Times New Roman" w:cs="Times New Roman"/>
              </w:rPr>
              <w:t>ropical rain forests of</w:t>
            </w:r>
            <w:r>
              <w:rPr>
                <w:rFonts w:ascii="Times New Roman" w:hAnsi="Times New Roman" w:cs="Times New Roman"/>
              </w:rPr>
              <w:t xml:space="preserve"> </w:t>
            </w:r>
            <w:r w:rsidRPr="006E5ECD">
              <w:rPr>
                <w:rFonts w:ascii="Times New Roman" w:hAnsi="Times New Roman" w:cs="Times New Roman"/>
              </w:rPr>
              <w:t>West and</w:t>
            </w:r>
          </w:p>
          <w:p w14:paraId="3D4E5333" w14:textId="185080DE" w:rsidR="008C7DAF" w:rsidRPr="00484EFC" w:rsidRDefault="008C7DAF" w:rsidP="003F30BD">
            <w:pPr>
              <w:jc w:val="both"/>
              <w:rPr>
                <w:rFonts w:ascii="Times New Roman" w:hAnsi="Times New Roman" w:cs="Times New Roman"/>
                <w:b/>
              </w:rPr>
            </w:pPr>
            <w:r w:rsidRPr="006E5ECD">
              <w:rPr>
                <w:rFonts w:ascii="Times New Roman" w:hAnsi="Times New Roman" w:cs="Times New Roman"/>
              </w:rPr>
              <w:t>Central Africa</w:t>
            </w:r>
          </w:p>
        </w:tc>
        <w:tc>
          <w:tcPr>
            <w:tcW w:w="1402" w:type="dxa"/>
          </w:tcPr>
          <w:p w14:paraId="00DAAE96" w14:textId="636C7773" w:rsidR="008C7DAF" w:rsidRDefault="008C7DAF" w:rsidP="003F30BD">
            <w:pPr>
              <w:jc w:val="both"/>
              <w:rPr>
                <w:rFonts w:ascii="Times New Roman" w:hAnsi="Times New Roman" w:cs="Times New Roman"/>
                <w:b/>
              </w:rPr>
            </w:pPr>
            <w:r>
              <w:rPr>
                <w:rFonts w:ascii="Times New Roman" w:hAnsi="Times New Roman" w:cs="Times New Roman"/>
              </w:rPr>
              <w:t>Smallpox vaccine</w:t>
            </w:r>
          </w:p>
        </w:tc>
        <w:tc>
          <w:tcPr>
            <w:tcW w:w="6210" w:type="dxa"/>
          </w:tcPr>
          <w:p w14:paraId="606868E9" w14:textId="11A2FA1F" w:rsidR="008C7DAF" w:rsidRDefault="008C7DAF" w:rsidP="003F30BD">
            <w:pPr>
              <w:jc w:val="both"/>
              <w:rPr>
                <w:rFonts w:ascii="Times New Roman" w:hAnsi="Times New Roman" w:cs="Times New Roman"/>
                <w:b/>
              </w:rPr>
            </w:pPr>
            <w:r w:rsidRPr="00A75545">
              <w:rPr>
                <w:rFonts w:ascii="Times New Roman" w:hAnsi="Times New Roman" w:cs="Times New Roman"/>
              </w:rPr>
              <w:t>A 13</w:t>
            </w:r>
            <w:r>
              <w:rPr>
                <w:rFonts w:ascii="Times New Roman" w:hAnsi="Times New Roman" w:cs="Times New Roman"/>
              </w:rPr>
              <w:t>%</w:t>
            </w:r>
            <w:r w:rsidRPr="00A75545">
              <w:rPr>
                <w:rFonts w:ascii="Times New Roman" w:hAnsi="Times New Roman" w:cs="Times New Roman"/>
              </w:rPr>
              <w:t xml:space="preserve"> case-fatality rate was </w:t>
            </w:r>
            <w:r w:rsidR="0073499A">
              <w:rPr>
                <w:rFonts w:ascii="Times New Roman" w:hAnsi="Times New Roman" w:cs="Times New Roman"/>
              </w:rPr>
              <w:t>found where</w:t>
            </w:r>
            <w:r w:rsidRPr="00A75545">
              <w:rPr>
                <w:rFonts w:ascii="Times New Roman" w:hAnsi="Times New Roman" w:cs="Times New Roman"/>
              </w:rPr>
              <w:t xml:space="preserve"> 17 </w:t>
            </w:r>
            <w:r w:rsidR="0073499A">
              <w:rPr>
                <w:rFonts w:ascii="Times New Roman" w:hAnsi="Times New Roman" w:cs="Times New Roman"/>
              </w:rPr>
              <w:t xml:space="preserve">out </w:t>
            </w:r>
            <w:r w:rsidRPr="00A75545">
              <w:rPr>
                <w:rFonts w:ascii="Times New Roman" w:hAnsi="Times New Roman" w:cs="Times New Roman"/>
              </w:rPr>
              <w:t>of 131 individuals</w:t>
            </w:r>
            <w:r w:rsidR="0073499A">
              <w:rPr>
                <w:rFonts w:ascii="Times New Roman" w:hAnsi="Times New Roman" w:cs="Times New Roman"/>
              </w:rPr>
              <w:t xml:space="preserve"> died </w:t>
            </w:r>
            <w:r w:rsidRPr="00A75545">
              <w:rPr>
                <w:rFonts w:ascii="Times New Roman" w:hAnsi="Times New Roman" w:cs="Times New Roman"/>
              </w:rPr>
              <w:t xml:space="preserve">within 3 weeks of the </w:t>
            </w:r>
            <w:r w:rsidR="0073499A">
              <w:rPr>
                <w:rFonts w:ascii="Times New Roman" w:hAnsi="Times New Roman" w:cs="Times New Roman"/>
              </w:rPr>
              <w:t>exposure</w:t>
            </w:r>
            <w:r w:rsidRPr="00A75545">
              <w:rPr>
                <w:rFonts w:ascii="Times New Roman" w:hAnsi="Times New Roman" w:cs="Times New Roman"/>
              </w:rPr>
              <w:t xml:space="preserve">. All of them </w:t>
            </w:r>
            <w:r w:rsidR="0073499A">
              <w:rPr>
                <w:rFonts w:ascii="Times New Roman" w:hAnsi="Times New Roman" w:cs="Times New Roman"/>
              </w:rPr>
              <w:t>were</w:t>
            </w:r>
            <w:r w:rsidRPr="00A75545">
              <w:rPr>
                <w:rFonts w:ascii="Times New Roman" w:hAnsi="Times New Roman" w:cs="Times New Roman"/>
              </w:rPr>
              <w:t xml:space="preserve"> unvaccinated youngsters </w:t>
            </w:r>
            <w:r w:rsidR="0073499A">
              <w:rPr>
                <w:rFonts w:ascii="Times New Roman" w:hAnsi="Times New Roman" w:cs="Times New Roman"/>
              </w:rPr>
              <w:t xml:space="preserve">aging </w:t>
            </w:r>
            <w:r w:rsidRPr="00A75545">
              <w:rPr>
                <w:rFonts w:ascii="Times New Roman" w:hAnsi="Times New Roman" w:cs="Times New Roman"/>
              </w:rPr>
              <w:t>under seven</w:t>
            </w:r>
            <w:r w:rsidR="0073499A">
              <w:rPr>
                <w:rFonts w:ascii="Times New Roman" w:hAnsi="Times New Roman" w:cs="Times New Roman"/>
              </w:rPr>
              <w:t xml:space="preserve"> years</w:t>
            </w:r>
            <w:r w:rsidRPr="00A75545">
              <w:rPr>
                <w:rFonts w:ascii="Times New Roman" w:hAnsi="Times New Roman" w:cs="Times New Roman"/>
              </w:rPr>
              <w:t xml:space="preserve">. </w:t>
            </w:r>
            <w:r w:rsidR="0073499A">
              <w:rPr>
                <w:rFonts w:ascii="Times New Roman" w:hAnsi="Times New Roman" w:cs="Times New Roman"/>
              </w:rPr>
              <w:t>T</w:t>
            </w:r>
            <w:r w:rsidRPr="00A75545">
              <w:rPr>
                <w:rFonts w:ascii="Times New Roman" w:hAnsi="Times New Roman" w:cs="Times New Roman"/>
              </w:rPr>
              <w:t xml:space="preserve">he secondary attack rate </w:t>
            </w:r>
            <w:r w:rsidR="0073499A">
              <w:rPr>
                <w:rFonts w:ascii="Times New Roman" w:hAnsi="Times New Roman" w:cs="Times New Roman"/>
              </w:rPr>
              <w:t>among</w:t>
            </w:r>
            <w:r w:rsidRPr="00A75545">
              <w:rPr>
                <w:rFonts w:ascii="Times New Roman" w:hAnsi="Times New Roman" w:cs="Times New Roman"/>
              </w:rPr>
              <w:t xml:space="preserve"> unvaccinated contacts</w:t>
            </w:r>
            <w:r w:rsidR="0073499A">
              <w:rPr>
                <w:rFonts w:ascii="Times New Roman" w:hAnsi="Times New Roman" w:cs="Times New Roman"/>
              </w:rPr>
              <w:t xml:space="preserve"> was</w:t>
            </w:r>
            <w:r w:rsidRPr="00A75545">
              <w:rPr>
                <w:rFonts w:ascii="Times New Roman" w:hAnsi="Times New Roman" w:cs="Times New Roman"/>
              </w:rPr>
              <w:t xml:space="preserve"> </w:t>
            </w:r>
            <w:r w:rsidR="00075AD3" w:rsidRPr="00075AD3">
              <w:rPr>
                <w:rFonts w:ascii="Times New Roman" w:hAnsi="Times New Roman" w:cs="Times New Roman"/>
              </w:rPr>
              <w:t>around 15%</w:t>
            </w:r>
            <w:r w:rsidR="0073499A">
              <w:rPr>
                <w:rFonts w:ascii="Times New Roman" w:hAnsi="Times New Roman" w:cs="Times New Roman"/>
              </w:rPr>
              <w:t xml:space="preserve"> and</w:t>
            </w:r>
            <w:r w:rsidR="00075AD3" w:rsidRPr="00075AD3">
              <w:rPr>
                <w:rFonts w:ascii="Times New Roman" w:hAnsi="Times New Roman" w:cs="Times New Roman"/>
              </w:rPr>
              <w:t xml:space="preserve"> </w:t>
            </w:r>
            <w:r w:rsidR="00C73DED">
              <w:rPr>
                <w:rFonts w:ascii="Times New Roman" w:hAnsi="Times New Roman" w:cs="Times New Roman"/>
              </w:rPr>
              <w:t>was</w:t>
            </w:r>
            <w:r w:rsidR="00075AD3" w:rsidRPr="00075AD3">
              <w:rPr>
                <w:rFonts w:ascii="Times New Roman" w:hAnsi="Times New Roman" w:cs="Times New Roman"/>
              </w:rPr>
              <w:t xml:space="preserve"> the same between 1982 and 1983 and </w:t>
            </w:r>
            <w:r w:rsidRPr="00A75545">
              <w:rPr>
                <w:rFonts w:ascii="Times New Roman" w:hAnsi="Times New Roman" w:cs="Times New Roman"/>
              </w:rPr>
              <w:t>1970 t</w:t>
            </w:r>
            <w:r>
              <w:rPr>
                <w:rFonts w:ascii="Times New Roman" w:hAnsi="Times New Roman" w:cs="Times New Roman"/>
              </w:rPr>
              <w:t>o</w:t>
            </w:r>
            <w:r w:rsidRPr="00A75545">
              <w:rPr>
                <w:rFonts w:ascii="Times New Roman" w:hAnsi="Times New Roman" w:cs="Times New Roman"/>
              </w:rPr>
              <w:t xml:space="preserve"> 1981.</w:t>
            </w:r>
          </w:p>
        </w:tc>
      </w:tr>
      <w:tr w:rsidR="008C7DAF" w:rsidRPr="00484EFC" w14:paraId="656A680A" w14:textId="77777777" w:rsidTr="008C7DAF">
        <w:trPr>
          <w:jc w:val="center"/>
        </w:trPr>
        <w:tc>
          <w:tcPr>
            <w:tcW w:w="1620" w:type="dxa"/>
          </w:tcPr>
          <w:p w14:paraId="4E028EDF" w14:textId="6524BCE8" w:rsidR="008C7DAF" w:rsidRPr="00484EFC" w:rsidRDefault="008C7DAF" w:rsidP="004F6634">
            <w:pPr>
              <w:rPr>
                <w:rFonts w:ascii="Times New Roman" w:hAnsi="Times New Roman" w:cs="Times New Roman"/>
                <w:b/>
              </w:rPr>
            </w:pPr>
            <w:proofErr w:type="spellStart"/>
            <w:r w:rsidRPr="00F65AC8">
              <w:rPr>
                <w:rFonts w:ascii="Times New Roman" w:hAnsi="Times New Roman" w:cs="Times New Roman"/>
              </w:rPr>
              <w:t>Jezek</w:t>
            </w:r>
            <w:proofErr w:type="spellEnd"/>
            <w:r w:rsidRPr="00F65AC8">
              <w:rPr>
                <w:rFonts w:ascii="Times New Roman" w:hAnsi="Times New Roman" w:cs="Times New Roman"/>
              </w:rPr>
              <w:t>, Z. et al.</w:t>
            </w:r>
            <w:r w:rsidRPr="009617F3">
              <w:rPr>
                <w:rFonts w:ascii="Times New Roman" w:hAnsi="Times New Roman" w:cs="Times New Roman"/>
                <w:vertAlign w:val="superscript"/>
              </w:rPr>
              <w:fldChar w:fldCharType="begin" w:fldLock="1"/>
            </w:r>
            <w:r w:rsidRPr="009617F3">
              <w:rPr>
                <w:rFonts w:ascii="Times New Roman" w:hAnsi="Times New Roman" w:cs="Times New Roman"/>
                <w:vertAlign w:val="superscript"/>
              </w:rPr>
              <w:instrText>ADDIN CSL_CITATION {"citationItems":[{"id":"ITEM-1","itemData":{"DOI":"10.1093/infdis/154.4.551","ISSN":"0022-1899 (Print)","PMID":"3018091","abstract":"A study of 2,510 contacts of 214 patients with human monkeypox was conducted in  Zaire from 1980 to 1984. Among the contacts of 130 primary cases of human monkeypox, a further 22 co-primary and 62 secondary cases were detected, and an additional fourteen people who had no evidence of clinical disease had positive serological results. A majority of the clinical and subclinical cases of monkeypox occurred in children less than 10 years of age. Immunity in vaccinated persons now appears to be waning because 16 overt cases occurred in contacts who had been vaccinated. The overall attack rate for contacts without a vaccination scar (7.2%) differed significantly from the attack rate for those who had been vaccinated in the past (0.9%). The attack rate for household contacts was significantly higher than that for other contacts, among both unvaccinated (four times higher) and vaccinated (seven times higher) household contacts. Many unvaccinated contacts living in the same household as the index case under conditions of maximum exposure, however, escaped not only the disease but also infection.","author":[{"dropping-particle":"","family":"Jezek","given":"Z","non-dropping-particle":"","parse-names":false,"suffix":""},{"dropping-particle":"","family":"Marennikova","given":"S S","non-dropping-particle":"","parse-names":false,"suffix":""},{"dropping-particle":"","family":"Mutumbo","given":"M","non-dropping-particle":"","parse-names":false,"suffix":""},{"dropping-particle":"","family":"Nakano","given":"J H","non-dropping-particle":"","parse-names":false,"suffix":""},{"dropping-particle":"","family":"Paluku","given":"K M","non-dropping-particle":"","parse-names":false,"suffix":""},{"dropping-particle":"","family":"Szczeniowski","given":"M","non-dropping-particle":"","parse-names":false,"suffix":""}],"container-title":"The Journal of infectious diseases","id":"ITEM-1","issue":"4","issued":{"date-parts":[["1986","10"]]},"language":"eng","page":"551-555","publisher-place":"United States","title":"Human monkeypox: a study of 2,510 contacts of 214 patients.","type":"article-journal","volume":"154"},"uris":["http://www.mendeley.com/documents/?uuid=2097354f-7f6f-40de-84d7-14bd184d8c89"]}],"mendeley":{"formattedCitation":"(2)","plainTextFormattedCitation":"(2)","previouslyFormattedCitation":"(2)"},"properties":{"noteIndex":0},"schema":"https://github.com/citation-style-language/schema/raw/master/csl-citation.json"}</w:instrText>
            </w:r>
            <w:r w:rsidRPr="009617F3">
              <w:rPr>
                <w:rFonts w:ascii="Times New Roman" w:hAnsi="Times New Roman" w:cs="Times New Roman"/>
                <w:vertAlign w:val="superscript"/>
              </w:rPr>
              <w:fldChar w:fldCharType="separate"/>
            </w:r>
            <w:r w:rsidRPr="009617F3">
              <w:rPr>
                <w:rFonts w:ascii="Times New Roman" w:hAnsi="Times New Roman" w:cs="Times New Roman"/>
                <w:noProof/>
                <w:vertAlign w:val="superscript"/>
              </w:rPr>
              <w:t>(2)</w:t>
            </w:r>
            <w:r w:rsidRPr="009617F3">
              <w:rPr>
                <w:rFonts w:ascii="Times New Roman" w:hAnsi="Times New Roman" w:cs="Times New Roman"/>
                <w:vertAlign w:val="superscript"/>
              </w:rPr>
              <w:fldChar w:fldCharType="end"/>
            </w:r>
          </w:p>
        </w:tc>
        <w:tc>
          <w:tcPr>
            <w:tcW w:w="1440" w:type="dxa"/>
          </w:tcPr>
          <w:p w14:paraId="532FEF75" w14:textId="3ECB107A" w:rsidR="008C7DAF" w:rsidRPr="00484EFC" w:rsidRDefault="008C7DAF" w:rsidP="004F6634">
            <w:pPr>
              <w:rPr>
                <w:rFonts w:ascii="Times New Roman" w:hAnsi="Times New Roman" w:cs="Times New Roman"/>
                <w:b/>
              </w:rPr>
            </w:pPr>
            <w:r w:rsidRPr="00F65AC8">
              <w:rPr>
                <w:rFonts w:ascii="Times New Roman" w:hAnsi="Times New Roman" w:cs="Times New Roman"/>
              </w:rPr>
              <w:t>1986</w:t>
            </w:r>
          </w:p>
        </w:tc>
        <w:tc>
          <w:tcPr>
            <w:tcW w:w="1535" w:type="dxa"/>
          </w:tcPr>
          <w:p w14:paraId="71022B4D" w14:textId="0F43E37A" w:rsidR="008C7DAF" w:rsidRPr="00484EFC" w:rsidRDefault="008C7DAF" w:rsidP="003F30BD">
            <w:pPr>
              <w:jc w:val="both"/>
              <w:rPr>
                <w:rFonts w:ascii="Times New Roman" w:hAnsi="Times New Roman" w:cs="Times New Roman"/>
                <w:b/>
              </w:rPr>
            </w:pPr>
            <w:r w:rsidRPr="00F65AC8">
              <w:rPr>
                <w:rFonts w:ascii="Times New Roman" w:hAnsi="Times New Roman" w:cs="Times New Roman"/>
              </w:rPr>
              <w:t>Cohort study</w:t>
            </w:r>
          </w:p>
        </w:tc>
        <w:tc>
          <w:tcPr>
            <w:tcW w:w="1203" w:type="dxa"/>
          </w:tcPr>
          <w:p w14:paraId="7B4413F8" w14:textId="3A7A79EA" w:rsidR="008C7DAF" w:rsidRPr="00484EFC" w:rsidRDefault="008C7DAF" w:rsidP="003F30BD">
            <w:pPr>
              <w:jc w:val="both"/>
              <w:rPr>
                <w:rFonts w:ascii="Times New Roman" w:hAnsi="Times New Roman" w:cs="Times New Roman"/>
                <w:b/>
              </w:rPr>
            </w:pPr>
            <w:r w:rsidRPr="00F65AC8">
              <w:rPr>
                <w:rFonts w:ascii="Times New Roman" w:hAnsi="Times New Roman" w:cs="Times New Roman"/>
              </w:rPr>
              <w:t>Zaire in the Democratic Republic of the Congo</w:t>
            </w:r>
          </w:p>
        </w:tc>
        <w:tc>
          <w:tcPr>
            <w:tcW w:w="1402" w:type="dxa"/>
          </w:tcPr>
          <w:p w14:paraId="7DBEF99E" w14:textId="07A3E180" w:rsidR="008C7DAF" w:rsidRDefault="008C7DAF" w:rsidP="003F30BD">
            <w:pPr>
              <w:jc w:val="both"/>
              <w:rPr>
                <w:rFonts w:ascii="Times New Roman" w:hAnsi="Times New Roman" w:cs="Times New Roman"/>
                <w:b/>
              </w:rPr>
            </w:pPr>
            <w:r w:rsidRPr="00F65AC8">
              <w:rPr>
                <w:rFonts w:ascii="Times New Roman" w:hAnsi="Times New Roman" w:cs="Times New Roman"/>
              </w:rPr>
              <w:t>Smallpox vaccine</w:t>
            </w:r>
          </w:p>
        </w:tc>
        <w:tc>
          <w:tcPr>
            <w:tcW w:w="6210" w:type="dxa"/>
          </w:tcPr>
          <w:p w14:paraId="227B0B3A" w14:textId="2D9B42D5" w:rsidR="008C7DAF" w:rsidRDefault="00175FD5" w:rsidP="003F30BD">
            <w:pPr>
              <w:jc w:val="both"/>
              <w:rPr>
                <w:rFonts w:ascii="Times New Roman" w:hAnsi="Times New Roman" w:cs="Times New Roman"/>
                <w:b/>
              </w:rPr>
            </w:pPr>
            <w:r>
              <w:rPr>
                <w:rFonts w:ascii="Times New Roman" w:hAnsi="Times New Roman" w:cs="Times New Roman"/>
              </w:rPr>
              <w:t>T</w:t>
            </w:r>
            <w:r w:rsidR="008C7DAF" w:rsidRPr="00F65AC8">
              <w:rPr>
                <w:rFonts w:ascii="Times New Roman" w:hAnsi="Times New Roman" w:cs="Times New Roman"/>
              </w:rPr>
              <w:t xml:space="preserve">he </w:t>
            </w:r>
            <w:bookmarkStart w:id="0" w:name="_Hlk109602476"/>
            <w:r w:rsidR="008C7DAF" w:rsidRPr="00F65AC8">
              <w:rPr>
                <w:rFonts w:ascii="Times New Roman" w:hAnsi="Times New Roman" w:cs="Times New Roman"/>
              </w:rPr>
              <w:t xml:space="preserve">standard smallpox vaccine was 85% effective in preventing </w:t>
            </w:r>
            <w:r>
              <w:rPr>
                <w:rFonts w:ascii="Times New Roman" w:hAnsi="Times New Roman" w:cs="Times New Roman"/>
              </w:rPr>
              <w:t xml:space="preserve">monkeypox </w:t>
            </w:r>
            <w:r w:rsidR="008C7DAF" w:rsidRPr="00F65AC8">
              <w:rPr>
                <w:rFonts w:ascii="Times New Roman" w:hAnsi="Times New Roman" w:cs="Times New Roman"/>
              </w:rPr>
              <w:t xml:space="preserve">disease. </w:t>
            </w:r>
            <w:bookmarkEnd w:id="0"/>
            <w:r>
              <w:rPr>
                <w:rFonts w:ascii="Times New Roman" w:hAnsi="Times New Roman" w:cs="Times New Roman"/>
              </w:rPr>
              <w:t>T</w:t>
            </w:r>
            <w:r w:rsidR="008C7DAF" w:rsidRPr="00F65AC8">
              <w:rPr>
                <w:rFonts w:ascii="Times New Roman" w:hAnsi="Times New Roman" w:cs="Times New Roman"/>
              </w:rPr>
              <w:t xml:space="preserve">he attack rate for monkeypox </w:t>
            </w:r>
            <w:r>
              <w:rPr>
                <w:rFonts w:ascii="Times New Roman" w:hAnsi="Times New Roman" w:cs="Times New Roman"/>
              </w:rPr>
              <w:t>among the</w:t>
            </w:r>
            <w:r w:rsidR="008C7DAF" w:rsidRPr="00F65AC8">
              <w:rPr>
                <w:rFonts w:ascii="Times New Roman" w:hAnsi="Times New Roman" w:cs="Times New Roman"/>
              </w:rPr>
              <w:t xml:space="preserve"> 12</w:t>
            </w:r>
            <w:r>
              <w:rPr>
                <w:rFonts w:ascii="Times New Roman" w:hAnsi="Times New Roman" w:cs="Times New Roman"/>
              </w:rPr>
              <w:t>,</w:t>
            </w:r>
            <w:r w:rsidR="008C7DAF" w:rsidRPr="00F65AC8">
              <w:rPr>
                <w:rFonts w:ascii="Times New Roman" w:hAnsi="Times New Roman" w:cs="Times New Roman"/>
              </w:rPr>
              <w:t xml:space="preserve">070 Unvaccinated household contacts </w:t>
            </w:r>
            <w:r>
              <w:rPr>
                <w:rFonts w:ascii="Times New Roman" w:hAnsi="Times New Roman" w:cs="Times New Roman"/>
              </w:rPr>
              <w:t>along</w:t>
            </w:r>
            <w:r w:rsidR="008C7DAF" w:rsidRPr="00F65AC8">
              <w:rPr>
                <w:rFonts w:ascii="Times New Roman" w:hAnsi="Times New Roman" w:cs="Times New Roman"/>
              </w:rPr>
              <w:t xml:space="preserve"> with </w:t>
            </w:r>
            <w:r w:rsidR="00075AD3">
              <w:rPr>
                <w:rFonts w:ascii="Times New Roman" w:hAnsi="Times New Roman" w:cs="Times New Roman"/>
              </w:rPr>
              <w:t xml:space="preserve">smallpox </w:t>
            </w:r>
            <w:r>
              <w:rPr>
                <w:rFonts w:ascii="Times New Roman" w:hAnsi="Times New Roman" w:cs="Times New Roman"/>
              </w:rPr>
              <w:t xml:space="preserve">infection </w:t>
            </w:r>
            <w:r w:rsidR="00075AD3">
              <w:rPr>
                <w:rFonts w:ascii="Times New Roman" w:hAnsi="Times New Roman" w:cs="Times New Roman"/>
              </w:rPr>
              <w:t xml:space="preserve">rates </w:t>
            </w:r>
            <w:r>
              <w:rPr>
                <w:rFonts w:ascii="Times New Roman" w:hAnsi="Times New Roman" w:cs="Times New Roman"/>
              </w:rPr>
              <w:t xml:space="preserve">was </w:t>
            </w:r>
            <w:r w:rsidR="00075AD3">
              <w:rPr>
                <w:rFonts w:ascii="Times New Roman" w:hAnsi="Times New Roman" w:cs="Times New Roman"/>
              </w:rPr>
              <w:t>ranging</w:t>
            </w:r>
            <w:r w:rsidR="008C7DAF" w:rsidRPr="00F65AC8">
              <w:rPr>
                <w:rFonts w:ascii="Times New Roman" w:hAnsi="Times New Roman" w:cs="Times New Roman"/>
              </w:rPr>
              <w:t xml:space="preserve"> from 37% to 88%. Statistical analysis of vaccination history and closeness of</w:t>
            </w:r>
            <w:r w:rsidR="008C7DAF">
              <w:rPr>
                <w:rFonts w:ascii="Times New Roman" w:hAnsi="Times New Roman" w:cs="Times New Roman"/>
              </w:rPr>
              <w:t xml:space="preserve"> </w:t>
            </w:r>
            <w:r w:rsidR="008C7DAF" w:rsidRPr="00F65AC8">
              <w:rPr>
                <w:rFonts w:ascii="Times New Roman" w:hAnsi="Times New Roman" w:cs="Times New Roman"/>
              </w:rPr>
              <w:t>contact revealed that new cases of</w:t>
            </w:r>
            <w:r w:rsidR="008C7DAF">
              <w:rPr>
                <w:rFonts w:ascii="Times New Roman" w:hAnsi="Times New Roman" w:cs="Times New Roman"/>
              </w:rPr>
              <w:t xml:space="preserve"> </w:t>
            </w:r>
            <w:r w:rsidR="008C7DAF" w:rsidRPr="00F65AC8">
              <w:rPr>
                <w:rFonts w:ascii="Times New Roman" w:hAnsi="Times New Roman" w:cs="Times New Roman"/>
              </w:rPr>
              <w:t>monkeypox were</w:t>
            </w:r>
            <w:r w:rsidR="008C7DAF">
              <w:rPr>
                <w:rFonts w:ascii="Times New Roman" w:hAnsi="Times New Roman" w:cs="Times New Roman"/>
              </w:rPr>
              <w:t xml:space="preserve"> </w:t>
            </w:r>
            <w:r w:rsidR="008C7DAF" w:rsidRPr="00F65AC8">
              <w:rPr>
                <w:rFonts w:ascii="Times New Roman" w:hAnsi="Times New Roman" w:cs="Times New Roman"/>
              </w:rPr>
              <w:t>much more likely to occur in unvaccinated than in</w:t>
            </w:r>
            <w:r w:rsidR="008C7DAF">
              <w:rPr>
                <w:rFonts w:ascii="Times New Roman" w:hAnsi="Times New Roman" w:cs="Times New Roman"/>
              </w:rPr>
              <w:t xml:space="preserve"> </w:t>
            </w:r>
            <w:r w:rsidR="008C7DAF" w:rsidRPr="00F65AC8">
              <w:rPr>
                <w:rFonts w:ascii="Times New Roman" w:hAnsi="Times New Roman" w:cs="Times New Roman"/>
              </w:rPr>
              <w:t>vaccinated contacts and in</w:t>
            </w:r>
            <w:r w:rsidR="008C7DAF">
              <w:rPr>
                <w:rFonts w:ascii="Times New Roman" w:hAnsi="Times New Roman" w:cs="Times New Roman"/>
              </w:rPr>
              <w:t xml:space="preserve"> </w:t>
            </w:r>
            <w:r w:rsidR="008132B5">
              <w:rPr>
                <w:rFonts w:ascii="Times New Roman" w:hAnsi="Times New Roman" w:cs="Times New Roman"/>
              </w:rPr>
              <w:t>households</w:t>
            </w:r>
            <w:r w:rsidR="008C7DAF" w:rsidRPr="00F65AC8">
              <w:rPr>
                <w:rFonts w:ascii="Times New Roman" w:hAnsi="Times New Roman" w:cs="Times New Roman"/>
              </w:rPr>
              <w:t xml:space="preserve"> rather than in more-casual contacts.</w:t>
            </w:r>
          </w:p>
        </w:tc>
      </w:tr>
      <w:tr w:rsidR="008C7DAF" w:rsidRPr="00484EFC" w14:paraId="7F022E4E" w14:textId="77777777" w:rsidTr="008C7DAF">
        <w:trPr>
          <w:jc w:val="center"/>
        </w:trPr>
        <w:tc>
          <w:tcPr>
            <w:tcW w:w="1620" w:type="dxa"/>
          </w:tcPr>
          <w:p w14:paraId="476FBD2F" w14:textId="03B83334" w:rsidR="008C7DAF" w:rsidRPr="00484EFC" w:rsidRDefault="008C7DAF" w:rsidP="004F6634">
            <w:pPr>
              <w:rPr>
                <w:rFonts w:ascii="Times New Roman" w:hAnsi="Times New Roman" w:cs="Times New Roman"/>
                <w:b/>
              </w:rPr>
            </w:pPr>
            <w:proofErr w:type="spellStart"/>
            <w:r>
              <w:rPr>
                <w:rFonts w:ascii="Times New Roman" w:hAnsi="Times New Roman" w:cs="Times New Roman"/>
              </w:rPr>
              <w:t>J</w:t>
            </w:r>
            <w:r w:rsidRPr="00BA7A44">
              <w:rPr>
                <w:rFonts w:ascii="Times New Roman" w:hAnsi="Times New Roman" w:cs="Times New Roman"/>
              </w:rPr>
              <w:t>ezek</w:t>
            </w:r>
            <w:proofErr w:type="spellEnd"/>
            <w:r>
              <w:rPr>
                <w:rFonts w:ascii="Times New Roman" w:hAnsi="Times New Roman" w:cs="Times New Roman"/>
              </w:rPr>
              <w:t xml:space="preserve"> Z. et al.</w:t>
            </w:r>
            <w:r w:rsidRPr="009617F3">
              <w:rPr>
                <w:rFonts w:ascii="Times New Roman" w:hAnsi="Times New Roman" w:cs="Times New Roman"/>
                <w:vertAlign w:val="superscript"/>
              </w:rPr>
              <w:fldChar w:fldCharType="begin" w:fldLock="1"/>
            </w:r>
            <w:r w:rsidRPr="009617F3">
              <w:rPr>
                <w:rFonts w:ascii="Times New Roman" w:hAnsi="Times New Roman" w:cs="Times New Roman"/>
                <w:vertAlign w:val="superscript"/>
              </w:rPr>
              <w:instrText>ADDIN CSL_CITATION {"citationItems":[{"id":"ITEM-1","itemData":{"DOI":"10.1093/oxfordjournals.aje.a114747","ISSN":"0002-9262 (Print)","PMID":"2825518","abstract":"With the eradication of smallpox, systematic routine vaccination with vaccinia  has ceased and an increasing proportion of the human population in tropical rain forest areas of central and western Africa lacks vaccinia-derived immunity to monkeypox virus. This raises the question of the ability of monkeypox virus to establish and maintain itself in an unvaccinated population through continuous man-to-man transmission. A computerized stochastic model of Monte Carlo type was constructed to assess this potential risk. Simulated series were repeated 100 times to obtain distributions of predicted outcomes for decreasing levels of vaccination coverage (70 per cent, 50 per cent, and 0 per cent). The results revealed a substantial increase in new secondary cases in the total absence of vaccinia-induced immunity. Nevertheless, none of the simulated series did lead to an \"explosive\" epidemic. The model clearly indicated diminishing numbers of cases in successive generations and eventual cessation of transmission. Therefore, it appears highly improbable that the virus could maintain itself permanently in communities by interhuman transmission. After the eradication of smallpox, human monkeypox constitutes the most important orthopoxvirus infection in man, but analysis of information collected up to this time suggests that it does not represent currently a serious public health problem or a challenge to the achieved eradication of smallpox.","author":[{"dropping-particle":"","family":"Jezek","given":"Z","non-dropping-particle":"","parse-names":false,"suffix":""},{"dropping-particle":"","family":"Grab","given":"B","non-dropping-particle":"","parse-names":false,"suffix":""},{"dropping-particle":"","family":"Dixon","given":"H","non-dropping-particle":"","parse-names":false,"suffix":""}],"container-title":"American journal of epidemiology","id":"ITEM-1","issue":"6","issued":{"date-parts":[["1987","12"]]},"language":"eng","page":"1082-1092","publisher-place":"United States","title":"Stochastic model for interhuman spread of monkeypox.","type":"article-journal","volume":"126"},"uris":["http://www.mendeley.com/documents/?uuid=abc9c4f8-100a-43db-901c-fdc74fe38f04"]}],"mendeley":{"formattedCitation":"(3)","plainTextFormattedCitation":"(3)","previouslyFormattedCitation":"(3)"},"properties":{"noteIndex":0},"schema":"https://github.com/citation-style-language/schema/raw/master/csl-citation.json"}</w:instrText>
            </w:r>
            <w:r w:rsidRPr="009617F3">
              <w:rPr>
                <w:rFonts w:ascii="Times New Roman" w:hAnsi="Times New Roman" w:cs="Times New Roman"/>
                <w:vertAlign w:val="superscript"/>
              </w:rPr>
              <w:fldChar w:fldCharType="separate"/>
            </w:r>
            <w:r w:rsidRPr="009617F3">
              <w:rPr>
                <w:rFonts w:ascii="Times New Roman" w:hAnsi="Times New Roman" w:cs="Times New Roman"/>
                <w:noProof/>
                <w:vertAlign w:val="superscript"/>
              </w:rPr>
              <w:t>(3)</w:t>
            </w:r>
            <w:r w:rsidRPr="009617F3">
              <w:rPr>
                <w:rFonts w:ascii="Times New Roman" w:hAnsi="Times New Roman" w:cs="Times New Roman"/>
                <w:vertAlign w:val="superscript"/>
              </w:rPr>
              <w:fldChar w:fldCharType="end"/>
            </w:r>
          </w:p>
        </w:tc>
        <w:tc>
          <w:tcPr>
            <w:tcW w:w="1440" w:type="dxa"/>
          </w:tcPr>
          <w:p w14:paraId="24B986CC" w14:textId="18F8047C" w:rsidR="008C7DAF" w:rsidRPr="00484EFC" w:rsidRDefault="008C7DAF" w:rsidP="004F6634">
            <w:pPr>
              <w:rPr>
                <w:rFonts w:ascii="Times New Roman" w:hAnsi="Times New Roman" w:cs="Times New Roman"/>
                <w:b/>
              </w:rPr>
            </w:pPr>
            <w:r w:rsidRPr="00BA7A44">
              <w:rPr>
                <w:rFonts w:ascii="Times New Roman" w:hAnsi="Times New Roman" w:cs="Times New Roman"/>
              </w:rPr>
              <w:t>1987</w:t>
            </w:r>
          </w:p>
        </w:tc>
        <w:tc>
          <w:tcPr>
            <w:tcW w:w="1535" w:type="dxa"/>
          </w:tcPr>
          <w:p w14:paraId="7C7507F6" w14:textId="7DD0C55C" w:rsidR="008C7DAF" w:rsidRPr="00484EFC" w:rsidRDefault="008C7DAF" w:rsidP="003F30BD">
            <w:pPr>
              <w:jc w:val="both"/>
              <w:rPr>
                <w:rFonts w:ascii="Times New Roman" w:hAnsi="Times New Roman" w:cs="Times New Roman"/>
                <w:b/>
              </w:rPr>
            </w:pPr>
            <w:r w:rsidRPr="00BA7A44">
              <w:rPr>
                <w:rFonts w:ascii="Times New Roman" w:hAnsi="Times New Roman" w:cs="Times New Roman"/>
              </w:rPr>
              <w:t>A computerized Monte Carlo model</w:t>
            </w:r>
          </w:p>
        </w:tc>
        <w:tc>
          <w:tcPr>
            <w:tcW w:w="1203" w:type="dxa"/>
          </w:tcPr>
          <w:p w14:paraId="30BF6FFD" w14:textId="4D306317" w:rsidR="008C7DAF" w:rsidRPr="00484EFC" w:rsidRDefault="008C7DAF" w:rsidP="003F30BD">
            <w:pPr>
              <w:jc w:val="both"/>
              <w:rPr>
                <w:rFonts w:ascii="Times New Roman" w:hAnsi="Times New Roman" w:cs="Times New Roman"/>
                <w:b/>
              </w:rPr>
            </w:pPr>
            <w:r>
              <w:rPr>
                <w:rFonts w:ascii="Times New Roman" w:hAnsi="Times New Roman" w:cs="Times New Roman"/>
              </w:rPr>
              <w:t>Zaire, Africa</w:t>
            </w:r>
          </w:p>
        </w:tc>
        <w:tc>
          <w:tcPr>
            <w:tcW w:w="1402" w:type="dxa"/>
          </w:tcPr>
          <w:p w14:paraId="3B380E0F" w14:textId="54564F2F" w:rsidR="008C7DAF" w:rsidRDefault="008C7DAF" w:rsidP="003F30BD">
            <w:pPr>
              <w:jc w:val="both"/>
              <w:rPr>
                <w:rFonts w:ascii="Times New Roman" w:hAnsi="Times New Roman" w:cs="Times New Roman"/>
                <w:b/>
              </w:rPr>
            </w:pPr>
            <w:r>
              <w:rPr>
                <w:rFonts w:ascii="Times New Roman" w:hAnsi="Times New Roman" w:cs="Times New Roman"/>
              </w:rPr>
              <w:t>Smallpox vaccine</w:t>
            </w:r>
          </w:p>
        </w:tc>
        <w:tc>
          <w:tcPr>
            <w:tcW w:w="6210" w:type="dxa"/>
          </w:tcPr>
          <w:p w14:paraId="7080246C" w14:textId="4F896345" w:rsidR="008C7DAF" w:rsidRDefault="002C2E84" w:rsidP="003F30BD">
            <w:pPr>
              <w:jc w:val="both"/>
              <w:rPr>
                <w:rFonts w:ascii="Times New Roman" w:hAnsi="Times New Roman" w:cs="Times New Roman"/>
                <w:b/>
              </w:rPr>
            </w:pPr>
            <w:r w:rsidRPr="002C2E84">
              <w:rPr>
                <w:rFonts w:ascii="Times New Roman" w:hAnsi="Times New Roman" w:cs="Times New Roman"/>
              </w:rPr>
              <w:t xml:space="preserve">The secondary attack rate </w:t>
            </w:r>
            <w:r w:rsidR="00C73DED">
              <w:rPr>
                <w:rFonts w:ascii="Times New Roman" w:hAnsi="Times New Roman" w:cs="Times New Roman"/>
              </w:rPr>
              <w:t>among the</w:t>
            </w:r>
            <w:r w:rsidRPr="002C2E84">
              <w:rPr>
                <w:rFonts w:ascii="Times New Roman" w:hAnsi="Times New Roman" w:cs="Times New Roman"/>
              </w:rPr>
              <w:t xml:space="preserve"> close contact</w:t>
            </w:r>
            <w:r w:rsidR="00C73DED">
              <w:rPr>
                <w:rFonts w:ascii="Times New Roman" w:hAnsi="Times New Roman" w:cs="Times New Roman"/>
              </w:rPr>
              <w:t>s</w:t>
            </w:r>
            <w:r w:rsidRPr="002C2E84">
              <w:rPr>
                <w:rFonts w:ascii="Times New Roman" w:hAnsi="Times New Roman" w:cs="Times New Roman"/>
              </w:rPr>
              <w:t xml:space="preserve"> was 0.030. The attack rate was strongly related to the residence and the vaccination status of the close contacts. The secondary attack rate (for the first generation) among unvaccinated contacts who lived in the same residence as an index case was as high as 0.110. In contrast, the corresponding rate among vaccinated contacts who lived outside the affected household was almost 30 times lower (0.004).</w:t>
            </w:r>
          </w:p>
        </w:tc>
      </w:tr>
      <w:tr w:rsidR="008C7DAF" w:rsidRPr="00484EFC" w14:paraId="65F9D0DA" w14:textId="77777777" w:rsidTr="008C7DAF">
        <w:trPr>
          <w:jc w:val="center"/>
        </w:trPr>
        <w:tc>
          <w:tcPr>
            <w:tcW w:w="1620" w:type="dxa"/>
          </w:tcPr>
          <w:p w14:paraId="5658AE32" w14:textId="6AAAF286" w:rsidR="008C7DAF" w:rsidRDefault="008C7DAF" w:rsidP="004F6634">
            <w:pPr>
              <w:rPr>
                <w:rFonts w:ascii="Times New Roman" w:hAnsi="Times New Roman" w:cs="Times New Roman"/>
              </w:rPr>
            </w:pPr>
            <w:r w:rsidRPr="00885968">
              <w:rPr>
                <w:rFonts w:ascii="Times New Roman" w:hAnsi="Times New Roman" w:cs="Times New Roman"/>
              </w:rPr>
              <w:t>Fine P.E. et al.</w:t>
            </w:r>
            <w:r w:rsidRPr="009617F3">
              <w:rPr>
                <w:rFonts w:ascii="Times New Roman" w:hAnsi="Times New Roman" w:cs="Times New Roman"/>
                <w:vertAlign w:val="superscript"/>
              </w:rPr>
              <w:fldChar w:fldCharType="begin" w:fldLock="1"/>
            </w:r>
            <w:r w:rsidRPr="009617F3">
              <w:rPr>
                <w:rFonts w:ascii="Times New Roman" w:hAnsi="Times New Roman" w:cs="Times New Roman"/>
                <w:vertAlign w:val="superscript"/>
              </w:rPr>
              <w:instrText>ADDIN CSL_CITATION {"citationItems":[{"id":"ITEM-1","itemData":{"DOI":"10.1093/ije/17.3.643","ISSN":"0300-5771 (Print)","PMID":"2850277","abstract":"Data on monkeypox in Zaire over the five years 1980-1984 are analysed to assess  the protection imparted by past smallpox vaccination and the transmission potential of the virus in unvaccinated communities. Attack rates in individuals with and without vaccination scars indicated that smallpox vaccination (discontinued in 1980) imparted approximately 85% protection against monkeypox. It is predicted that monkeypox virus will continue to be introduced into human communities from animal sources, and that the average magnitude and duration of monkeypox epidemics will increase as vaccine-derived protection declines in the population. On the other hand, current evidence indicates that the virus is appreciably less transmissible than was smallpox, and that it will not persist in human communities, even in the total absence of vaccination. The findings thus support the recommendation of the Global Commission for the Certification of Smallpox Eradication to cease routine smallpox vaccination in monkeypox endemic areas, but to encourage continued epidemiological surveillance.","author":[{"dropping-particle":"","family":"Fine","given":"P E","non-dropping-particle":"","parse-names":false,"suffix":""},{"dropping-particle":"","family":"Jezek","given":"Z","non-dropping-particle":"","parse-names":false,"suffix":""},{"dropping-particle":"","family":"Grab","given":"B","non-dropping-particle":"","parse-names":false,"suffix":""},{"dropping-particle":"","family":"Dixon","given":"H","non-dropping-particle":"","parse-names":false,"suffix":""}],"container-title":"International journal of epidemiology","id":"ITEM-1","issue":"3","issued":{"date-parts":[["1988","9"]]},"language":"eng","page":"643-650","publisher-place":"England","title":"The transmission potential of monkeypox virus in human populations.","type":"article-journal","volume":"17"},"uris":["http://www.mendeley.com/documents/?uuid=e01dc80e-74fb-4d7d-bcf8-dab753dc10c6"]}],"mendeley":{"formattedCitation":"(4)","plainTextFormattedCitation":"(4)","previouslyFormattedCitation":"(4)"},"properties":{"noteIndex":0},"schema":"https://github.com/citation-style-language/schema/raw/master/csl-citation.json"}</w:instrText>
            </w:r>
            <w:r w:rsidRPr="009617F3">
              <w:rPr>
                <w:rFonts w:ascii="Times New Roman" w:hAnsi="Times New Roman" w:cs="Times New Roman"/>
                <w:vertAlign w:val="superscript"/>
              </w:rPr>
              <w:fldChar w:fldCharType="separate"/>
            </w:r>
            <w:r w:rsidRPr="009617F3">
              <w:rPr>
                <w:rFonts w:ascii="Times New Roman" w:hAnsi="Times New Roman" w:cs="Times New Roman"/>
                <w:noProof/>
                <w:vertAlign w:val="superscript"/>
              </w:rPr>
              <w:t>(4)</w:t>
            </w:r>
            <w:r w:rsidRPr="009617F3">
              <w:rPr>
                <w:rFonts w:ascii="Times New Roman" w:hAnsi="Times New Roman" w:cs="Times New Roman"/>
                <w:vertAlign w:val="superscript"/>
              </w:rPr>
              <w:fldChar w:fldCharType="end"/>
            </w:r>
          </w:p>
        </w:tc>
        <w:tc>
          <w:tcPr>
            <w:tcW w:w="1440" w:type="dxa"/>
          </w:tcPr>
          <w:p w14:paraId="231F8876" w14:textId="534B3444" w:rsidR="008C7DAF" w:rsidRPr="00BA7A44" w:rsidRDefault="008C7DAF" w:rsidP="004F6634">
            <w:pPr>
              <w:rPr>
                <w:rFonts w:ascii="Times New Roman" w:hAnsi="Times New Roman" w:cs="Times New Roman"/>
              </w:rPr>
            </w:pPr>
            <w:r w:rsidRPr="00885968">
              <w:rPr>
                <w:rFonts w:ascii="Times New Roman" w:hAnsi="Times New Roman" w:cs="Times New Roman"/>
              </w:rPr>
              <w:t>1988</w:t>
            </w:r>
          </w:p>
        </w:tc>
        <w:tc>
          <w:tcPr>
            <w:tcW w:w="1535" w:type="dxa"/>
          </w:tcPr>
          <w:p w14:paraId="0720EC4C" w14:textId="77777777" w:rsidR="008C7DAF" w:rsidRPr="00885968" w:rsidRDefault="008C7DAF" w:rsidP="003F30BD">
            <w:pPr>
              <w:jc w:val="both"/>
              <w:rPr>
                <w:rFonts w:ascii="Times New Roman" w:hAnsi="Times New Roman" w:cs="Times New Roman"/>
              </w:rPr>
            </w:pPr>
            <w:r>
              <w:rPr>
                <w:rFonts w:ascii="Times New Roman" w:hAnsi="Times New Roman" w:cs="Times New Roman"/>
              </w:rPr>
              <w:t xml:space="preserve">Analysis of data </w:t>
            </w:r>
            <w:r w:rsidRPr="00885968">
              <w:rPr>
                <w:rFonts w:ascii="Times New Roman" w:hAnsi="Times New Roman" w:cs="Times New Roman"/>
              </w:rPr>
              <w:t>on monkeypox in Zaire over the five years 1980-1984</w:t>
            </w:r>
          </w:p>
          <w:p w14:paraId="0BC2D79C" w14:textId="77777777" w:rsidR="008C7DAF" w:rsidRPr="00BA7A44" w:rsidRDefault="008C7DAF" w:rsidP="003F30BD">
            <w:pPr>
              <w:jc w:val="both"/>
              <w:rPr>
                <w:rFonts w:ascii="Times New Roman" w:hAnsi="Times New Roman" w:cs="Times New Roman"/>
              </w:rPr>
            </w:pPr>
          </w:p>
        </w:tc>
        <w:tc>
          <w:tcPr>
            <w:tcW w:w="1203" w:type="dxa"/>
          </w:tcPr>
          <w:p w14:paraId="4CD62CC0" w14:textId="1515E00D" w:rsidR="008C7DAF" w:rsidRDefault="008C7DAF" w:rsidP="003F30BD">
            <w:pPr>
              <w:jc w:val="both"/>
              <w:rPr>
                <w:rFonts w:ascii="Times New Roman" w:hAnsi="Times New Roman" w:cs="Times New Roman"/>
              </w:rPr>
            </w:pPr>
            <w:r>
              <w:rPr>
                <w:rFonts w:ascii="Times New Roman" w:hAnsi="Times New Roman" w:cs="Times New Roman"/>
              </w:rPr>
              <w:t>Zaire, Africa</w:t>
            </w:r>
          </w:p>
        </w:tc>
        <w:tc>
          <w:tcPr>
            <w:tcW w:w="1402" w:type="dxa"/>
          </w:tcPr>
          <w:p w14:paraId="4F7F9A9D" w14:textId="03410E4B" w:rsidR="008C7DAF" w:rsidRDefault="008C7DAF" w:rsidP="003F30BD">
            <w:pPr>
              <w:jc w:val="both"/>
              <w:rPr>
                <w:rFonts w:ascii="Times New Roman" w:hAnsi="Times New Roman" w:cs="Times New Roman"/>
              </w:rPr>
            </w:pPr>
            <w:r w:rsidRPr="00885968">
              <w:rPr>
                <w:rFonts w:ascii="Times New Roman" w:hAnsi="Times New Roman" w:cs="Times New Roman"/>
              </w:rPr>
              <w:t>Smallpox vaccine (Vaccinia)</w:t>
            </w:r>
          </w:p>
        </w:tc>
        <w:tc>
          <w:tcPr>
            <w:tcW w:w="6210" w:type="dxa"/>
          </w:tcPr>
          <w:p w14:paraId="6D5B6335" w14:textId="2D1BF67D" w:rsidR="008C7DAF" w:rsidRPr="00BA7A44" w:rsidRDefault="002878C8" w:rsidP="003F30BD">
            <w:pPr>
              <w:jc w:val="both"/>
              <w:rPr>
                <w:rFonts w:ascii="Times New Roman" w:hAnsi="Times New Roman" w:cs="Times New Roman"/>
              </w:rPr>
            </w:pPr>
            <w:bookmarkStart w:id="1" w:name="_Hlk109602664"/>
            <w:r>
              <w:rPr>
                <w:rFonts w:ascii="Times New Roman" w:hAnsi="Times New Roman" w:cs="Times New Roman"/>
              </w:rPr>
              <w:t>T</w:t>
            </w:r>
            <w:r w:rsidR="002C2E84" w:rsidRPr="002C2E84">
              <w:rPr>
                <w:rFonts w:ascii="Times New Roman" w:hAnsi="Times New Roman" w:cs="Times New Roman"/>
              </w:rPr>
              <w:t>he secondary attack rate</w:t>
            </w:r>
            <w:r>
              <w:rPr>
                <w:rFonts w:ascii="Times New Roman" w:hAnsi="Times New Roman" w:cs="Times New Roman"/>
              </w:rPr>
              <w:t xml:space="preserve"> was</w:t>
            </w:r>
            <w:r w:rsidR="002C2E84" w:rsidRPr="002C2E84">
              <w:rPr>
                <w:rFonts w:ascii="Times New Roman" w:hAnsi="Times New Roman" w:cs="Times New Roman"/>
              </w:rPr>
              <w:t xml:space="preserve"> 0.</w:t>
            </w:r>
            <w:bookmarkEnd w:id="1"/>
            <w:r w:rsidR="002C2E84" w:rsidRPr="002C2E84">
              <w:rPr>
                <w:rFonts w:ascii="Times New Roman" w:hAnsi="Times New Roman" w:cs="Times New Roman"/>
              </w:rPr>
              <w:t>110 for</w:t>
            </w:r>
            <w:r>
              <w:rPr>
                <w:rFonts w:ascii="Times New Roman" w:hAnsi="Times New Roman" w:cs="Times New Roman"/>
              </w:rPr>
              <w:t xml:space="preserve"> the unvaccinated</w:t>
            </w:r>
            <w:r w:rsidR="002C2E84" w:rsidRPr="002C2E84">
              <w:rPr>
                <w:rFonts w:ascii="Times New Roman" w:hAnsi="Times New Roman" w:cs="Times New Roman"/>
              </w:rPr>
              <w:t xml:space="preserve"> contacts in the same household and 0.038 for </w:t>
            </w:r>
            <w:r>
              <w:rPr>
                <w:rFonts w:ascii="Times New Roman" w:hAnsi="Times New Roman" w:cs="Times New Roman"/>
              </w:rPr>
              <w:t>the contacts</w:t>
            </w:r>
            <w:r w:rsidR="002C2E84" w:rsidRPr="002C2E84">
              <w:rPr>
                <w:rFonts w:ascii="Times New Roman" w:hAnsi="Times New Roman" w:cs="Times New Roman"/>
              </w:rPr>
              <w:t xml:space="preserve"> outside the same family. The equivalent rates for contacts who had vaccinations were 0.017 and 0.004, respectively. Therefore, among those contacts with a history of vaccination—70% (1099 out of 1573) received a high level of protection from the vaccine.</w:t>
            </w:r>
          </w:p>
        </w:tc>
      </w:tr>
      <w:tr w:rsidR="008C7DAF" w:rsidRPr="00484EFC" w14:paraId="077905F3" w14:textId="77777777" w:rsidTr="008C7DAF">
        <w:trPr>
          <w:jc w:val="center"/>
        </w:trPr>
        <w:tc>
          <w:tcPr>
            <w:tcW w:w="1620" w:type="dxa"/>
          </w:tcPr>
          <w:p w14:paraId="693E5110" w14:textId="701D5A53" w:rsidR="008C7DAF" w:rsidRPr="00885968" w:rsidRDefault="008C7DAF" w:rsidP="004F6634">
            <w:pPr>
              <w:rPr>
                <w:rFonts w:ascii="Times New Roman" w:hAnsi="Times New Roman" w:cs="Times New Roman"/>
              </w:rPr>
            </w:pPr>
            <w:proofErr w:type="spellStart"/>
            <w:r w:rsidRPr="00484EFC">
              <w:rPr>
                <w:rFonts w:ascii="Times New Roman" w:hAnsi="Times New Roman" w:cs="Times New Roman"/>
              </w:rPr>
              <w:t>Je</w:t>
            </w:r>
            <w:r>
              <w:rPr>
                <w:rFonts w:ascii="Times New Roman" w:hAnsi="Times New Roman" w:cs="Times New Roman"/>
              </w:rPr>
              <w:t>z</w:t>
            </w:r>
            <w:r w:rsidRPr="00484EFC">
              <w:rPr>
                <w:rFonts w:ascii="Times New Roman" w:hAnsi="Times New Roman" w:cs="Times New Roman"/>
              </w:rPr>
              <w:t>ek</w:t>
            </w:r>
            <w:proofErr w:type="spellEnd"/>
            <w:r w:rsidRPr="00484EFC">
              <w:rPr>
                <w:rFonts w:ascii="Times New Roman" w:hAnsi="Times New Roman" w:cs="Times New Roman"/>
              </w:rPr>
              <w:t xml:space="preserve"> Z.</w:t>
            </w:r>
            <w:r>
              <w:rPr>
                <w:rFonts w:ascii="Times New Roman" w:hAnsi="Times New Roman" w:cs="Times New Roman"/>
              </w:rPr>
              <w:t xml:space="preserve"> et </w:t>
            </w:r>
            <w:r w:rsidRPr="00484EFC">
              <w:rPr>
                <w:rFonts w:ascii="Times New Roman" w:hAnsi="Times New Roman" w:cs="Times New Roman"/>
              </w:rPr>
              <w:t>al.</w:t>
            </w:r>
            <w:r w:rsidRPr="009617F3">
              <w:rPr>
                <w:rFonts w:ascii="Times New Roman" w:hAnsi="Times New Roman" w:cs="Times New Roman"/>
                <w:vertAlign w:val="superscript"/>
              </w:rPr>
              <w:fldChar w:fldCharType="begin" w:fldLock="1"/>
            </w:r>
            <w:r w:rsidRPr="009617F3">
              <w:rPr>
                <w:rFonts w:ascii="Times New Roman" w:hAnsi="Times New Roman" w:cs="Times New Roman"/>
                <w:vertAlign w:val="superscript"/>
              </w:rPr>
              <w:instrText>ADDIN CSL_CITATION {"citationItems":[{"id":"ITEM-1","itemData":{"ISSN":"0042-9686 (Print)","PMID":"2844429","abstract":"Data on human monkeypox collected in Zaire during the six years 1981-86 were  analysed to assess the extent of interhuman transmission of monkeypox virus. Among the 2278 persons who had close contact with 245 monkeypox patients infected from an animal source, 93 fell ill and were presumed to have been infected from the known human source: 69 of these were spread in the first generation, 19 in the second generation, and the remaining five cases in the third and fourth generation.The secondary attack rates were correlated with the age, sex, place of residence, and vaccination status of the contacts. There was an overall 3% probability of becoming ill following infection from a known human source. The affected household was the main focal point for interhuman transmission of monkeypox virus. The highest attack rate (11.7%) occurred among unvaccinated household contacts in the age group 0-4 years. However, the majority of susceptible persons who had been close to patients in the confined space of poorly ventilated huts failed to develop illness. There was no evidence of an increase in the secondary attack rate between 1970-80 and 1981-86.The inefficient spread from person to person, even in conditions of maximum exposure, supports the concept that monkeypox virus is poorly adapted for sustained transmission between humans and that such transmission does not pose a significant health problem.","author":[{"dropping-particle":"","family":"Jezek","given":"Z","non-dropping-particle":"","parse-names":false,"suffix":""},{"dropping-particle":"","family":"Grab","given":"B","non-dropping-particle":"","parse-names":false,"suffix":""},{"dropping-particle":"V","family":"Szczeniowski","given":"M","non-dropping-particle":"","parse-names":false,"suffix":""},{"dropping-particle":"","family":"Paluku","given":"K M","non-dropping-particle":"","parse-names":false,"suffix":""},{"dropping-particle":"","family":"Mutombo","given":"M","non-dropping-particle":"","parse-names":false,"suffix":""}],"container-title":"Bulletin of the World Health Organization","id":"ITEM-1","issue":"4","issued":{"date-parts":[["1988"]]},"language":"eng","page":"465-470","title":"Human monkeypox: secondary attack rates.","type":"article-journal","volume":"66"},"uris":["http://www.mendeley.com/documents/?uuid=1862c2c6-8cb6-4ddd-8a80-a6513e54facd"]}],"mendeley":{"formattedCitation":"(5)","plainTextFormattedCitation":"(5)","previouslyFormattedCitation":"(5)"},"properties":{"noteIndex":0},"schema":"https://github.com/citation-style-language/schema/raw/master/csl-citation.json"}</w:instrText>
            </w:r>
            <w:r w:rsidRPr="009617F3">
              <w:rPr>
                <w:rFonts w:ascii="Times New Roman" w:hAnsi="Times New Roman" w:cs="Times New Roman"/>
                <w:vertAlign w:val="superscript"/>
              </w:rPr>
              <w:fldChar w:fldCharType="separate"/>
            </w:r>
            <w:r w:rsidRPr="009617F3">
              <w:rPr>
                <w:rFonts w:ascii="Times New Roman" w:hAnsi="Times New Roman" w:cs="Times New Roman"/>
                <w:noProof/>
                <w:vertAlign w:val="superscript"/>
              </w:rPr>
              <w:t>(5)</w:t>
            </w:r>
            <w:r w:rsidRPr="009617F3">
              <w:rPr>
                <w:rFonts w:ascii="Times New Roman" w:hAnsi="Times New Roman" w:cs="Times New Roman"/>
                <w:vertAlign w:val="superscript"/>
              </w:rPr>
              <w:fldChar w:fldCharType="end"/>
            </w:r>
          </w:p>
        </w:tc>
        <w:tc>
          <w:tcPr>
            <w:tcW w:w="1440" w:type="dxa"/>
          </w:tcPr>
          <w:p w14:paraId="16B8C382" w14:textId="4E422B1A" w:rsidR="008C7DAF" w:rsidRPr="00885968" w:rsidRDefault="008C7DAF" w:rsidP="004F6634">
            <w:pPr>
              <w:rPr>
                <w:rFonts w:ascii="Times New Roman" w:hAnsi="Times New Roman" w:cs="Times New Roman"/>
              </w:rPr>
            </w:pPr>
            <w:r w:rsidRPr="00484EFC">
              <w:rPr>
                <w:rFonts w:ascii="Times New Roman" w:hAnsi="Times New Roman" w:cs="Times New Roman"/>
              </w:rPr>
              <w:t>1988</w:t>
            </w:r>
          </w:p>
        </w:tc>
        <w:tc>
          <w:tcPr>
            <w:tcW w:w="1535" w:type="dxa"/>
          </w:tcPr>
          <w:p w14:paraId="49310CE5" w14:textId="5B7C5A89" w:rsidR="008C7DAF" w:rsidRDefault="008C7DAF" w:rsidP="003F30BD">
            <w:pPr>
              <w:jc w:val="both"/>
              <w:rPr>
                <w:rFonts w:ascii="Times New Roman" w:hAnsi="Times New Roman" w:cs="Times New Roman"/>
              </w:rPr>
            </w:pPr>
            <w:r>
              <w:rPr>
                <w:rFonts w:ascii="Times New Roman" w:hAnsi="Times New Roman" w:cs="Times New Roman"/>
              </w:rPr>
              <w:t xml:space="preserve">Active </w:t>
            </w:r>
            <w:r w:rsidRPr="00484EFC">
              <w:rPr>
                <w:rFonts w:ascii="Times New Roman" w:hAnsi="Times New Roman" w:cs="Times New Roman"/>
              </w:rPr>
              <w:t>surveillance</w:t>
            </w:r>
            <w:r>
              <w:rPr>
                <w:rFonts w:ascii="Times New Roman" w:hAnsi="Times New Roman" w:cs="Times New Roman"/>
              </w:rPr>
              <w:t xml:space="preserve"> investigation</w:t>
            </w:r>
          </w:p>
        </w:tc>
        <w:tc>
          <w:tcPr>
            <w:tcW w:w="1203" w:type="dxa"/>
          </w:tcPr>
          <w:p w14:paraId="79C88FA5" w14:textId="4CAA2EA8" w:rsidR="008C7DAF" w:rsidRDefault="008C7DAF" w:rsidP="003F30BD">
            <w:pPr>
              <w:jc w:val="both"/>
              <w:rPr>
                <w:rFonts w:ascii="Times New Roman" w:hAnsi="Times New Roman" w:cs="Times New Roman"/>
              </w:rPr>
            </w:pPr>
            <w:r w:rsidRPr="00484EFC">
              <w:rPr>
                <w:rFonts w:ascii="Times New Roman" w:hAnsi="Times New Roman" w:cs="Times New Roman"/>
              </w:rPr>
              <w:t>Zaire</w:t>
            </w:r>
            <w:r>
              <w:rPr>
                <w:rFonts w:ascii="Times New Roman" w:hAnsi="Times New Roman" w:cs="Times New Roman"/>
              </w:rPr>
              <w:t>,</w:t>
            </w:r>
            <w:r w:rsidRPr="00484EFC">
              <w:rPr>
                <w:rFonts w:ascii="Times New Roman" w:hAnsi="Times New Roman" w:cs="Times New Roman"/>
              </w:rPr>
              <w:t xml:space="preserve"> Africa</w:t>
            </w:r>
          </w:p>
        </w:tc>
        <w:tc>
          <w:tcPr>
            <w:tcW w:w="1402" w:type="dxa"/>
          </w:tcPr>
          <w:p w14:paraId="1E3BA0B5" w14:textId="37CCCAA8" w:rsidR="008C7DAF" w:rsidRPr="00885968" w:rsidRDefault="008C7DAF" w:rsidP="003F30BD">
            <w:pPr>
              <w:jc w:val="both"/>
              <w:rPr>
                <w:rFonts w:ascii="Times New Roman" w:hAnsi="Times New Roman" w:cs="Times New Roman"/>
              </w:rPr>
            </w:pPr>
            <w:r>
              <w:rPr>
                <w:rFonts w:ascii="Times New Roman" w:hAnsi="Times New Roman" w:cs="Times New Roman"/>
              </w:rPr>
              <w:t>Smallpox vaccine</w:t>
            </w:r>
          </w:p>
        </w:tc>
        <w:tc>
          <w:tcPr>
            <w:tcW w:w="6210" w:type="dxa"/>
          </w:tcPr>
          <w:p w14:paraId="70910BA7" w14:textId="554F3E0A" w:rsidR="008C7DAF" w:rsidRPr="00AF1A49" w:rsidRDefault="003367C6" w:rsidP="003F30BD">
            <w:pPr>
              <w:jc w:val="both"/>
              <w:rPr>
                <w:rFonts w:ascii="Times New Roman" w:hAnsi="Times New Roman" w:cs="Times New Roman"/>
              </w:rPr>
            </w:pPr>
            <w:r w:rsidRPr="003367C6">
              <w:rPr>
                <w:rFonts w:ascii="Times New Roman" w:hAnsi="Times New Roman" w:cs="Times New Roman"/>
              </w:rPr>
              <w:t xml:space="preserve">There was a significant correlation between the secondary attack rates of monkeypox and two factors: the exposed person's residence and vaccination history. It was discovered that the attack rate among individuals who had never had a vaccination (7.47%) was </w:t>
            </w:r>
            <w:r w:rsidRPr="003367C6">
              <w:rPr>
                <w:rFonts w:ascii="Times New Roman" w:hAnsi="Times New Roman" w:cs="Times New Roman"/>
              </w:rPr>
              <w:lastRenderedPageBreak/>
              <w:t>substantially higher than that among those who had previously received a vaccination (0.96%). Unvaccinated contacts who shared a home with a monkeypox patient had the highest attack rate (9.3%), which was seven times higher than the rate for similarly situated vaccinated household members (1.3%).</w:t>
            </w:r>
          </w:p>
        </w:tc>
      </w:tr>
      <w:tr w:rsidR="008C7DAF" w:rsidRPr="00484EFC" w14:paraId="3660317E" w14:textId="77777777" w:rsidTr="008C7DAF">
        <w:trPr>
          <w:jc w:val="center"/>
        </w:trPr>
        <w:tc>
          <w:tcPr>
            <w:tcW w:w="1620" w:type="dxa"/>
          </w:tcPr>
          <w:p w14:paraId="24947B7A" w14:textId="6ABE2439" w:rsidR="008C7DAF" w:rsidRPr="00484EFC" w:rsidRDefault="008C7DAF" w:rsidP="008C7DAF">
            <w:pPr>
              <w:rPr>
                <w:rFonts w:ascii="Times New Roman" w:hAnsi="Times New Roman" w:cs="Times New Roman"/>
              </w:rPr>
            </w:pPr>
            <w:bookmarkStart w:id="2" w:name="_Hlk109641712"/>
            <w:r w:rsidRPr="004F5E8B">
              <w:rPr>
                <w:rFonts w:ascii="Times New Roman" w:hAnsi="Times New Roman" w:cs="Times New Roman"/>
                <w:color w:val="212121"/>
                <w:shd w:val="clear" w:color="auto" w:fill="FFFFFF"/>
              </w:rPr>
              <w:lastRenderedPageBreak/>
              <w:t>Jamieson D</w:t>
            </w:r>
            <w:r>
              <w:rPr>
                <w:rFonts w:ascii="Times New Roman" w:hAnsi="Times New Roman" w:cs="Times New Roman"/>
                <w:color w:val="212121"/>
                <w:shd w:val="clear" w:color="auto" w:fill="FFFFFF"/>
              </w:rPr>
              <w:t>.</w:t>
            </w:r>
            <w:r w:rsidRPr="004F5E8B">
              <w:rPr>
                <w:rFonts w:ascii="Times New Roman" w:hAnsi="Times New Roman" w:cs="Times New Roman"/>
                <w:color w:val="212121"/>
                <w:shd w:val="clear" w:color="auto" w:fill="FFFFFF"/>
              </w:rPr>
              <w:t>J</w:t>
            </w:r>
            <w:r>
              <w:rPr>
                <w:rFonts w:ascii="Times New Roman" w:hAnsi="Times New Roman" w:cs="Times New Roman"/>
                <w:color w:val="212121"/>
                <w:shd w:val="clear" w:color="auto" w:fill="FFFFFF"/>
              </w:rPr>
              <w:t>. et al</w:t>
            </w:r>
            <w:bookmarkEnd w:id="2"/>
            <w:r>
              <w:rPr>
                <w:rFonts w:ascii="Times New Roman" w:hAnsi="Times New Roman" w:cs="Times New Roman"/>
                <w:color w:val="212121"/>
                <w:shd w:val="clear" w:color="auto" w:fill="FFFFFF"/>
              </w:rPr>
              <w:t>.</w:t>
            </w:r>
            <w:r w:rsidRPr="009617F3">
              <w:rPr>
                <w:rFonts w:ascii="Times New Roman" w:hAnsi="Times New Roman" w:cs="Times New Roman"/>
                <w:color w:val="212121"/>
                <w:shd w:val="clear" w:color="auto" w:fill="FFFFFF"/>
                <w:vertAlign w:val="superscript"/>
              </w:rPr>
              <w:fldChar w:fldCharType="begin" w:fldLock="1"/>
            </w:r>
            <w:r w:rsidRPr="009617F3">
              <w:rPr>
                <w:rFonts w:ascii="Times New Roman" w:hAnsi="Times New Roman" w:cs="Times New Roman"/>
                <w:color w:val="212121"/>
                <w:shd w:val="clear" w:color="auto" w:fill="FFFFFF"/>
                <w:vertAlign w:val="superscript"/>
              </w:rPr>
              <w:instrText>ADDIN CSL_CITATION {"citationItems":[{"id":"ITEM-1","itemData":{"DOI":"10.1097/01.AOG.0000114987.76424.6d","ISSN":"0029-7844 (Print)","PMID":"15051569","abstract":"Early in June 2003, the Centers for Disease Control and Prevention (CDC)  announced yet another unique infectious disease outbreak, the first evidence of community-acquired monkeypox in the United States. By July 8, 2003, a total of 71 cases had been reported to CDC from 6 states. When emerging infectious diseases are reported in the United States, particularly when these reports receive widespread media attention, obstetrician-gynecologists may be called upon to rapidly respond to queries from their patients and to address certain infectious disease risks within their clinical practices. In addition, obstetrician-gynecologists may have specific concerns about the implications for an infectious disease outbreak, such as monkeypox, for pregnant women. Therefore, it is important that obstetrician-gynecologists know how to gather up-to-date and accurate information about infectious disease outbreaks and that they be familiar with the public health response system for responding to such outbreaks.","author":[{"dropping-particle":"","family":"Jamieson","given":"Denise J","non-dropping-particle":"","parse-names":false,"suffix":""},{"dropping-particle":"","family":"Cono","given":"Joanne","non-dropping-particle":"","parse-names":false,"suffix":""},{"dropping-particle":"","family":"Richards","given":"Chesley L","non-dropping-particle":"","parse-names":false,"suffix":""},{"dropping-particle":"","family":"Treadwell","given":"Tracee A","non-dropping-particle":"","parse-names":false,"suffix":""}],"container-title":"Obstetrics and gynecology","id":"ITEM-1","issue":"4","issued":{"date-parts":[["2004","4"]]},"language":"eng","page":"754-756","publisher-place":"United States","title":"The role of the obstetrician-gynecologist in emerging infectious diseases:  monkeypox and pregnancy.","type":"article-journal","volume":"103"},"uris":["http://www.mendeley.com/documents/?uuid=004fbafb-ddb3-4ee5-9c8b-c2e66206926f"]}],"mendeley":{"formattedCitation":"(6)","plainTextFormattedCitation":"(6)","previouslyFormattedCitation":"(6)"},"properties":{"noteIndex":0},"schema":"https://github.com/citation-style-language/schema/raw/master/csl-citation.json"}</w:instrText>
            </w:r>
            <w:r w:rsidRPr="009617F3">
              <w:rPr>
                <w:rFonts w:ascii="Times New Roman" w:hAnsi="Times New Roman" w:cs="Times New Roman"/>
                <w:color w:val="212121"/>
                <w:shd w:val="clear" w:color="auto" w:fill="FFFFFF"/>
                <w:vertAlign w:val="superscript"/>
              </w:rPr>
              <w:fldChar w:fldCharType="separate"/>
            </w:r>
            <w:r w:rsidRPr="009617F3">
              <w:rPr>
                <w:rFonts w:ascii="Times New Roman" w:hAnsi="Times New Roman" w:cs="Times New Roman"/>
                <w:noProof/>
                <w:color w:val="212121"/>
                <w:shd w:val="clear" w:color="auto" w:fill="FFFFFF"/>
                <w:vertAlign w:val="superscript"/>
              </w:rPr>
              <w:t>(6)</w:t>
            </w:r>
            <w:r w:rsidRPr="009617F3">
              <w:rPr>
                <w:rFonts w:ascii="Times New Roman" w:hAnsi="Times New Roman" w:cs="Times New Roman"/>
                <w:color w:val="212121"/>
                <w:shd w:val="clear" w:color="auto" w:fill="FFFFFF"/>
                <w:vertAlign w:val="superscript"/>
              </w:rPr>
              <w:fldChar w:fldCharType="end"/>
            </w:r>
          </w:p>
        </w:tc>
        <w:tc>
          <w:tcPr>
            <w:tcW w:w="1440" w:type="dxa"/>
          </w:tcPr>
          <w:p w14:paraId="6F51D042" w14:textId="19DA0C8C" w:rsidR="008C7DAF" w:rsidRPr="00484EFC" w:rsidRDefault="008C7DAF" w:rsidP="008C7DAF">
            <w:pPr>
              <w:rPr>
                <w:rFonts w:ascii="Times New Roman" w:hAnsi="Times New Roman" w:cs="Times New Roman"/>
              </w:rPr>
            </w:pPr>
            <w:r>
              <w:rPr>
                <w:rFonts w:ascii="Times New Roman" w:hAnsi="Times New Roman" w:cs="Times New Roman"/>
              </w:rPr>
              <w:t>2004</w:t>
            </w:r>
          </w:p>
        </w:tc>
        <w:tc>
          <w:tcPr>
            <w:tcW w:w="1535" w:type="dxa"/>
          </w:tcPr>
          <w:p w14:paraId="30AF651F" w14:textId="5D2003AA" w:rsidR="008C7DAF" w:rsidRDefault="008C7DAF" w:rsidP="003F30BD">
            <w:pPr>
              <w:jc w:val="both"/>
              <w:rPr>
                <w:rFonts w:ascii="Times New Roman" w:hAnsi="Times New Roman" w:cs="Times New Roman"/>
              </w:rPr>
            </w:pPr>
            <w:r>
              <w:rPr>
                <w:rFonts w:ascii="Times New Roman" w:hAnsi="Times New Roman" w:cs="Times New Roman"/>
              </w:rPr>
              <w:t>Commentary</w:t>
            </w:r>
          </w:p>
        </w:tc>
        <w:tc>
          <w:tcPr>
            <w:tcW w:w="1203" w:type="dxa"/>
          </w:tcPr>
          <w:p w14:paraId="53C71487" w14:textId="3039826D" w:rsidR="008C7DAF" w:rsidRPr="00484EFC" w:rsidRDefault="008C7DAF" w:rsidP="003F30BD">
            <w:pPr>
              <w:jc w:val="both"/>
              <w:rPr>
                <w:rFonts w:ascii="Times New Roman" w:hAnsi="Times New Roman" w:cs="Times New Roman"/>
              </w:rPr>
            </w:pPr>
            <w:r>
              <w:rPr>
                <w:rFonts w:ascii="Times New Roman" w:hAnsi="Times New Roman" w:cs="Times New Roman"/>
              </w:rPr>
              <w:t>USA</w:t>
            </w:r>
          </w:p>
        </w:tc>
        <w:tc>
          <w:tcPr>
            <w:tcW w:w="1402" w:type="dxa"/>
          </w:tcPr>
          <w:p w14:paraId="176B56B6" w14:textId="294D5821" w:rsidR="008C7DAF" w:rsidRDefault="008C7DAF" w:rsidP="003F30BD">
            <w:pPr>
              <w:jc w:val="both"/>
              <w:rPr>
                <w:rFonts w:ascii="Times New Roman" w:hAnsi="Times New Roman" w:cs="Times New Roman"/>
              </w:rPr>
            </w:pPr>
            <w:r>
              <w:rPr>
                <w:rFonts w:ascii="Times New Roman" w:hAnsi="Times New Roman" w:cs="Times New Roman"/>
              </w:rPr>
              <w:t>Smallpox vaccine (Vaccinia immune globulin)</w:t>
            </w:r>
          </w:p>
        </w:tc>
        <w:tc>
          <w:tcPr>
            <w:tcW w:w="6210" w:type="dxa"/>
          </w:tcPr>
          <w:p w14:paraId="0BEA4B87" w14:textId="25EBC699" w:rsidR="008C7DAF" w:rsidRDefault="003367C6" w:rsidP="003F30BD">
            <w:pPr>
              <w:jc w:val="both"/>
              <w:rPr>
                <w:rFonts w:ascii="Times New Roman" w:hAnsi="Times New Roman" w:cs="Times New Roman"/>
              </w:rPr>
            </w:pPr>
            <w:bookmarkStart w:id="3" w:name="_Hlk109603616"/>
            <w:r w:rsidRPr="003367C6">
              <w:rPr>
                <w:rFonts w:ascii="Times New Roman" w:hAnsi="Times New Roman" w:cs="Times New Roman"/>
              </w:rPr>
              <w:t xml:space="preserve">The first </w:t>
            </w:r>
            <w:r w:rsidR="00933CCB">
              <w:rPr>
                <w:rFonts w:ascii="Times New Roman" w:hAnsi="Times New Roman" w:cs="Times New Roman"/>
              </w:rPr>
              <w:t>evidence</w:t>
            </w:r>
            <w:r w:rsidRPr="003367C6">
              <w:rPr>
                <w:rFonts w:ascii="Times New Roman" w:hAnsi="Times New Roman" w:cs="Times New Roman"/>
              </w:rPr>
              <w:t xml:space="preserve"> of community-acquired monkeypox in the United States was reported by the CDC at the beginning of June 2003. The CDC advised smallpox (vaccinia) vaccine (85% effective against monkeypox) </w:t>
            </w:r>
            <w:bookmarkEnd w:id="3"/>
            <w:r w:rsidRPr="003367C6">
              <w:rPr>
                <w:rFonts w:ascii="Times New Roman" w:hAnsi="Times New Roman" w:cs="Times New Roman"/>
              </w:rPr>
              <w:t xml:space="preserve">due to the high death rate linked with monkeypox on the African continent and the lack of experience with monkeypox in the United States. </w:t>
            </w:r>
            <w:bookmarkStart w:id="4" w:name="_Hlk109643299"/>
            <w:r w:rsidRPr="003367C6">
              <w:rPr>
                <w:rFonts w:ascii="Times New Roman" w:hAnsi="Times New Roman" w:cs="Times New Roman"/>
              </w:rPr>
              <w:t xml:space="preserve">Minor risk of fetal from smallpox immunization during </w:t>
            </w:r>
            <w:r w:rsidRPr="00440CE1">
              <w:rPr>
                <w:rFonts w:ascii="Times New Roman" w:hAnsi="Times New Roman" w:cs="Times New Roman"/>
              </w:rPr>
              <w:t>pregnancy</w:t>
            </w:r>
            <w:r w:rsidRPr="003367C6">
              <w:rPr>
                <w:rFonts w:ascii="Times New Roman" w:hAnsi="Times New Roman" w:cs="Times New Roman"/>
              </w:rPr>
              <w:t xml:space="preserve"> exists, resulting in premature birth and fetal and neonatal death. Nevertheless, given the potentially fatal risk of monkeypox infection, exposed women were urged to get the smallpox vaccine regardless of whether they were pregnant.</w:t>
            </w:r>
            <w:bookmarkEnd w:id="4"/>
          </w:p>
        </w:tc>
      </w:tr>
      <w:tr w:rsidR="008C7DAF" w:rsidRPr="00484EFC" w14:paraId="6F0D5193" w14:textId="77777777" w:rsidTr="008C7DAF">
        <w:trPr>
          <w:jc w:val="center"/>
        </w:trPr>
        <w:tc>
          <w:tcPr>
            <w:tcW w:w="1620" w:type="dxa"/>
          </w:tcPr>
          <w:p w14:paraId="402D7E97" w14:textId="1AF40354" w:rsidR="008C7DAF" w:rsidRPr="00885968" w:rsidRDefault="008C7DAF" w:rsidP="004F6634">
            <w:pPr>
              <w:rPr>
                <w:rFonts w:ascii="Times New Roman" w:hAnsi="Times New Roman" w:cs="Times New Roman"/>
              </w:rPr>
            </w:pPr>
            <w:r w:rsidRPr="000F76D1">
              <w:rPr>
                <w:rFonts w:ascii="Times New Roman" w:hAnsi="Times New Roman" w:cs="Times New Roman"/>
              </w:rPr>
              <w:t>Hammarlund</w:t>
            </w:r>
            <w:r>
              <w:rPr>
                <w:rFonts w:ascii="Times New Roman" w:hAnsi="Times New Roman" w:cs="Times New Roman"/>
              </w:rPr>
              <w:t xml:space="preserve"> E. et al.</w:t>
            </w:r>
            <w:r w:rsidRPr="009617F3">
              <w:rPr>
                <w:rFonts w:ascii="Times New Roman" w:hAnsi="Times New Roman" w:cs="Times New Roman"/>
                <w:vertAlign w:val="superscript"/>
              </w:rPr>
              <w:fldChar w:fldCharType="begin" w:fldLock="1"/>
            </w:r>
            <w:r w:rsidRPr="009617F3">
              <w:rPr>
                <w:rFonts w:ascii="Times New Roman" w:hAnsi="Times New Roman" w:cs="Times New Roman"/>
                <w:vertAlign w:val="superscript"/>
              </w:rPr>
              <w:instrText>ADDIN CSL_CITATION {"citationItems":[{"id":"ITEM-1","itemData":{"DOI":"10.1038/nm1273","ISSN":"1078-8956 (Print)","PMID":"16086024","abstract":"Approximately 50% of the US population received smallpox vaccinations before  routine immunization ceased in 1972 for civilians and in 1990 for military personnel. Several studies have shown long-term immunity after smallpox vaccination, but skepticism remains as to whether this will translate into full protection against the onset of orthopoxvirus-induced disease. The US monkeypox outbreak of 2003 provided the opportunity to examine this issue. Using independent and internally validated diagnostic approaches with &gt;or=95% sensitivity and &gt;or=90% specificity for detecting clinical monkeypox infection, we identified three previously unreported cases of monkeypox in preimmune individuals at 13, 29 and 48 years after smallpox vaccination. These individuals were unaware that they had been infected because they were spared any recognizable disease symptoms. Together, this shows that the US monkeypox outbreak was larger than previously realized and, more importantly, shows that cross-protective antiviral immunity against West African monkeypox can potentially be maintained for decades after smallpox vaccination.","author":[{"dropping-particle":"","family":"Hammarlund","given":"Erika","non-dropping-particle":"","parse-names":false,"suffix":""},{"dropping-particle":"","family":"Lewis","given":"Matthew W","non-dropping-particle":"","parse-names":false,"suffix":""},{"dropping-particle":"V","family":"Carter","given":"Shirley","non-dropping-particle":"","parse-names":false,"suffix":""},{"dropping-particle":"","family":"Amanna","given":"Ian","non-dropping-particle":"","parse-names":false,"suffix":""},{"dropping-particle":"","family":"Hansen","given":"Scott G","non-dropping-particle":"","parse-names":false,"suffix":""},{"dropping-particle":"","family":"Strelow","given":"Lisa I","non-dropping-particle":"","parse-names":false,"suffix":""},{"dropping-particle":"","family":"Wong","given":"Scott W","non-dropping-particle":"","parse-names":false,"suffix":""},{"dropping-particle":"","family":"Yoshihara","given":"Paul","non-dropping-particle":"","parse-names":false,"suffix":""},{"dropping-particle":"","family":"Hanifin","given":"Jon M","non-dropping-particle":"","parse-names":false,"suffix":""},{"dropping-particle":"","family":"Slifka","given":"Mark K","non-dropping-particle":"","parse-names":false,"suffix":""}],"container-title":"Nature medicine","id":"ITEM-1","issue":"9","issued":{"date-parts":[["2005","9"]]},"language":"eng","page":"1005-1011","publisher-place":"United States","title":"Multiple diagnostic techniques identify previously vaccinated individuals with  protective immunity against monkeypox.","type":"article-journal","volume":"11"},"uris":["http://www.mendeley.com/documents/?uuid=996b06fc-2553-4c59-bf44-3fa76a3d2ec0"]}],"mendeley":{"formattedCitation":"(7)","plainTextFormattedCitation":"(7)","previouslyFormattedCitation":"(7)"},"properties":{"noteIndex":0},"schema":"https://github.com/citation-style-language/schema/raw/master/csl-citation.json"}</w:instrText>
            </w:r>
            <w:r w:rsidRPr="009617F3">
              <w:rPr>
                <w:rFonts w:ascii="Times New Roman" w:hAnsi="Times New Roman" w:cs="Times New Roman"/>
                <w:vertAlign w:val="superscript"/>
              </w:rPr>
              <w:fldChar w:fldCharType="separate"/>
            </w:r>
            <w:r w:rsidRPr="009617F3">
              <w:rPr>
                <w:rFonts w:ascii="Times New Roman" w:hAnsi="Times New Roman" w:cs="Times New Roman"/>
                <w:noProof/>
                <w:vertAlign w:val="superscript"/>
              </w:rPr>
              <w:t>(7)</w:t>
            </w:r>
            <w:r w:rsidRPr="009617F3">
              <w:rPr>
                <w:rFonts w:ascii="Times New Roman" w:hAnsi="Times New Roman" w:cs="Times New Roman"/>
                <w:vertAlign w:val="superscript"/>
              </w:rPr>
              <w:fldChar w:fldCharType="end"/>
            </w:r>
          </w:p>
        </w:tc>
        <w:tc>
          <w:tcPr>
            <w:tcW w:w="1440" w:type="dxa"/>
          </w:tcPr>
          <w:p w14:paraId="2C5E48F0" w14:textId="25406956" w:rsidR="008C7DAF" w:rsidRPr="00885968" w:rsidRDefault="008C7DAF" w:rsidP="004F6634">
            <w:pPr>
              <w:rPr>
                <w:rFonts w:ascii="Times New Roman" w:hAnsi="Times New Roman" w:cs="Times New Roman"/>
              </w:rPr>
            </w:pPr>
            <w:r w:rsidRPr="000F76D1">
              <w:rPr>
                <w:rFonts w:ascii="Times New Roman" w:hAnsi="Times New Roman" w:cs="Times New Roman"/>
              </w:rPr>
              <w:t>2005</w:t>
            </w:r>
          </w:p>
        </w:tc>
        <w:tc>
          <w:tcPr>
            <w:tcW w:w="1535" w:type="dxa"/>
          </w:tcPr>
          <w:p w14:paraId="3820F01C" w14:textId="3315D92A" w:rsidR="008C7DAF" w:rsidRDefault="008C7DAF" w:rsidP="003F30BD">
            <w:pPr>
              <w:jc w:val="both"/>
              <w:rPr>
                <w:rFonts w:ascii="Times New Roman" w:hAnsi="Times New Roman" w:cs="Times New Roman"/>
              </w:rPr>
            </w:pPr>
            <w:r>
              <w:rPr>
                <w:rFonts w:ascii="Times New Roman" w:hAnsi="Times New Roman" w:cs="Times New Roman"/>
              </w:rPr>
              <w:t>O</w:t>
            </w:r>
            <w:r w:rsidRPr="000F76D1">
              <w:rPr>
                <w:rFonts w:ascii="Times New Roman" w:hAnsi="Times New Roman" w:cs="Times New Roman"/>
              </w:rPr>
              <w:t>bservational prospective</w:t>
            </w:r>
            <w:r>
              <w:rPr>
                <w:rFonts w:ascii="Times New Roman" w:hAnsi="Times New Roman" w:cs="Times New Roman"/>
              </w:rPr>
              <w:t xml:space="preserve"> study</w:t>
            </w:r>
          </w:p>
        </w:tc>
        <w:tc>
          <w:tcPr>
            <w:tcW w:w="1203" w:type="dxa"/>
          </w:tcPr>
          <w:p w14:paraId="62A8429A" w14:textId="683900B0" w:rsidR="008C7DAF" w:rsidRDefault="008C7DAF" w:rsidP="003F30BD">
            <w:pPr>
              <w:jc w:val="both"/>
              <w:rPr>
                <w:rFonts w:ascii="Times New Roman" w:hAnsi="Times New Roman" w:cs="Times New Roman"/>
              </w:rPr>
            </w:pPr>
            <w:r w:rsidRPr="000F76D1">
              <w:rPr>
                <w:rFonts w:ascii="Times New Roman" w:hAnsi="Times New Roman" w:cs="Times New Roman"/>
              </w:rPr>
              <w:t>USA</w:t>
            </w:r>
          </w:p>
        </w:tc>
        <w:tc>
          <w:tcPr>
            <w:tcW w:w="1402" w:type="dxa"/>
          </w:tcPr>
          <w:p w14:paraId="6C100561" w14:textId="6DDC575F" w:rsidR="008C7DAF" w:rsidRPr="00885968" w:rsidRDefault="008C7DAF" w:rsidP="003F30BD">
            <w:pPr>
              <w:jc w:val="both"/>
              <w:rPr>
                <w:rFonts w:ascii="Times New Roman" w:hAnsi="Times New Roman" w:cs="Times New Roman"/>
              </w:rPr>
            </w:pPr>
            <w:r>
              <w:rPr>
                <w:rFonts w:ascii="Times New Roman" w:hAnsi="Times New Roman" w:cs="Times New Roman"/>
              </w:rPr>
              <w:t>Smallpox vaccine (Live virus vaccine)</w:t>
            </w:r>
          </w:p>
        </w:tc>
        <w:tc>
          <w:tcPr>
            <w:tcW w:w="6210" w:type="dxa"/>
          </w:tcPr>
          <w:p w14:paraId="3DAB489C" w14:textId="3B44199A" w:rsidR="008C7DAF" w:rsidRPr="00AF1A49" w:rsidRDefault="003F068E" w:rsidP="003F30BD">
            <w:pPr>
              <w:jc w:val="both"/>
              <w:rPr>
                <w:rFonts w:ascii="Times New Roman" w:hAnsi="Times New Roman" w:cs="Times New Roman"/>
              </w:rPr>
            </w:pPr>
            <w:r w:rsidRPr="003F068E">
              <w:rPr>
                <w:rFonts w:ascii="Times New Roman" w:hAnsi="Times New Roman" w:cs="Times New Roman"/>
              </w:rPr>
              <w:t xml:space="preserve">This study identified five vaccinated subjects who came in contact with monkeypox and three </w:t>
            </w:r>
            <w:bookmarkStart w:id="5" w:name="_Hlk109638248"/>
            <w:r w:rsidRPr="003F068E">
              <w:rPr>
                <w:rFonts w:ascii="Times New Roman" w:hAnsi="Times New Roman" w:cs="Times New Roman"/>
              </w:rPr>
              <w:t xml:space="preserve">vaccinated subjects who showed complete protection against the onset of Monkeypox-induced </w:t>
            </w:r>
            <w:bookmarkEnd w:id="5"/>
            <w:r w:rsidR="00933CCB">
              <w:rPr>
                <w:rFonts w:ascii="Times New Roman" w:hAnsi="Times New Roman" w:cs="Times New Roman"/>
              </w:rPr>
              <w:t>symptoms</w:t>
            </w:r>
            <w:r w:rsidRPr="003F068E">
              <w:rPr>
                <w:rFonts w:ascii="Times New Roman" w:hAnsi="Times New Roman" w:cs="Times New Roman"/>
              </w:rPr>
              <w:t xml:space="preserve">. Although the sample size was too small to provide specific statistical estimates, the general conclusion is that approximately half of those who received the vaccine (3 of 8) continue to have long-lasting protective immunity against monkeypox.  </w:t>
            </w:r>
          </w:p>
        </w:tc>
      </w:tr>
      <w:tr w:rsidR="008C7DAF" w:rsidRPr="00484EFC" w14:paraId="2E100A0A" w14:textId="77777777" w:rsidTr="008C7DAF">
        <w:trPr>
          <w:jc w:val="center"/>
        </w:trPr>
        <w:tc>
          <w:tcPr>
            <w:tcW w:w="1620" w:type="dxa"/>
          </w:tcPr>
          <w:p w14:paraId="451F6703" w14:textId="11A71341" w:rsidR="008C7DAF" w:rsidRPr="000F76D1" w:rsidRDefault="008C7DAF" w:rsidP="004F6634">
            <w:pPr>
              <w:rPr>
                <w:rFonts w:ascii="Times New Roman" w:hAnsi="Times New Roman" w:cs="Times New Roman"/>
              </w:rPr>
            </w:pPr>
            <w:proofErr w:type="spellStart"/>
            <w:r w:rsidRPr="00B361DE">
              <w:rPr>
                <w:rFonts w:ascii="Times New Roman" w:hAnsi="Times New Roman" w:cs="Times New Roman"/>
              </w:rPr>
              <w:t>Fleischauer</w:t>
            </w:r>
            <w:proofErr w:type="spellEnd"/>
            <w:r>
              <w:rPr>
                <w:rFonts w:ascii="Times New Roman" w:hAnsi="Times New Roman" w:cs="Times New Roman"/>
              </w:rPr>
              <w:t xml:space="preserve"> A.T.</w:t>
            </w:r>
            <w:r w:rsidRPr="00B361DE">
              <w:rPr>
                <w:rFonts w:ascii="Times New Roman" w:hAnsi="Times New Roman" w:cs="Times New Roman"/>
              </w:rPr>
              <w:t xml:space="preserve"> et</w:t>
            </w:r>
            <w:r>
              <w:rPr>
                <w:rFonts w:ascii="Times New Roman" w:hAnsi="Times New Roman" w:cs="Times New Roman"/>
              </w:rPr>
              <w:t xml:space="preserve"> </w:t>
            </w:r>
            <w:r w:rsidRPr="00B361DE">
              <w:rPr>
                <w:rFonts w:ascii="Times New Roman" w:hAnsi="Times New Roman" w:cs="Times New Roman"/>
              </w:rPr>
              <w:t>al</w:t>
            </w:r>
            <w:r>
              <w:rPr>
                <w:rFonts w:ascii="Times New Roman" w:hAnsi="Times New Roman" w:cs="Times New Roman"/>
              </w:rPr>
              <w:t>.</w:t>
            </w:r>
            <w:r w:rsidRPr="009617F3">
              <w:rPr>
                <w:rFonts w:ascii="Times New Roman" w:hAnsi="Times New Roman" w:cs="Times New Roman"/>
                <w:vertAlign w:val="superscript"/>
              </w:rPr>
              <w:fldChar w:fldCharType="begin" w:fldLock="1"/>
            </w:r>
            <w:r w:rsidRPr="009617F3">
              <w:rPr>
                <w:rFonts w:ascii="Times New Roman" w:hAnsi="Times New Roman" w:cs="Times New Roman"/>
                <w:vertAlign w:val="superscript"/>
              </w:rPr>
              <w:instrText>ADDIN CSL_CITATION {"citationItems":[{"id":"ITEM-1","itemData":{"DOI":"10.1086/427805","ISSN":"1537-6591 (Electronic)","PMID":"15714414","abstract":"BACKGROUND: In 2003, human monkeypox was first identified in the United States.  The outbreak was associated with exposure to infected prairie dogs, but the potential for person-to-person transmission was a concern. This study examines health care worker (HCW) exposure to 3 patients with confirmed monkeypox. METHODS: Exposed HCWs, defined as HCWs who entered a 2-m radius surrounding case patients with confirmed monkeypox, were identified by infection-control practitioners. A self-administered questionnaire and analysis of paired serum specimens determined exposure status, immune response, and postexposure signs and symptoms of monkeypox. RESULTS: Of 81 exposed HCWs, 57 (70%) participated in the study. Among 57 participants, 40 (70%) had &gt; or =1 unprotected exposure; none reported signs or symptoms consistent with monkeypox illness. One exposed HCW (2%), who had been vaccinated for smallpox within the past year, had serological evidence of recent orthopoxvirus infection; acute- and convalescent-phase serum specimens tested positive for anti-orthopoxvirus IgM. No exposed HCWs had signs and symptoms consistent with monkeypox. CONCLUSION: More than three-quarters of exposed HCWs reported at least 1 unprotected encounter with a patient who had monkeypox. One asymptomatic HCW showed laboratory evidence of recent orthopoxvirus infection, which was possibly attributable to either recent infection or smallpox vaccination. Transmission of monkeypox likely is a rare event in the health care setting.","author":[{"dropping-particle":"","family":"Fleischauer","given":"Aaron T","non-dropping-particle":"","parse-names":false,"suffix":""},{"dropping-particle":"","family":"Kile","given":"James C","non-dropping-particle":"","parse-names":false,"suffix":""},{"dropping-particle":"","family":"Davidson","given":"Molly","non-dropping-particle":"","parse-names":false,"suffix":""},{"dropping-particle":"","family":"Fischer","given":"Marc","non-dropping-particle":"","parse-names":false,"suffix":""},{"dropping-particle":"","family":"Karem","given":"Kevin L","non-dropping-particle":"","parse-names":false,"suffix":""},{"dropping-particle":"","family":"Teclaw","given":"Robert","non-dropping-particle":"","parse-names":false,"suffix":""},{"dropping-particle":"","family":"Messersmith","given":"Hans","non-dropping-particle":"","parse-names":false,"suffix":""},{"dropping-particle":"","family":"Pontones","given":"Pamela","non-dropping-particle":"","parse-names":false,"suffix":""},{"dropping-particle":"","family":"Beard","given":"Bradley A","non-dropping-particle":"","parse-names":false,"suffix":""},{"dropping-particle":"","family":"Braden","given":"Zachary H","non-dropping-particle":"","parse-names":false,"suffix":""},{"dropping-particle":"","family":"Cono","given":"Joanne","non-dropping-particle":"","parse-names":false,"suffix":""},{"dropping-particle":"","family":"Sejvar","given":"James J","non-dropping-particle":"","parse-names":false,"suffix":""},{"dropping-particle":"","family":"Khan","given":"Ali S","non-dropping-particle":"","parse-names":false,"suffix":""},{"dropping-particle":"","family":"Damon","given":"Inger","non-dropping-particle":"","parse-names":false,"suffix":""},{"dropping-particle":"","family":"Kuehnert","given":"Matthew J","non-dropping-particle":"","parse-names":false,"suffix":""}],"container-title":"Clinical infectious diseases : an official publication of the Infectious Diseases  Society of America","id":"ITEM-1","issue":"5","issued":{"date-parts":[["2005","3"]]},"language":"eng","page":"689-694","publisher-place":"United States","title":"Evaluation of human-to-human transmission of monkeypox from infected patients to  health care workers.","type":"article-journal","volume":"40"},"uris":["http://www.mendeley.com/documents/?uuid=cece88d0-5c37-4b24-a996-ae19a297d409"]}],"mendeley":{"formattedCitation":"(8)","plainTextFormattedCitation":"(8)","previouslyFormattedCitation":"(8)"},"properties":{"noteIndex":0},"schema":"https://github.com/citation-style-language/schema/raw/master/csl-citation.json"}</w:instrText>
            </w:r>
            <w:r w:rsidRPr="009617F3">
              <w:rPr>
                <w:rFonts w:ascii="Times New Roman" w:hAnsi="Times New Roman" w:cs="Times New Roman"/>
                <w:vertAlign w:val="superscript"/>
              </w:rPr>
              <w:fldChar w:fldCharType="separate"/>
            </w:r>
            <w:r w:rsidRPr="009617F3">
              <w:rPr>
                <w:rFonts w:ascii="Times New Roman" w:hAnsi="Times New Roman" w:cs="Times New Roman"/>
                <w:noProof/>
                <w:vertAlign w:val="superscript"/>
              </w:rPr>
              <w:t>(8)</w:t>
            </w:r>
            <w:r w:rsidRPr="009617F3">
              <w:rPr>
                <w:rFonts w:ascii="Times New Roman" w:hAnsi="Times New Roman" w:cs="Times New Roman"/>
                <w:vertAlign w:val="superscript"/>
              </w:rPr>
              <w:fldChar w:fldCharType="end"/>
            </w:r>
          </w:p>
        </w:tc>
        <w:tc>
          <w:tcPr>
            <w:tcW w:w="1440" w:type="dxa"/>
          </w:tcPr>
          <w:p w14:paraId="60BFBB60" w14:textId="2B9AFB70" w:rsidR="008C7DAF" w:rsidRPr="000F76D1" w:rsidRDefault="008C7DAF" w:rsidP="004F6634">
            <w:pPr>
              <w:rPr>
                <w:rFonts w:ascii="Times New Roman" w:hAnsi="Times New Roman" w:cs="Times New Roman"/>
              </w:rPr>
            </w:pPr>
            <w:r w:rsidRPr="00B361DE">
              <w:rPr>
                <w:rFonts w:ascii="Times New Roman" w:hAnsi="Times New Roman" w:cs="Times New Roman"/>
              </w:rPr>
              <w:t>2005</w:t>
            </w:r>
          </w:p>
        </w:tc>
        <w:tc>
          <w:tcPr>
            <w:tcW w:w="1535" w:type="dxa"/>
          </w:tcPr>
          <w:p w14:paraId="3684312F" w14:textId="73ACCCF4" w:rsidR="008C7DAF" w:rsidRDefault="008C7DAF" w:rsidP="003F30BD">
            <w:pPr>
              <w:jc w:val="both"/>
              <w:rPr>
                <w:rFonts w:ascii="Times New Roman" w:hAnsi="Times New Roman" w:cs="Times New Roman"/>
              </w:rPr>
            </w:pPr>
            <w:r>
              <w:rPr>
                <w:rFonts w:ascii="Times New Roman" w:hAnsi="Times New Roman" w:cs="Times New Roman"/>
              </w:rPr>
              <w:t>Public health investigation</w:t>
            </w:r>
            <w:r w:rsidRPr="00B361DE">
              <w:rPr>
                <w:rFonts w:ascii="Times New Roman" w:hAnsi="Times New Roman" w:cs="Times New Roman"/>
              </w:rPr>
              <w:t xml:space="preserve"> </w:t>
            </w:r>
          </w:p>
        </w:tc>
        <w:tc>
          <w:tcPr>
            <w:tcW w:w="1203" w:type="dxa"/>
          </w:tcPr>
          <w:p w14:paraId="085FB3B7" w14:textId="473FA19B" w:rsidR="008C7DAF" w:rsidRPr="000F76D1" w:rsidRDefault="008C7DAF" w:rsidP="003F30BD">
            <w:pPr>
              <w:jc w:val="both"/>
              <w:rPr>
                <w:rFonts w:ascii="Times New Roman" w:hAnsi="Times New Roman" w:cs="Times New Roman"/>
              </w:rPr>
            </w:pPr>
            <w:r w:rsidRPr="00B361DE">
              <w:rPr>
                <w:rFonts w:ascii="Times New Roman" w:hAnsi="Times New Roman" w:cs="Times New Roman"/>
              </w:rPr>
              <w:t>USA</w:t>
            </w:r>
          </w:p>
        </w:tc>
        <w:tc>
          <w:tcPr>
            <w:tcW w:w="1402" w:type="dxa"/>
          </w:tcPr>
          <w:p w14:paraId="5A7E2C93" w14:textId="6F277F9D" w:rsidR="008C7DAF" w:rsidRDefault="008C7DAF" w:rsidP="003F30BD">
            <w:pPr>
              <w:jc w:val="both"/>
              <w:rPr>
                <w:rFonts w:ascii="Times New Roman" w:hAnsi="Times New Roman" w:cs="Times New Roman"/>
              </w:rPr>
            </w:pPr>
            <w:r>
              <w:rPr>
                <w:rFonts w:ascii="Times New Roman" w:hAnsi="Times New Roman" w:cs="Times New Roman"/>
              </w:rPr>
              <w:t>Smallpox vaccine</w:t>
            </w:r>
          </w:p>
        </w:tc>
        <w:tc>
          <w:tcPr>
            <w:tcW w:w="6210" w:type="dxa"/>
          </w:tcPr>
          <w:p w14:paraId="3580ECFA" w14:textId="1FE90786" w:rsidR="008C7DAF" w:rsidRPr="003B34F4" w:rsidRDefault="003F068E" w:rsidP="003F30BD">
            <w:pPr>
              <w:jc w:val="both"/>
              <w:rPr>
                <w:rFonts w:ascii="Times New Roman" w:hAnsi="Times New Roman" w:cs="Times New Roman"/>
              </w:rPr>
            </w:pPr>
            <w:bookmarkStart w:id="6" w:name="_Hlk109639954"/>
            <w:r w:rsidRPr="003F068E">
              <w:rPr>
                <w:rFonts w:ascii="Times New Roman" w:hAnsi="Times New Roman" w:cs="Times New Roman"/>
              </w:rPr>
              <w:t>94%</w:t>
            </w:r>
            <w:r w:rsidR="00FC5D8E">
              <w:rPr>
                <w:rFonts w:ascii="Times New Roman" w:hAnsi="Times New Roman" w:cs="Times New Roman"/>
              </w:rPr>
              <w:t xml:space="preserve"> of</w:t>
            </w:r>
            <w:r w:rsidRPr="003F068E">
              <w:rPr>
                <w:rFonts w:ascii="Times New Roman" w:hAnsi="Times New Roman" w:cs="Times New Roman"/>
              </w:rPr>
              <w:t xml:space="preserve"> previously vaccinated, exposed HCWs tested positive for anti-</w:t>
            </w:r>
            <w:proofErr w:type="spellStart"/>
            <w:r w:rsidRPr="003F068E">
              <w:rPr>
                <w:rFonts w:ascii="Times New Roman" w:hAnsi="Times New Roman" w:cs="Times New Roman"/>
              </w:rPr>
              <w:t>orthopoxvirus</w:t>
            </w:r>
            <w:proofErr w:type="spellEnd"/>
            <w:r w:rsidRPr="003F068E">
              <w:rPr>
                <w:rFonts w:ascii="Times New Roman" w:hAnsi="Times New Roman" w:cs="Times New Roman"/>
              </w:rPr>
              <w:t xml:space="preserve"> IgG antibodies. </w:t>
            </w:r>
            <w:bookmarkEnd w:id="6"/>
            <w:r w:rsidRPr="003F068E">
              <w:rPr>
                <w:rFonts w:ascii="Times New Roman" w:hAnsi="Times New Roman" w:cs="Times New Roman"/>
              </w:rPr>
              <w:t>No individuals appear to have had a significant change in anti-</w:t>
            </w:r>
            <w:proofErr w:type="spellStart"/>
            <w:r w:rsidRPr="003F068E">
              <w:rPr>
                <w:rFonts w:ascii="Times New Roman" w:hAnsi="Times New Roman" w:cs="Times New Roman"/>
              </w:rPr>
              <w:t>orthopoxvirus</w:t>
            </w:r>
            <w:proofErr w:type="spellEnd"/>
            <w:r w:rsidRPr="003F068E">
              <w:rPr>
                <w:rFonts w:ascii="Times New Roman" w:hAnsi="Times New Roman" w:cs="Times New Roman"/>
              </w:rPr>
              <w:t xml:space="preserve"> IgG levels suggestive of effects due to recent booster exposure. So, smallpox vaccination </w:t>
            </w:r>
            <w:r w:rsidR="001065BC">
              <w:rPr>
                <w:rFonts w:ascii="Times New Roman" w:hAnsi="Times New Roman" w:cs="Times New Roman"/>
              </w:rPr>
              <w:t xml:space="preserve">can provide protection for a long period of time. </w:t>
            </w:r>
            <w:r w:rsidRPr="003F068E">
              <w:rPr>
                <w:rFonts w:ascii="Times New Roman" w:hAnsi="Times New Roman" w:cs="Times New Roman"/>
              </w:rPr>
              <w:t>It is also unclear whether recent vaccination or infection produced a single positive IgM result; the average duration of IgM persistence after smallpox vaccination is unknown. According to anecdotal evidence with CDC vaccines, some primary vaccinees may exhibit an IgM response for up to 6 months (unpublished data).</w:t>
            </w:r>
          </w:p>
        </w:tc>
      </w:tr>
      <w:tr w:rsidR="008C7DAF" w:rsidRPr="00484EFC" w14:paraId="7B5BA7EA" w14:textId="77777777" w:rsidTr="008C7DAF">
        <w:trPr>
          <w:jc w:val="center"/>
        </w:trPr>
        <w:tc>
          <w:tcPr>
            <w:tcW w:w="1620" w:type="dxa"/>
          </w:tcPr>
          <w:p w14:paraId="3EDEE853" w14:textId="3434F24B" w:rsidR="008C7DAF" w:rsidRPr="000F76D1" w:rsidRDefault="008C7DAF" w:rsidP="004F6634">
            <w:pPr>
              <w:rPr>
                <w:rFonts w:ascii="Times New Roman" w:hAnsi="Times New Roman" w:cs="Times New Roman"/>
              </w:rPr>
            </w:pPr>
            <w:proofErr w:type="spellStart"/>
            <w:r>
              <w:rPr>
                <w:rFonts w:ascii="Times New Roman" w:hAnsi="Times New Roman" w:cs="Times New Roman"/>
              </w:rPr>
              <w:t>Nalca</w:t>
            </w:r>
            <w:proofErr w:type="spellEnd"/>
            <w:r>
              <w:rPr>
                <w:rFonts w:ascii="Times New Roman" w:hAnsi="Times New Roman" w:cs="Times New Roman"/>
              </w:rPr>
              <w:t xml:space="preserve"> </w:t>
            </w:r>
            <w:r w:rsidRPr="00484EFC">
              <w:rPr>
                <w:rFonts w:ascii="Times New Roman" w:hAnsi="Times New Roman" w:cs="Times New Roman"/>
              </w:rPr>
              <w:t>A.</w:t>
            </w:r>
            <w:r>
              <w:rPr>
                <w:rFonts w:ascii="Times New Roman" w:hAnsi="Times New Roman" w:cs="Times New Roman"/>
              </w:rPr>
              <w:t xml:space="preserve"> et </w:t>
            </w:r>
            <w:r w:rsidRPr="00484EFC">
              <w:rPr>
                <w:rFonts w:ascii="Times New Roman" w:hAnsi="Times New Roman" w:cs="Times New Roman"/>
              </w:rPr>
              <w:t>al.</w:t>
            </w:r>
            <w:r w:rsidRPr="009617F3">
              <w:rPr>
                <w:rFonts w:ascii="Times New Roman" w:hAnsi="Times New Roman" w:cs="Times New Roman"/>
                <w:vertAlign w:val="superscript"/>
              </w:rPr>
              <w:fldChar w:fldCharType="begin" w:fldLock="1"/>
            </w:r>
            <w:r w:rsidRPr="009617F3">
              <w:rPr>
                <w:rFonts w:ascii="Times New Roman" w:hAnsi="Times New Roman" w:cs="Times New Roman"/>
                <w:vertAlign w:val="superscript"/>
              </w:rPr>
              <w:instrText>ADDIN CSL_CITATION {"citationItems":[{"id":"ITEM-1","itemData":{"DOI":"10.1086/498155","ISSN":"1537-6591 (Electronic)","PMID":"16288402","abstract":"Human monkeypox is a viral zoonotic disease that occurs mostly in the rain  forests of central and western Africa. However, the disease recently emerged in the United States in imported wild rodents from Africa. Monkeypox has a clinical presentation very similar to that of ordinary forms of smallpox, including flulike symptoms, fever, malaise, back pain, headache, and characteristic rash. Given this clinical spectrum, differential diagnosis to rule out smallpox is very important. There are no licensed therapies for human monkeypox; however, the smallpox vaccine can protect against the disease. The discontinuation of general vaccination in the 1980s has given rise to increasing susceptibility to monkeypox virus infection in the human population. This has led to fears that monkeypox virus could be used as a bioterrorism agent. Effective prevention relies on limiting the contact with infected patients or animals and limiting the respiratory exposure to infected patients.","author":[{"dropping-particle":"","family":"Nalca","given":"Aysegul","non-dropping-particle":"","parse-names":false,"suffix":""},{"dropping-particle":"","family":"Rimoin","given":"Anne W","non-dropping-particle":"","parse-names":false,"suffix":""},{"dropping-particle":"","family":"Bavari","given":"Sina","non-dropping-particle":"","parse-names":false,"suffix":""},{"dropping-particle":"","family":"Whitehouse","given":"Chris A","non-dropping-particle":"","parse-names":false,"suffix":""}],"container-title":"Clinical infectious diseases : an official publication of the Infectious Diseases  Society of America","id":"ITEM-1","issue":"12","issued":{"date-parts":[["2005","12"]]},"language":"eng","page":"1765-1771","publisher-place":"United States","title":"Reemergence of monkeypox: prevalence, diagnostics, and countermeasures.","type":"article-journal","volume":"41"},"uris":["http://www.mendeley.com/documents/?uuid=467780e5-5091-49c7-8071-cd6de349a773"]}],"mendeley":{"formattedCitation":"(9)","plainTextFormattedCitation":"(9)","previouslyFormattedCitation":"(9)"},"properties":{"noteIndex":0},"schema":"https://github.com/citation-style-language/schema/raw/master/csl-citation.json"}</w:instrText>
            </w:r>
            <w:r w:rsidRPr="009617F3">
              <w:rPr>
                <w:rFonts w:ascii="Times New Roman" w:hAnsi="Times New Roman" w:cs="Times New Roman"/>
                <w:vertAlign w:val="superscript"/>
              </w:rPr>
              <w:fldChar w:fldCharType="separate"/>
            </w:r>
            <w:r w:rsidRPr="009617F3">
              <w:rPr>
                <w:rFonts w:ascii="Times New Roman" w:hAnsi="Times New Roman" w:cs="Times New Roman"/>
                <w:noProof/>
                <w:vertAlign w:val="superscript"/>
              </w:rPr>
              <w:t>(9)</w:t>
            </w:r>
            <w:r w:rsidRPr="009617F3">
              <w:rPr>
                <w:rFonts w:ascii="Times New Roman" w:hAnsi="Times New Roman" w:cs="Times New Roman"/>
                <w:vertAlign w:val="superscript"/>
              </w:rPr>
              <w:fldChar w:fldCharType="end"/>
            </w:r>
          </w:p>
        </w:tc>
        <w:tc>
          <w:tcPr>
            <w:tcW w:w="1440" w:type="dxa"/>
          </w:tcPr>
          <w:p w14:paraId="08839A50" w14:textId="517500E8" w:rsidR="008C7DAF" w:rsidRPr="000F76D1" w:rsidRDefault="008C7DAF" w:rsidP="004F6634">
            <w:pPr>
              <w:rPr>
                <w:rFonts w:ascii="Times New Roman" w:hAnsi="Times New Roman" w:cs="Times New Roman"/>
              </w:rPr>
            </w:pPr>
            <w:r w:rsidRPr="00484EFC">
              <w:rPr>
                <w:rFonts w:ascii="Times New Roman" w:hAnsi="Times New Roman" w:cs="Times New Roman"/>
              </w:rPr>
              <w:t>2005</w:t>
            </w:r>
          </w:p>
        </w:tc>
        <w:tc>
          <w:tcPr>
            <w:tcW w:w="1535" w:type="dxa"/>
          </w:tcPr>
          <w:p w14:paraId="3BC3A097" w14:textId="10B09EF3" w:rsidR="008C7DAF" w:rsidRDefault="008C7DAF" w:rsidP="003F30BD">
            <w:pPr>
              <w:jc w:val="both"/>
              <w:rPr>
                <w:rFonts w:ascii="Times New Roman" w:hAnsi="Times New Roman" w:cs="Times New Roman"/>
              </w:rPr>
            </w:pPr>
            <w:r w:rsidRPr="00484EFC">
              <w:rPr>
                <w:rFonts w:ascii="Times New Roman" w:hAnsi="Times New Roman" w:cs="Times New Roman"/>
              </w:rPr>
              <w:t>Review article</w:t>
            </w:r>
          </w:p>
        </w:tc>
        <w:tc>
          <w:tcPr>
            <w:tcW w:w="1203" w:type="dxa"/>
          </w:tcPr>
          <w:p w14:paraId="5AF49D2A" w14:textId="62CE7B82" w:rsidR="008C7DAF" w:rsidRPr="000F76D1" w:rsidRDefault="008C7DAF" w:rsidP="003F30BD">
            <w:pPr>
              <w:jc w:val="both"/>
              <w:rPr>
                <w:rFonts w:ascii="Times New Roman" w:hAnsi="Times New Roman" w:cs="Times New Roman"/>
              </w:rPr>
            </w:pPr>
            <w:r w:rsidRPr="00484EFC">
              <w:rPr>
                <w:rFonts w:ascii="Times New Roman" w:hAnsi="Times New Roman" w:cs="Times New Roman"/>
              </w:rPr>
              <w:t>USA</w:t>
            </w:r>
          </w:p>
        </w:tc>
        <w:tc>
          <w:tcPr>
            <w:tcW w:w="1402" w:type="dxa"/>
          </w:tcPr>
          <w:p w14:paraId="753E4C11" w14:textId="26652303" w:rsidR="008C7DAF" w:rsidRDefault="008C7DAF" w:rsidP="003F30BD">
            <w:pPr>
              <w:jc w:val="both"/>
              <w:rPr>
                <w:rFonts w:ascii="Times New Roman" w:hAnsi="Times New Roman" w:cs="Times New Roman"/>
              </w:rPr>
            </w:pPr>
            <w:r>
              <w:rPr>
                <w:rFonts w:ascii="Times New Roman" w:hAnsi="Times New Roman" w:cs="Times New Roman"/>
              </w:rPr>
              <w:t>Routine smallpox vaccine</w:t>
            </w:r>
          </w:p>
        </w:tc>
        <w:tc>
          <w:tcPr>
            <w:tcW w:w="6210" w:type="dxa"/>
          </w:tcPr>
          <w:p w14:paraId="71F91305" w14:textId="72D6A8B9" w:rsidR="008C7DAF" w:rsidRPr="003B34F4" w:rsidRDefault="00D0358B" w:rsidP="003F30BD">
            <w:pPr>
              <w:jc w:val="both"/>
              <w:rPr>
                <w:rFonts w:ascii="Times New Roman" w:hAnsi="Times New Roman" w:cs="Times New Roman"/>
              </w:rPr>
            </w:pPr>
            <w:bookmarkStart w:id="7" w:name="_Hlk109638213"/>
            <w:r w:rsidRPr="00D0358B">
              <w:rPr>
                <w:rFonts w:ascii="Times New Roman" w:hAnsi="Times New Roman" w:cs="Times New Roman"/>
              </w:rPr>
              <w:t>Clinical sign symptoms of Monkeypox were found to be more pronounced in unvaccinated patients.</w:t>
            </w:r>
            <w:bookmarkEnd w:id="7"/>
            <w:r w:rsidRPr="00D0358B">
              <w:rPr>
                <w:rFonts w:ascii="Times New Roman" w:hAnsi="Times New Roman" w:cs="Times New Roman"/>
              </w:rPr>
              <w:t xml:space="preserve"> Chills and/or sweats, headache, backache, sore throat, cough, shortness of breath, and </w:t>
            </w:r>
            <w:r w:rsidRPr="00D0358B">
              <w:rPr>
                <w:rFonts w:ascii="Times New Roman" w:hAnsi="Times New Roman" w:cs="Times New Roman"/>
              </w:rPr>
              <w:lastRenderedPageBreak/>
              <w:t>lymphadenopathy have been observed in 90% of unvaccinated patients.</w:t>
            </w:r>
          </w:p>
        </w:tc>
      </w:tr>
      <w:tr w:rsidR="008C7DAF" w:rsidRPr="00484EFC" w14:paraId="415478C5" w14:textId="77777777" w:rsidTr="008C7DAF">
        <w:trPr>
          <w:jc w:val="center"/>
        </w:trPr>
        <w:tc>
          <w:tcPr>
            <w:tcW w:w="1620" w:type="dxa"/>
          </w:tcPr>
          <w:p w14:paraId="776EE68E" w14:textId="78A1A136" w:rsidR="008C7DAF" w:rsidRPr="000F76D1" w:rsidRDefault="008C7DAF" w:rsidP="004F6634">
            <w:pPr>
              <w:rPr>
                <w:rFonts w:ascii="Times New Roman" w:hAnsi="Times New Roman" w:cs="Times New Roman"/>
              </w:rPr>
            </w:pPr>
            <w:proofErr w:type="spellStart"/>
            <w:r w:rsidRPr="00484EFC">
              <w:rPr>
                <w:rFonts w:ascii="Times New Roman" w:hAnsi="Times New Roman" w:cs="Times New Roman"/>
              </w:rPr>
              <w:lastRenderedPageBreak/>
              <w:t>Huhn</w:t>
            </w:r>
            <w:proofErr w:type="spellEnd"/>
            <w:r w:rsidRPr="00484EFC">
              <w:rPr>
                <w:rFonts w:ascii="Times New Roman" w:hAnsi="Times New Roman" w:cs="Times New Roman"/>
              </w:rPr>
              <w:t xml:space="preserve"> G.D.</w:t>
            </w:r>
            <w:r>
              <w:rPr>
                <w:rFonts w:ascii="Times New Roman" w:hAnsi="Times New Roman" w:cs="Times New Roman"/>
              </w:rPr>
              <w:t xml:space="preserve"> et </w:t>
            </w:r>
            <w:r w:rsidRPr="00484EFC">
              <w:rPr>
                <w:rFonts w:ascii="Times New Roman" w:hAnsi="Times New Roman" w:cs="Times New Roman"/>
              </w:rPr>
              <w:t>al.</w:t>
            </w:r>
            <w:r w:rsidRPr="009617F3">
              <w:rPr>
                <w:rFonts w:ascii="Times New Roman" w:hAnsi="Times New Roman" w:cs="Times New Roman"/>
                <w:vertAlign w:val="superscript"/>
              </w:rPr>
              <w:fldChar w:fldCharType="begin" w:fldLock="1"/>
            </w:r>
            <w:r w:rsidRPr="009617F3">
              <w:rPr>
                <w:rFonts w:ascii="Times New Roman" w:hAnsi="Times New Roman" w:cs="Times New Roman"/>
                <w:vertAlign w:val="superscript"/>
              </w:rPr>
              <w:instrText>ADDIN CSL_CITATION {"citationItems":[{"id":"ITEM-1","itemData":{"DOI":"10.1086/498115","ISSN":"1537-6591 (Electronic)","PMID":"16288398","abstract":"BACKGROUND: Human monkeypox is an emerging smallpox-like illness that was  identified for the first time in the United States during an outbreak in 2003. Knowledge of the clinical manifestations of monkeypox in adults is limited, and clinical laboratory findings have been unknown. METHODS: Demographic information; medical history; smallpox vaccination status; signs, symptoms, and duration of illness, and laboratory results (hematologic and serum chemistry findings) were extracted from medical records of patients with a confirmed case of monkeypox in the United States. Two-way comparisons were conducted between pediatric and adult patients and between patients with and patients without previous smallpox vaccination. Bivariate and multivariate analyses of risk factors for severe disease (fever [temperature, &gt; or =38.3 degrees C] and the presence of rash [&gt; or =100 lesions]), activity and duration of hospitalization, and abnormal clinical laboratory findings were performed. RESULTS: Of 34 patients with a confirmed case of monkeypox, 5 (15%) were defined as severely ill, and 9 (26%) were hospitalized for &gt;48 h; no patients died. Previous smallpox vaccination was not associated with disease severity or hospitalization. Pediatric patients (age, &lt; or =18 years) were more likely to be hospitalized in an intensive care unit. Nausea and/or vomiting and mouth sores were independently associated with a hospitalization duration of &gt;48 h and with having &gt; or =3 laboratory tests with abnormal results. CONCLUSION: Monkeypox can cause a severe clinical illness, with systemic signs and symptoms and abnormal clinical laboratory findings. In the appropriate epidemiologic context, monkeypox should be included in the differential diagnosis for patients with unusual vesiculopustular exanthems, mucosal lesions, gastrointestinal symptoms, and abnormal hematologic or hepatic laboratory findings. Clinicians evaluating a rash illness consistent with possible orthopoxvirus infection should alert public health officials and consider further evaluation.","author":[{"dropping-particle":"","family":"Huhn","given":"Gregory D","non-dropping-particle":"","parse-names":false,"suffix":""},{"dropping-particle":"","family":"Bauer","given":"Audrey M","non-dropping-particle":"","parse-names":false,"suffix":""},{"dropping-particle":"","family":"Yorita","given":"Krista","non-dropping-particle":"","parse-names":false,"suffix":""},{"dropping-particle":"","family":"Graham","given":"Mary Beth","non-dropping-particle":"","parse-names":false,"suffix":""},{"dropping-particle":"","family":"Sejvar","given":"James","non-dropping-particle":"","parse-names":false,"suffix":""},{"dropping-particle":"","family":"Likos","given":"Anna","non-dropping-particle":"","parse-names":false,"suffix":""},{"dropping-particle":"","family":"Damon","given":"Inger K","non-dropping-particle":"","parse-names":false,"suffix":""},{"dropping-particle":"","family":"Reynolds","given":"Mary G","non-dropping-particle":"","parse-names":false,"suffix":""},{"dropping-particle":"","family":"Kuehnert","given":"Matthew J","non-dropping-particle":"","parse-names":false,"suffix":""}],"container-title":"Clinical infectious diseases : an official publication of the Infectious Diseases  Society of America","id":"ITEM-1","issue":"12","issued":{"date-parts":[["2005","12"]]},"language":"eng","page":"1742-1751","publisher-place":"United States","title":"Clinical characteristics of human monkeypox, and risk factors for severe disease.","type":"article-journal","volume":"41"},"uris":["http://www.mendeley.com/documents/?uuid=2df2cef7-7aab-4954-8e58-b983c4d9bba1"]}],"mendeley":{"formattedCitation":"(10)","plainTextFormattedCitation":"(10)","previouslyFormattedCitation":"(10)"},"properties":{"noteIndex":0},"schema":"https://github.com/citation-style-language/schema/raw/master/csl-citation.json"}</w:instrText>
            </w:r>
            <w:r w:rsidRPr="009617F3">
              <w:rPr>
                <w:rFonts w:ascii="Times New Roman" w:hAnsi="Times New Roman" w:cs="Times New Roman"/>
                <w:vertAlign w:val="superscript"/>
              </w:rPr>
              <w:fldChar w:fldCharType="separate"/>
            </w:r>
            <w:r w:rsidRPr="009617F3">
              <w:rPr>
                <w:rFonts w:ascii="Times New Roman" w:hAnsi="Times New Roman" w:cs="Times New Roman"/>
                <w:noProof/>
                <w:vertAlign w:val="superscript"/>
              </w:rPr>
              <w:t>(10)</w:t>
            </w:r>
            <w:r w:rsidRPr="009617F3">
              <w:rPr>
                <w:rFonts w:ascii="Times New Roman" w:hAnsi="Times New Roman" w:cs="Times New Roman"/>
                <w:vertAlign w:val="superscript"/>
              </w:rPr>
              <w:fldChar w:fldCharType="end"/>
            </w:r>
          </w:p>
        </w:tc>
        <w:tc>
          <w:tcPr>
            <w:tcW w:w="1440" w:type="dxa"/>
          </w:tcPr>
          <w:p w14:paraId="748FBC03" w14:textId="718AEAF8" w:rsidR="008C7DAF" w:rsidRPr="000F76D1" w:rsidRDefault="008C7DAF" w:rsidP="004F6634">
            <w:pPr>
              <w:rPr>
                <w:rFonts w:ascii="Times New Roman" w:hAnsi="Times New Roman" w:cs="Times New Roman"/>
              </w:rPr>
            </w:pPr>
            <w:r w:rsidRPr="00484EFC">
              <w:rPr>
                <w:rFonts w:ascii="Times New Roman" w:hAnsi="Times New Roman" w:cs="Times New Roman"/>
              </w:rPr>
              <w:t>2005</w:t>
            </w:r>
          </w:p>
        </w:tc>
        <w:tc>
          <w:tcPr>
            <w:tcW w:w="1535" w:type="dxa"/>
          </w:tcPr>
          <w:p w14:paraId="492CA49E" w14:textId="7965251A" w:rsidR="008C7DAF" w:rsidRDefault="008C7DAF" w:rsidP="003F30BD">
            <w:pPr>
              <w:jc w:val="both"/>
              <w:rPr>
                <w:rFonts w:ascii="Times New Roman" w:hAnsi="Times New Roman" w:cs="Times New Roman"/>
              </w:rPr>
            </w:pPr>
            <w:bookmarkStart w:id="8" w:name="_Hlk109638455"/>
            <w:r>
              <w:rPr>
                <w:rFonts w:ascii="Times New Roman" w:hAnsi="Times New Roman" w:cs="Times New Roman"/>
              </w:rPr>
              <w:t>R</w:t>
            </w:r>
            <w:r w:rsidRPr="00484EFC">
              <w:rPr>
                <w:rFonts w:ascii="Times New Roman" w:hAnsi="Times New Roman" w:cs="Times New Roman"/>
              </w:rPr>
              <w:t xml:space="preserve">etrospective </w:t>
            </w:r>
            <w:r>
              <w:rPr>
                <w:rFonts w:ascii="Times New Roman" w:hAnsi="Times New Roman" w:cs="Times New Roman"/>
              </w:rPr>
              <w:t xml:space="preserve">analysis of </w:t>
            </w:r>
            <w:r w:rsidRPr="00381987">
              <w:rPr>
                <w:rFonts w:ascii="Times New Roman" w:hAnsi="Times New Roman" w:cs="Times New Roman"/>
              </w:rPr>
              <w:t>clinical reports and active and passive surveillance</w:t>
            </w:r>
            <w:r>
              <w:rPr>
                <w:rFonts w:ascii="Times New Roman" w:hAnsi="Times New Roman" w:cs="Times New Roman"/>
              </w:rPr>
              <w:t xml:space="preserve"> of suspected Monkeypox cases</w:t>
            </w:r>
            <w:bookmarkEnd w:id="8"/>
          </w:p>
        </w:tc>
        <w:tc>
          <w:tcPr>
            <w:tcW w:w="1203" w:type="dxa"/>
          </w:tcPr>
          <w:p w14:paraId="50B42008" w14:textId="384D3DC6" w:rsidR="008C7DAF" w:rsidRPr="000F76D1" w:rsidRDefault="008C7DAF" w:rsidP="003F30BD">
            <w:pPr>
              <w:jc w:val="both"/>
              <w:rPr>
                <w:rFonts w:ascii="Times New Roman" w:hAnsi="Times New Roman" w:cs="Times New Roman"/>
              </w:rPr>
            </w:pPr>
            <w:r w:rsidRPr="00484EFC">
              <w:rPr>
                <w:rFonts w:ascii="Times New Roman" w:hAnsi="Times New Roman" w:cs="Times New Roman"/>
              </w:rPr>
              <w:t>USA</w:t>
            </w:r>
          </w:p>
        </w:tc>
        <w:tc>
          <w:tcPr>
            <w:tcW w:w="1402" w:type="dxa"/>
          </w:tcPr>
          <w:p w14:paraId="293DBC8F" w14:textId="06479AFE" w:rsidR="008C7DAF" w:rsidRDefault="008C7DAF" w:rsidP="003F30BD">
            <w:pPr>
              <w:jc w:val="both"/>
              <w:rPr>
                <w:rFonts w:ascii="Times New Roman" w:hAnsi="Times New Roman" w:cs="Times New Roman"/>
              </w:rPr>
            </w:pPr>
            <w:r>
              <w:rPr>
                <w:rFonts w:ascii="Times New Roman" w:hAnsi="Times New Roman" w:cs="Times New Roman"/>
              </w:rPr>
              <w:t>Smallpox vaccine</w:t>
            </w:r>
          </w:p>
        </w:tc>
        <w:tc>
          <w:tcPr>
            <w:tcW w:w="6210" w:type="dxa"/>
          </w:tcPr>
          <w:p w14:paraId="407771C5" w14:textId="4DC57318" w:rsidR="008C7DAF" w:rsidRPr="003B34F4" w:rsidRDefault="00930EFB" w:rsidP="003F30BD">
            <w:pPr>
              <w:jc w:val="both"/>
              <w:rPr>
                <w:rFonts w:ascii="Times New Roman" w:hAnsi="Times New Roman" w:cs="Times New Roman"/>
              </w:rPr>
            </w:pPr>
            <w:r w:rsidRPr="00323473">
              <w:rPr>
                <w:rFonts w:ascii="Times New Roman" w:hAnsi="Times New Roman" w:cs="Times New Roman"/>
              </w:rPr>
              <w:t xml:space="preserve">The significant finding of this study was </w:t>
            </w:r>
            <w:bookmarkStart w:id="9" w:name="_Hlk109638590"/>
            <w:r w:rsidRPr="00323473">
              <w:rPr>
                <w:rFonts w:ascii="Times New Roman" w:hAnsi="Times New Roman" w:cs="Times New Roman"/>
              </w:rPr>
              <w:t>that previous smallpox vaccination was not associated with disease severity or hospitalization.</w:t>
            </w:r>
            <w:bookmarkEnd w:id="9"/>
            <w:r w:rsidRPr="00323473">
              <w:rPr>
                <w:rFonts w:ascii="Times New Roman" w:hAnsi="Times New Roman" w:cs="Times New Roman"/>
              </w:rPr>
              <w:t xml:space="preserve"> Seven patients (21%; median age: 39 years, range: 33–47 years) reported previous smallpox vaccination or had recognized smallpox scars. Nevertheless, bivariate and multivariate analyses found no difference in illness severity or inpatient hospitalization in patients with a reported history of smallpox vaccination.</w:t>
            </w:r>
          </w:p>
        </w:tc>
      </w:tr>
      <w:tr w:rsidR="008C7DAF" w:rsidRPr="00484EFC" w14:paraId="651CC8BC" w14:textId="77777777" w:rsidTr="008C7DAF">
        <w:trPr>
          <w:jc w:val="center"/>
        </w:trPr>
        <w:tc>
          <w:tcPr>
            <w:tcW w:w="1620" w:type="dxa"/>
          </w:tcPr>
          <w:p w14:paraId="5B457DC2" w14:textId="46A2D24E" w:rsidR="008C7DAF" w:rsidRPr="00885968" w:rsidRDefault="008C7DAF" w:rsidP="004F6634">
            <w:pPr>
              <w:rPr>
                <w:rFonts w:ascii="Times New Roman" w:hAnsi="Times New Roman" w:cs="Times New Roman"/>
              </w:rPr>
            </w:pPr>
            <w:bookmarkStart w:id="10" w:name="_Hlk109641744"/>
            <w:proofErr w:type="spellStart"/>
            <w:r w:rsidRPr="007122C7">
              <w:rPr>
                <w:rFonts w:ascii="Times New Roman" w:hAnsi="Times New Roman" w:cs="Times New Roman"/>
                <w:color w:val="212121"/>
                <w:shd w:val="clear" w:color="auto" w:fill="FFFFFF"/>
              </w:rPr>
              <w:t>Cono</w:t>
            </w:r>
            <w:proofErr w:type="spellEnd"/>
            <w:r w:rsidRPr="007122C7">
              <w:rPr>
                <w:rFonts w:ascii="Times New Roman" w:hAnsi="Times New Roman" w:cs="Times New Roman"/>
                <w:color w:val="212121"/>
                <w:shd w:val="clear" w:color="auto" w:fill="FFFFFF"/>
              </w:rPr>
              <w:t xml:space="preserve"> J</w:t>
            </w:r>
            <w:r>
              <w:rPr>
                <w:rFonts w:ascii="Times New Roman" w:hAnsi="Times New Roman" w:cs="Times New Roman"/>
                <w:color w:val="212121"/>
                <w:shd w:val="clear" w:color="auto" w:fill="FFFFFF"/>
              </w:rPr>
              <w:t>.</w:t>
            </w:r>
            <w:r w:rsidRPr="007122C7">
              <w:rPr>
                <w:rFonts w:ascii="Times New Roman" w:hAnsi="Times New Roman" w:cs="Times New Roman"/>
                <w:color w:val="212121"/>
                <w:shd w:val="clear" w:color="auto" w:fill="FFFFFF"/>
              </w:rPr>
              <w:t xml:space="preserve"> et al</w:t>
            </w:r>
            <w:bookmarkEnd w:id="10"/>
            <w:r>
              <w:rPr>
                <w:rFonts w:ascii="Times New Roman" w:hAnsi="Times New Roman" w:cs="Times New Roman"/>
                <w:color w:val="212121"/>
                <w:shd w:val="clear" w:color="auto" w:fill="FFFFFF"/>
              </w:rPr>
              <w:t>.</w:t>
            </w:r>
            <w:r w:rsidRPr="009617F3">
              <w:rPr>
                <w:rFonts w:ascii="Times New Roman" w:hAnsi="Times New Roman" w:cs="Times New Roman"/>
                <w:color w:val="212121"/>
                <w:shd w:val="clear" w:color="auto" w:fill="FFFFFF"/>
                <w:vertAlign w:val="superscript"/>
              </w:rPr>
              <w:fldChar w:fldCharType="begin" w:fldLock="1"/>
            </w:r>
            <w:r w:rsidRPr="009617F3">
              <w:rPr>
                <w:rFonts w:ascii="Times New Roman" w:hAnsi="Times New Roman" w:cs="Times New Roman"/>
                <w:color w:val="212121"/>
                <w:shd w:val="clear" w:color="auto" w:fill="FFFFFF"/>
                <w:vertAlign w:val="superscript"/>
              </w:rPr>
              <w:instrText>ADDIN CSL_CITATION {"citationItems":[{"id":"ITEM-1","itemData":{"DOI":"10.3201/eid1211.060618","ISSN":"1080-6040 (Print)","PMID":"17283610","abstract":"Emerging infectious disease outbreaks and bioterrorism attacks warrant urgent  public health and medical responses. Response plans for these events may include use of medications and vaccines for which the effects on pregnant women and fetuses are unknown. Healthcare providers must be able to discuss the benefits and risks of these interventions with their pregnant patients. Recent experiences with outbreaks of severe acute respiratory syndrome, monkeypox, and anthrax, as well as response planning for bioterrorism and pandemic influenza, illustrate the challenges of making recommendations about treatment and prophylaxis for pregnant women. Understanding the physiology of pregnancy, the factors that influence the teratogenic potential of medications and vaccines, and the infection control measures that may stop an outbreak will aid planners in making recommendations for care of pregnant women during large-scale infectious disease emergencies.","author":[{"dropping-particle":"","family":"Cono","given":"Joanne","non-dropping-particle":"","parse-names":false,"suffix":""},{"dropping-particle":"","family":"Cragan","given":"Janet D","non-dropping-particle":"","parse-names":false,"suffix":""},{"dropping-particle":"","family":"Jamieson","given":"Denise J","non-dropping-particle":"","parse-names":false,"suffix":""},{"dropping-particle":"","family":"Rasmussen","given":"Sonja A","non-dropping-particle":"","parse-names":false,"suffix":""}],"container-title":"Emerging infectious diseases","id":"ITEM-1","issue":"11","issued":{"date-parts":[["2006","11"]]},"language":"eng","page":"1631-1637","title":"Prophylaxis and treatment of pregnant women for emerging infections and  bioterrorism emergencies.","type":"article-journal","volume":"12"},"uris":["http://www.mendeley.com/documents/?uuid=4ea9f9c6-eefe-4627-83f0-2d51f256689c"]}],"mendeley":{"formattedCitation":"(11)","plainTextFormattedCitation":"(11)","previouslyFormattedCitation":"(11)"},"properties":{"noteIndex":0},"schema":"https://github.com/citation-style-language/schema/raw/master/csl-citation.json"}</w:instrText>
            </w:r>
            <w:r w:rsidRPr="009617F3">
              <w:rPr>
                <w:rFonts w:ascii="Times New Roman" w:hAnsi="Times New Roman" w:cs="Times New Roman"/>
                <w:color w:val="212121"/>
                <w:shd w:val="clear" w:color="auto" w:fill="FFFFFF"/>
                <w:vertAlign w:val="superscript"/>
              </w:rPr>
              <w:fldChar w:fldCharType="separate"/>
            </w:r>
            <w:r w:rsidRPr="009617F3">
              <w:rPr>
                <w:rFonts w:ascii="Times New Roman" w:hAnsi="Times New Roman" w:cs="Times New Roman"/>
                <w:noProof/>
                <w:color w:val="212121"/>
                <w:shd w:val="clear" w:color="auto" w:fill="FFFFFF"/>
                <w:vertAlign w:val="superscript"/>
              </w:rPr>
              <w:t>(11)</w:t>
            </w:r>
            <w:r w:rsidRPr="009617F3">
              <w:rPr>
                <w:rFonts w:ascii="Times New Roman" w:hAnsi="Times New Roman" w:cs="Times New Roman"/>
                <w:color w:val="212121"/>
                <w:shd w:val="clear" w:color="auto" w:fill="FFFFFF"/>
                <w:vertAlign w:val="superscript"/>
              </w:rPr>
              <w:fldChar w:fldCharType="end"/>
            </w:r>
          </w:p>
        </w:tc>
        <w:tc>
          <w:tcPr>
            <w:tcW w:w="1440" w:type="dxa"/>
          </w:tcPr>
          <w:p w14:paraId="13F66AF9" w14:textId="7B67AD17" w:rsidR="008C7DAF" w:rsidRPr="00885968" w:rsidRDefault="008C7DAF" w:rsidP="004F6634">
            <w:pPr>
              <w:rPr>
                <w:rFonts w:ascii="Times New Roman" w:hAnsi="Times New Roman" w:cs="Times New Roman"/>
              </w:rPr>
            </w:pPr>
            <w:r w:rsidRPr="007122C7">
              <w:rPr>
                <w:rFonts w:ascii="Times New Roman" w:hAnsi="Times New Roman" w:cs="Times New Roman"/>
              </w:rPr>
              <w:t>2006</w:t>
            </w:r>
          </w:p>
        </w:tc>
        <w:tc>
          <w:tcPr>
            <w:tcW w:w="1535" w:type="dxa"/>
          </w:tcPr>
          <w:p w14:paraId="6F7290B8" w14:textId="536844BD" w:rsidR="008C7DAF" w:rsidRDefault="008C7DAF" w:rsidP="003F30BD">
            <w:pPr>
              <w:jc w:val="both"/>
              <w:rPr>
                <w:rFonts w:ascii="Times New Roman" w:hAnsi="Times New Roman" w:cs="Times New Roman"/>
              </w:rPr>
            </w:pPr>
            <w:r>
              <w:rPr>
                <w:rFonts w:ascii="Times New Roman" w:hAnsi="Times New Roman" w:cs="Times New Roman"/>
              </w:rPr>
              <w:t>Perspective r</w:t>
            </w:r>
            <w:r w:rsidRPr="007122C7">
              <w:rPr>
                <w:rFonts w:ascii="Times New Roman" w:hAnsi="Times New Roman" w:cs="Times New Roman"/>
              </w:rPr>
              <w:t>eview</w:t>
            </w:r>
          </w:p>
        </w:tc>
        <w:tc>
          <w:tcPr>
            <w:tcW w:w="1203" w:type="dxa"/>
          </w:tcPr>
          <w:p w14:paraId="1926E0E0" w14:textId="6221EA63" w:rsidR="008C7DAF" w:rsidRDefault="008C7DAF" w:rsidP="003F30BD">
            <w:pPr>
              <w:jc w:val="both"/>
              <w:rPr>
                <w:rFonts w:ascii="Times New Roman" w:hAnsi="Times New Roman" w:cs="Times New Roman"/>
              </w:rPr>
            </w:pPr>
            <w:r>
              <w:rPr>
                <w:rFonts w:ascii="Times New Roman" w:hAnsi="Times New Roman" w:cs="Times New Roman"/>
              </w:rPr>
              <w:t>USA</w:t>
            </w:r>
          </w:p>
        </w:tc>
        <w:tc>
          <w:tcPr>
            <w:tcW w:w="1402" w:type="dxa"/>
          </w:tcPr>
          <w:p w14:paraId="038DB8EF" w14:textId="4A29CF1A" w:rsidR="008C7DAF" w:rsidRPr="00885968" w:rsidRDefault="008C7DAF" w:rsidP="003F30BD">
            <w:pPr>
              <w:jc w:val="both"/>
              <w:rPr>
                <w:rFonts w:ascii="Times New Roman" w:hAnsi="Times New Roman" w:cs="Times New Roman"/>
              </w:rPr>
            </w:pPr>
            <w:r>
              <w:rPr>
                <w:rFonts w:ascii="Times New Roman" w:hAnsi="Times New Roman" w:cs="Times New Roman"/>
              </w:rPr>
              <w:t>Smallpox vaccine (Vaccinia)</w:t>
            </w:r>
          </w:p>
        </w:tc>
        <w:tc>
          <w:tcPr>
            <w:tcW w:w="6210" w:type="dxa"/>
          </w:tcPr>
          <w:p w14:paraId="6EFC6E35" w14:textId="36C6521D" w:rsidR="008C7DAF" w:rsidRPr="00AF1A49" w:rsidRDefault="000B6DAC" w:rsidP="003F30BD">
            <w:pPr>
              <w:jc w:val="both"/>
              <w:rPr>
                <w:rFonts w:ascii="Times New Roman" w:hAnsi="Times New Roman" w:cs="Times New Roman"/>
              </w:rPr>
            </w:pPr>
            <w:r w:rsidRPr="000B6DAC">
              <w:rPr>
                <w:rFonts w:ascii="Times New Roman" w:hAnsi="Times New Roman" w:cs="Times New Roman"/>
              </w:rPr>
              <w:t xml:space="preserve">According to the US </w:t>
            </w:r>
            <w:bookmarkStart w:id="11" w:name="_Hlk109643391"/>
            <w:r w:rsidRPr="000B6DAC">
              <w:rPr>
                <w:rFonts w:ascii="Times New Roman" w:hAnsi="Times New Roman" w:cs="Times New Roman"/>
              </w:rPr>
              <w:t>F</w:t>
            </w:r>
            <w:r w:rsidR="00CF5E8E">
              <w:rPr>
                <w:rFonts w:ascii="Times New Roman" w:hAnsi="Times New Roman" w:cs="Times New Roman"/>
              </w:rPr>
              <w:t>DA</w:t>
            </w:r>
            <w:r w:rsidRPr="000B6DAC">
              <w:rPr>
                <w:rFonts w:ascii="Times New Roman" w:hAnsi="Times New Roman" w:cs="Times New Roman"/>
              </w:rPr>
              <w:t xml:space="preserve">'s </w:t>
            </w:r>
            <w:bookmarkEnd w:id="11"/>
            <w:r w:rsidRPr="00440CE1">
              <w:rPr>
                <w:rFonts w:ascii="Times New Roman" w:hAnsi="Times New Roman" w:cs="Times New Roman"/>
              </w:rPr>
              <w:t>pregnancy</w:t>
            </w:r>
            <w:r w:rsidRPr="000B6DAC">
              <w:rPr>
                <w:rFonts w:ascii="Times New Roman" w:hAnsi="Times New Roman" w:cs="Times New Roman"/>
              </w:rPr>
              <w:t xml:space="preserve"> classifications of bioterrorism medical countermeasures, the smallpox vaccine is categorized as unlicensed or category C and indicated for potential use during monkeypox infection. The use of smallpox vaccination, where they are available, for pregnant women in an emergency situation when there is a high chance of life-threatening exposure to an infectious disease will likely be advised, despite unknown dangers to the fetus.</w:t>
            </w:r>
          </w:p>
        </w:tc>
      </w:tr>
      <w:tr w:rsidR="008C7DAF" w:rsidRPr="00484EFC" w14:paraId="248AF47B" w14:textId="77777777" w:rsidTr="008C7DAF">
        <w:trPr>
          <w:jc w:val="center"/>
        </w:trPr>
        <w:tc>
          <w:tcPr>
            <w:tcW w:w="1620" w:type="dxa"/>
          </w:tcPr>
          <w:p w14:paraId="2E683AE9" w14:textId="54777B61" w:rsidR="008C7DAF" w:rsidRPr="007122C7" w:rsidRDefault="008C7DAF" w:rsidP="004F6634">
            <w:pPr>
              <w:rPr>
                <w:rFonts w:ascii="Times New Roman" w:hAnsi="Times New Roman" w:cs="Times New Roman"/>
                <w:color w:val="212121"/>
                <w:shd w:val="clear" w:color="auto" w:fill="FFFFFF"/>
              </w:rPr>
            </w:pPr>
            <w:r>
              <w:rPr>
                <w:rFonts w:ascii="Times New Roman" w:hAnsi="Times New Roman" w:cs="Times New Roman"/>
              </w:rPr>
              <w:t>Karem K.L. et al</w:t>
            </w:r>
            <w:r w:rsidRPr="008B7B80">
              <w:rPr>
                <w:rFonts w:ascii="Times New Roman" w:hAnsi="Times New Roman" w:cs="Times New Roman"/>
              </w:rPr>
              <w:t>.</w:t>
            </w:r>
            <w:r w:rsidRPr="009617F3">
              <w:rPr>
                <w:rFonts w:ascii="Times New Roman" w:hAnsi="Times New Roman" w:cs="Times New Roman"/>
                <w:vertAlign w:val="superscript"/>
              </w:rPr>
              <w:fldChar w:fldCharType="begin" w:fldLock="1"/>
            </w:r>
            <w:r w:rsidRPr="009617F3">
              <w:rPr>
                <w:rFonts w:ascii="Times New Roman" w:hAnsi="Times New Roman" w:cs="Times New Roman"/>
                <w:vertAlign w:val="superscript"/>
              </w:rPr>
              <w:instrText>ADDIN CSL_CITATION {"citationItems":[{"id":"ITEM-1","itemData":{"DOI":"10.1128/CVI.00148-07","ISSN":"1556-6811 (Print)","PMID":"17715329","abstract":"Following the U.S. monkeypox outbreak of 2003, blood specimens and clinical and  epidemiologic data were collected from cases, defined by standard definition, and household contacts of cases to evaluate the role of preexisting (smallpox vaccine-derived) and acquired immunity in susceptibility to monkeypox disease and clinical outcomes. Orthopoxvirus-specific immunoglobulin G (IgG), IgM, CD4, CD8, and B-cell responses were measured at approximately 7 to 14 weeks and 1 year postexposure. Associations between immune responses, smallpox vaccination, and epidemiologic and clinical data were assessed. Participants were categorized into four groups: (i) vaccinated cases, (ii) unvaccinated cases, (iii) vaccinated contacts, and (iv) unvaccinated contacts. Cases, regardless of vaccination status, were positive for orthopoxvirus-specific IgM, IgG, CD4, CD8, and B-cell responses. Antiorthopoxvirus immune responses consistent with infection were observed in some contacts who did not develop monkeypox. Vaccinated contacts maintained low levels of antiorthopoxvirus IgG, CD4, and B-cell responses, with most lacking IgM or CD8 responses. Preexisting immunity, assessed by high antiorthopoxvirus IgG levels and childhood smallpox vaccination, was associated (in a nonsignificant manner) with mild disease. Vaccination failed to provide complete protection against human monkeypox. Previously vaccinated monkeypox cases manifested antiorthopoxvirus IgM and changes in antiorthopoxvirus IgG, CD4, CD8, or B-cell responses as markers of recent infection. Antiorthopoxvirus IgM and CD8 responses occurred most frequently in monkeypox cases (vaccinated and unvaccinated), with IgG, CD4, and memory B-cell responses indicative of vaccine-derived immunity. Immune markers provided evidence of asymptomatic infections in some vaccinated, as well as unvaccinated, individuals.","author":[{"dropping-particle":"","family":"Karem","given":"Kevin L","non-dropping-particle":"","parse-names":false,"suffix":""},{"dropping-particle":"","family":"Reynolds","given":"Mary","non-dropping-particle":"","parse-names":false,"suffix":""},{"dropping-particle":"","family":"Hughes","given":"Christine","non-dropping-particle":"","parse-names":false,"suffix":""},{"dropping-particle":"","family":"Braden","given":"Zach","non-dropping-particle":"","parse-names":false,"suffix":""},{"dropping-particle":"","family":"Nigam","given":"Pragati","non-dropping-particle":"","parse-names":false,"suffix":""},{"dropping-particle":"","family":"Crotty","given":"Shane","non-dropping-particle":"","parse-names":false,"suffix":""},{"dropping-particle":"","family":"Glidewell","given":"John","non-dropping-particle":"","parse-names":false,"suffix":""},{"dropping-particle":"","family":"Ahmed","given":"Rafi","non-dropping-particle":"","parse-names":false,"suffix":""},{"dropping-particle":"","family":"Amara","given":"Rama","non-dropping-particle":"","parse-names":false,"suffix":""},{"dropping-particle":"","family":"Damon","given":"Inger K","non-dropping-particle":"","parse-names":false,"suffix":""}],"container-title":"Clinical and vaccine immunology : CVI","id":"ITEM-1","issue":"10","issued":{"date-parts":[["2007","10"]]},"language":"eng","page":"1318-1327","title":"Monkeypox-induced immunity and failure of childhood smallpox vaccination to  provide complete protection.","type":"article-journal","volume":"14"},"uris":["http://www.mendeley.com/documents/?uuid=d523a43c-3af6-4b41-88f2-4a216fcad131"]}],"mendeley":{"formattedCitation":"(12)","plainTextFormattedCitation":"(12)","previouslyFormattedCitation":"(12)"},"properties":{"noteIndex":0},"schema":"https://github.com/citation-style-language/schema/raw/master/csl-citation.json"}</w:instrText>
            </w:r>
            <w:r w:rsidRPr="009617F3">
              <w:rPr>
                <w:rFonts w:ascii="Times New Roman" w:hAnsi="Times New Roman" w:cs="Times New Roman"/>
                <w:vertAlign w:val="superscript"/>
              </w:rPr>
              <w:fldChar w:fldCharType="separate"/>
            </w:r>
            <w:r w:rsidRPr="009617F3">
              <w:rPr>
                <w:rFonts w:ascii="Times New Roman" w:hAnsi="Times New Roman" w:cs="Times New Roman"/>
                <w:noProof/>
                <w:vertAlign w:val="superscript"/>
              </w:rPr>
              <w:t>(12)</w:t>
            </w:r>
            <w:r w:rsidRPr="009617F3">
              <w:rPr>
                <w:rFonts w:ascii="Times New Roman" w:hAnsi="Times New Roman" w:cs="Times New Roman"/>
                <w:vertAlign w:val="superscript"/>
              </w:rPr>
              <w:fldChar w:fldCharType="end"/>
            </w:r>
          </w:p>
        </w:tc>
        <w:tc>
          <w:tcPr>
            <w:tcW w:w="1440" w:type="dxa"/>
          </w:tcPr>
          <w:p w14:paraId="6FA8D881" w14:textId="0F9CC14B" w:rsidR="008C7DAF" w:rsidRPr="007122C7" w:rsidRDefault="008C7DAF" w:rsidP="004F6634">
            <w:pPr>
              <w:rPr>
                <w:rFonts w:ascii="Times New Roman" w:hAnsi="Times New Roman" w:cs="Times New Roman"/>
              </w:rPr>
            </w:pPr>
            <w:r>
              <w:rPr>
                <w:rFonts w:ascii="Times New Roman" w:hAnsi="Times New Roman" w:cs="Times New Roman"/>
              </w:rPr>
              <w:t>2007</w:t>
            </w:r>
          </w:p>
        </w:tc>
        <w:tc>
          <w:tcPr>
            <w:tcW w:w="1535" w:type="dxa"/>
          </w:tcPr>
          <w:p w14:paraId="3B86C13A" w14:textId="0BB01166" w:rsidR="008C7DAF" w:rsidRDefault="008C7DAF" w:rsidP="003F30BD">
            <w:pPr>
              <w:jc w:val="both"/>
              <w:rPr>
                <w:rFonts w:ascii="Times New Roman" w:hAnsi="Times New Roman" w:cs="Times New Roman"/>
              </w:rPr>
            </w:pPr>
            <w:r>
              <w:rPr>
                <w:rFonts w:ascii="Times New Roman" w:hAnsi="Times New Roman" w:cs="Times New Roman"/>
              </w:rPr>
              <w:t>A</w:t>
            </w:r>
            <w:r w:rsidRPr="009A6596">
              <w:rPr>
                <w:rFonts w:ascii="Times New Roman" w:hAnsi="Times New Roman" w:cs="Times New Roman"/>
              </w:rPr>
              <w:t xml:space="preserve"> follow</w:t>
            </w:r>
            <w:r>
              <w:rPr>
                <w:rFonts w:ascii="Times New Roman" w:hAnsi="Times New Roman" w:cs="Times New Roman"/>
              </w:rPr>
              <w:t>-</w:t>
            </w:r>
            <w:r w:rsidRPr="009A6596">
              <w:rPr>
                <w:rFonts w:ascii="Times New Roman" w:hAnsi="Times New Roman" w:cs="Times New Roman"/>
              </w:rPr>
              <w:t>up, household-based, case control study</w:t>
            </w:r>
          </w:p>
        </w:tc>
        <w:tc>
          <w:tcPr>
            <w:tcW w:w="1203" w:type="dxa"/>
          </w:tcPr>
          <w:p w14:paraId="3BAFAB5B" w14:textId="7C981D8A" w:rsidR="008C7DAF" w:rsidRDefault="008C7DAF" w:rsidP="003F30BD">
            <w:pPr>
              <w:jc w:val="both"/>
              <w:rPr>
                <w:rFonts w:ascii="Times New Roman" w:hAnsi="Times New Roman" w:cs="Times New Roman"/>
              </w:rPr>
            </w:pPr>
            <w:r>
              <w:rPr>
                <w:rFonts w:ascii="Times New Roman" w:hAnsi="Times New Roman" w:cs="Times New Roman"/>
              </w:rPr>
              <w:t>USA</w:t>
            </w:r>
          </w:p>
        </w:tc>
        <w:tc>
          <w:tcPr>
            <w:tcW w:w="1402" w:type="dxa"/>
          </w:tcPr>
          <w:p w14:paraId="5D4DA15E" w14:textId="72B22CC4" w:rsidR="008C7DAF" w:rsidRDefault="008C7DAF" w:rsidP="003F30BD">
            <w:pPr>
              <w:jc w:val="both"/>
              <w:rPr>
                <w:rFonts w:ascii="Times New Roman" w:hAnsi="Times New Roman" w:cs="Times New Roman"/>
              </w:rPr>
            </w:pPr>
            <w:r>
              <w:rPr>
                <w:rFonts w:ascii="Times New Roman" w:hAnsi="Times New Roman" w:cs="Times New Roman"/>
              </w:rPr>
              <w:t>Smallpox vaccine</w:t>
            </w:r>
          </w:p>
        </w:tc>
        <w:tc>
          <w:tcPr>
            <w:tcW w:w="6210" w:type="dxa"/>
          </w:tcPr>
          <w:p w14:paraId="06346ECA" w14:textId="0241BC91" w:rsidR="008C7DAF" w:rsidRDefault="000B6DAC" w:rsidP="003F30BD">
            <w:pPr>
              <w:jc w:val="both"/>
              <w:rPr>
                <w:rFonts w:ascii="Times New Roman" w:hAnsi="Times New Roman" w:cs="Times New Roman"/>
              </w:rPr>
            </w:pPr>
            <w:r w:rsidRPr="000B6DAC">
              <w:rPr>
                <w:rFonts w:ascii="Times New Roman" w:hAnsi="Times New Roman" w:cs="Times New Roman"/>
              </w:rPr>
              <w:t>In this study, 24%</w:t>
            </w:r>
            <w:r w:rsidR="00DF684E">
              <w:rPr>
                <w:rFonts w:ascii="Times New Roman" w:hAnsi="Times New Roman" w:cs="Times New Roman"/>
              </w:rPr>
              <w:t xml:space="preserve"> of the participants</w:t>
            </w:r>
            <w:r w:rsidRPr="000B6DAC">
              <w:rPr>
                <w:rFonts w:ascii="Times New Roman" w:hAnsi="Times New Roman" w:cs="Times New Roman"/>
              </w:rPr>
              <w:t xml:space="preserve"> had previous smallpox immunization </w:t>
            </w:r>
            <w:r w:rsidR="00FE356E">
              <w:rPr>
                <w:rFonts w:ascii="Times New Roman" w:hAnsi="Times New Roman" w:cs="Times New Roman"/>
              </w:rPr>
              <w:t xml:space="preserve">history </w:t>
            </w:r>
            <w:r w:rsidRPr="000B6DAC">
              <w:rPr>
                <w:rFonts w:ascii="Times New Roman" w:hAnsi="Times New Roman" w:cs="Times New Roman"/>
              </w:rPr>
              <w:t xml:space="preserve">during childhood. The results of this study indicate that remote vaccination against smallpox (30 years earlier) does not completely protect against systemic </w:t>
            </w:r>
            <w:proofErr w:type="spellStart"/>
            <w:r w:rsidR="00FE356E">
              <w:rPr>
                <w:rFonts w:ascii="Times New Roman" w:hAnsi="Times New Roman" w:cs="Times New Roman"/>
              </w:rPr>
              <w:t>o</w:t>
            </w:r>
            <w:r w:rsidR="00FE356E" w:rsidRPr="00FE356E">
              <w:rPr>
                <w:rFonts w:ascii="Times New Roman" w:hAnsi="Times New Roman" w:cs="Times New Roman"/>
              </w:rPr>
              <w:t>rthopoxvirus</w:t>
            </w:r>
            <w:proofErr w:type="spellEnd"/>
            <w:r w:rsidRPr="000B6DAC">
              <w:rPr>
                <w:rFonts w:ascii="Times New Roman" w:hAnsi="Times New Roman" w:cs="Times New Roman"/>
              </w:rPr>
              <w:t xml:space="preserve"> infection</w:t>
            </w:r>
            <w:r w:rsidR="00FE356E">
              <w:rPr>
                <w:rFonts w:ascii="Times New Roman" w:hAnsi="Times New Roman" w:cs="Times New Roman"/>
              </w:rPr>
              <w:t xml:space="preserve">; </w:t>
            </w:r>
            <w:r w:rsidRPr="000B6DAC">
              <w:rPr>
                <w:rFonts w:ascii="Times New Roman" w:hAnsi="Times New Roman" w:cs="Times New Roman"/>
              </w:rPr>
              <w:t>in some cases, it may prevent systemic disease, but the relative contributions of infectious inoculum and route of exposure, in addition to remote vaccination, may significantly affect whether systemic illness, asymptomatic infection or atypical illness manifest.</w:t>
            </w:r>
          </w:p>
        </w:tc>
      </w:tr>
      <w:tr w:rsidR="008C7DAF" w:rsidRPr="00484EFC" w14:paraId="0D9588C8" w14:textId="77777777" w:rsidTr="008C7DAF">
        <w:trPr>
          <w:jc w:val="center"/>
        </w:trPr>
        <w:tc>
          <w:tcPr>
            <w:tcW w:w="1620" w:type="dxa"/>
          </w:tcPr>
          <w:p w14:paraId="4DA7D9FE" w14:textId="434AFD89" w:rsidR="008C7DAF" w:rsidRDefault="008C7DAF" w:rsidP="008C7DAF">
            <w:pPr>
              <w:rPr>
                <w:rFonts w:ascii="Times New Roman" w:hAnsi="Times New Roman" w:cs="Times New Roman"/>
              </w:rPr>
            </w:pPr>
            <w:proofErr w:type="spellStart"/>
            <w:r w:rsidRPr="009341D8">
              <w:rPr>
                <w:rFonts w:ascii="Times New Roman" w:hAnsi="Times New Roman" w:cs="Times New Roman"/>
              </w:rPr>
              <w:t>Rimoin</w:t>
            </w:r>
            <w:proofErr w:type="spellEnd"/>
            <w:r>
              <w:rPr>
                <w:rFonts w:ascii="Times New Roman" w:hAnsi="Times New Roman" w:cs="Times New Roman"/>
              </w:rPr>
              <w:t xml:space="preserve"> A.W. et al.</w:t>
            </w:r>
            <w:r w:rsidRPr="009617F3">
              <w:rPr>
                <w:rFonts w:ascii="Times New Roman" w:hAnsi="Times New Roman" w:cs="Times New Roman"/>
                <w:vertAlign w:val="superscript"/>
              </w:rPr>
              <w:fldChar w:fldCharType="begin" w:fldLock="1"/>
            </w:r>
            <w:r w:rsidRPr="009617F3">
              <w:rPr>
                <w:rFonts w:ascii="Times New Roman" w:hAnsi="Times New Roman" w:cs="Times New Roman"/>
                <w:vertAlign w:val="superscript"/>
              </w:rPr>
              <w:instrText>ADDIN CSL_CITATION {"citationItems":[{"id":"ITEM-1","itemData":{"DOI":"10.1073/PNAS.1005769107/SUPPL_FILE/PNAS.201005769SI.PDF","ISSN":"10916490","PMID":"20805472","abstract":"Studies on the burden of human monkeypox in the Democratic Republic of the Congo (DRC) were last conducted from 1981 to 1986. Since then, the population that is immunologically naïve to orthopoxviruses has increased significantly due to cessation of mass small-pox vaccination campaigns. To assess the current risk of infection, we analyzed human monkeypox incidence trends in a monkeypoxenzootic region. Active, population-based surveillance was conducted in nine health zones in central DRC. Epidemiologic data and biological samples were obtained from suspected cases. Cumulative incidence (per 10,000 population) and major determinants of infection were compared with data from active surveillance in similar regions from 1981 to 1986. Between November 2005 and November 2007, 760 laboratory-confirmed human monkeypox cases were identified in participating health zones. The average annual cumulative incidence across zones was 5.53 per 10,000 (2.18-14.42). Factors associated with increased risk of infection included: living in forested areas, male gender, age &lt; 15, and no prior smallpox vaccination. Vaccinated persons had a 5.2-fold lower risk of monkeypox than unvaccinated persons (0.78 vs. 4.05 per 10,000). Comparison of active surveillance data in the same health zone from the 1980s (0.72 per 10,000) and 2006-07 (14.42 per 10,000) suggests a 20-fold increase in human monkeypox incidence. Thirty years after mass smallpox vaccination campaigns ceased, human monkeypox incidence has dramatically increased in rural DRC. Improved surveillance and epidemiological analysis is needed to better assess the public health burden and develop strategies for reducing the risk of wider spread of infection.","author":[{"dropping-particle":"","family":"Rimoin","given":"Anne W.","non-dropping-particle":"","parse-names":false,"suffix":""},{"dropping-particle":"","family":"Mulembakani","given":"Prime M.","non-dropping-particle":"","parse-names":false,"suffix":""},{"dropping-particle":"","family":"Johnston","given":"Sara C.","non-dropping-particle":"","parse-names":false,"suffix":""},{"dropping-particle":"","family":"Lloyd Smith","given":"James O.","non-dropping-particle":"","parse-names":false,"suffix":""},{"dropping-particle":"","family":"Kisalu","given":"Neville K.","non-dropping-particle":"","parse-names":false,"suffix":""},{"dropping-particle":"","family":"Kinkela","given":"Timothee L.","non-dropping-particle":"","parse-names":false,"suffix":""},{"dropping-particle":"","family":"Blumberg","given":"Seth","non-dropping-particle":"","parse-names":false,"suffix":""},{"dropping-particle":"","family":"Thomassen","given":"Henri A.","non-dropping-particle":"","parse-names":false,"suffix":""},{"dropping-particle":"","family":"Pike","given":"Brian L.","non-dropping-particle":"","parse-names":false,"suffix":""},{"dropping-particle":"","family":"Fair","given":"Joseph N.","non-dropping-particle":"","parse-names":false,"suffix":""},{"dropping-particle":"","family":"Wolfe","given":"Nathan D.","non-dropping-particle":"","parse-names":false,"suffix":""},{"dropping-particle":"","family":"Shongo","given":"Robert L.","non-dropping-particle":"","parse-names":false,"suffix":""},{"dropping-particle":"","family":"Graham","given":"Barney S.","non-dropping-particle":"","parse-names":false,"suffix":""},{"dropping-particle":"","family":"Formenty","given":"Pierre","non-dropping-particle":"","parse-names":false,"suffix":""},{"dropping-particle":"","family":"Okitolonda","given":"Emile","non-dropping-particle":"","parse-names":false,"suffix":""},{"dropping-particle":"","family":"Hensley","given":"Lisa E.","non-dropping-particle":"","parse-names":false,"suffix":""},{"dropping-particle":"","family":"Meyer","given":"Hermann","non-dropping-particle":"","parse-names":false,"suffix":""},{"dropping-particle":"","family":"Wright","given":"Linda L.","non-dropping-particle":"","parse-names":false,"suffix":""},{"dropping-particle":"","family":"Muyembe","given":"Jean Jacques","non-dropping-particle":"","parse-names":false,"suffix":""}],"container-title":"Proceedings of the National Academy of Sciences of the United States of America","id":"ITEM-1","issue":"37","issued":{"date-parts":[["2010","9"]]},"page":"16262-16267","publisher":"National Academy of Sciences","title":"Major increase in human monkeypox incidence 30 years after smallpox vaccination campaigns cease in the Democratic Republic of Congo","type":"article-journal","volume":"107"},"uris":["http://www.mendeley.com/documents/?uuid=7fc4fef1-7ac6-4807-839b-566864cb44c1"]}],"mendeley":{"formattedCitation":"(13)","plainTextFormattedCitation":"(13)","previouslyFormattedCitation":"(13)"},"properties":{"noteIndex":0},"schema":"https://github.com/citation-style-language/schema/raw/master/csl-citation.json"}</w:instrText>
            </w:r>
            <w:r w:rsidRPr="009617F3">
              <w:rPr>
                <w:rFonts w:ascii="Times New Roman" w:hAnsi="Times New Roman" w:cs="Times New Roman"/>
                <w:vertAlign w:val="superscript"/>
              </w:rPr>
              <w:fldChar w:fldCharType="separate"/>
            </w:r>
            <w:r w:rsidRPr="009617F3">
              <w:rPr>
                <w:rFonts w:ascii="Times New Roman" w:hAnsi="Times New Roman" w:cs="Times New Roman"/>
                <w:noProof/>
                <w:vertAlign w:val="superscript"/>
              </w:rPr>
              <w:t>(13)</w:t>
            </w:r>
            <w:r w:rsidRPr="009617F3">
              <w:rPr>
                <w:rFonts w:ascii="Times New Roman" w:hAnsi="Times New Roman" w:cs="Times New Roman"/>
                <w:vertAlign w:val="superscript"/>
              </w:rPr>
              <w:fldChar w:fldCharType="end"/>
            </w:r>
          </w:p>
        </w:tc>
        <w:tc>
          <w:tcPr>
            <w:tcW w:w="1440" w:type="dxa"/>
          </w:tcPr>
          <w:p w14:paraId="3B62C662" w14:textId="051FFC52" w:rsidR="008C7DAF" w:rsidRDefault="008C7DAF" w:rsidP="008C7DAF">
            <w:pPr>
              <w:rPr>
                <w:rFonts w:ascii="Times New Roman" w:hAnsi="Times New Roman" w:cs="Times New Roman"/>
              </w:rPr>
            </w:pPr>
            <w:r w:rsidRPr="00883D4E">
              <w:rPr>
                <w:rFonts w:ascii="Times New Roman" w:hAnsi="Times New Roman" w:cs="Times New Roman"/>
              </w:rPr>
              <w:t>2010</w:t>
            </w:r>
          </w:p>
        </w:tc>
        <w:tc>
          <w:tcPr>
            <w:tcW w:w="1535" w:type="dxa"/>
          </w:tcPr>
          <w:p w14:paraId="576160A9" w14:textId="371F8E49" w:rsidR="008C7DAF" w:rsidRDefault="008C7DAF" w:rsidP="003F30BD">
            <w:pPr>
              <w:jc w:val="both"/>
              <w:rPr>
                <w:rFonts w:ascii="Times New Roman" w:hAnsi="Times New Roman" w:cs="Times New Roman"/>
              </w:rPr>
            </w:pPr>
            <w:r w:rsidRPr="009341D8">
              <w:rPr>
                <w:rFonts w:ascii="Times New Roman" w:hAnsi="Times New Roman" w:cs="Times New Roman"/>
              </w:rPr>
              <w:t xml:space="preserve">An active </w:t>
            </w:r>
            <w:r>
              <w:rPr>
                <w:rFonts w:ascii="Times New Roman" w:hAnsi="Times New Roman" w:cs="Times New Roman"/>
              </w:rPr>
              <w:t xml:space="preserve">population-based </w:t>
            </w:r>
            <w:r w:rsidRPr="009341D8">
              <w:rPr>
                <w:rFonts w:ascii="Times New Roman" w:hAnsi="Times New Roman" w:cs="Times New Roman"/>
              </w:rPr>
              <w:t xml:space="preserve">surveillance </w:t>
            </w:r>
          </w:p>
        </w:tc>
        <w:tc>
          <w:tcPr>
            <w:tcW w:w="1203" w:type="dxa"/>
          </w:tcPr>
          <w:p w14:paraId="4DC6230A" w14:textId="50A25EB6" w:rsidR="008C7DAF" w:rsidRDefault="008C7DAF" w:rsidP="003F30BD">
            <w:pPr>
              <w:jc w:val="both"/>
              <w:rPr>
                <w:rFonts w:ascii="Times New Roman" w:hAnsi="Times New Roman" w:cs="Times New Roman"/>
              </w:rPr>
            </w:pPr>
            <w:r>
              <w:rPr>
                <w:rFonts w:ascii="Times New Roman" w:hAnsi="Times New Roman" w:cs="Times New Roman"/>
              </w:rPr>
              <w:t xml:space="preserve">Democratic Republic of </w:t>
            </w:r>
            <w:r w:rsidRPr="009341D8">
              <w:rPr>
                <w:rFonts w:ascii="Times New Roman" w:hAnsi="Times New Roman" w:cs="Times New Roman"/>
              </w:rPr>
              <w:t>Congo</w:t>
            </w:r>
          </w:p>
        </w:tc>
        <w:tc>
          <w:tcPr>
            <w:tcW w:w="1402" w:type="dxa"/>
          </w:tcPr>
          <w:p w14:paraId="453B02D6" w14:textId="00183DF1" w:rsidR="008C7DAF" w:rsidRDefault="008C7DAF" w:rsidP="003F30BD">
            <w:pPr>
              <w:jc w:val="both"/>
              <w:rPr>
                <w:rFonts w:ascii="Times New Roman" w:hAnsi="Times New Roman" w:cs="Times New Roman"/>
              </w:rPr>
            </w:pPr>
            <w:r>
              <w:rPr>
                <w:rFonts w:ascii="Times New Roman" w:hAnsi="Times New Roman" w:cs="Times New Roman"/>
              </w:rPr>
              <w:t>Smallpox vaccine</w:t>
            </w:r>
          </w:p>
        </w:tc>
        <w:tc>
          <w:tcPr>
            <w:tcW w:w="6210" w:type="dxa"/>
          </w:tcPr>
          <w:p w14:paraId="03E89B2C" w14:textId="3E6E0EE9" w:rsidR="008C7DAF" w:rsidRPr="00E3763F" w:rsidRDefault="008C7DAF" w:rsidP="003F30BD">
            <w:pPr>
              <w:jc w:val="both"/>
              <w:rPr>
                <w:rFonts w:ascii="Times New Roman" w:hAnsi="Times New Roman" w:cs="Times New Roman"/>
              </w:rPr>
            </w:pPr>
            <w:r w:rsidRPr="00D624D8">
              <w:rPr>
                <w:rFonts w:ascii="Times New Roman" w:hAnsi="Times New Roman" w:cs="Times New Roman"/>
              </w:rPr>
              <w:t>The frequency of human monkeypox has substantially increased</w:t>
            </w:r>
            <w:r w:rsidR="004441F5">
              <w:rPr>
                <w:rFonts w:ascii="Times New Roman" w:hAnsi="Times New Roman" w:cs="Times New Roman"/>
              </w:rPr>
              <w:t xml:space="preserve"> by 20-folds</w:t>
            </w:r>
            <w:r w:rsidRPr="00D624D8">
              <w:rPr>
                <w:rFonts w:ascii="Times New Roman" w:hAnsi="Times New Roman" w:cs="Times New Roman"/>
              </w:rPr>
              <w:t xml:space="preserve"> in rural DRC </w:t>
            </w:r>
            <w:r w:rsidR="004441F5">
              <w:rPr>
                <w:rFonts w:ascii="Times New Roman" w:hAnsi="Times New Roman" w:cs="Times New Roman"/>
              </w:rPr>
              <w:t>30</w:t>
            </w:r>
            <w:r w:rsidRPr="00D624D8">
              <w:rPr>
                <w:rFonts w:ascii="Times New Roman" w:hAnsi="Times New Roman" w:cs="Times New Roman"/>
              </w:rPr>
              <w:t xml:space="preserve"> years after widespread smallpox immunization campaigns stopped. They found that the risk of human monkeypox is inversely correlated with smallpox immunization. The risk of monkeypox was 5.2 times lower in those who received vaccinations than in those who did not (0.78 vs. 4.05 per 10,000).</w:t>
            </w:r>
          </w:p>
        </w:tc>
      </w:tr>
      <w:tr w:rsidR="008C7DAF" w:rsidRPr="00484EFC" w14:paraId="3BFDB854" w14:textId="77777777" w:rsidTr="008C7DAF">
        <w:trPr>
          <w:jc w:val="center"/>
        </w:trPr>
        <w:tc>
          <w:tcPr>
            <w:tcW w:w="1620" w:type="dxa"/>
          </w:tcPr>
          <w:p w14:paraId="54AE1F75" w14:textId="7B120C0D" w:rsidR="008C7DAF" w:rsidRDefault="008C7DAF" w:rsidP="008C7DAF">
            <w:pPr>
              <w:rPr>
                <w:rFonts w:ascii="Times New Roman" w:hAnsi="Times New Roman" w:cs="Times New Roman"/>
              </w:rPr>
            </w:pPr>
            <w:r>
              <w:rPr>
                <w:rFonts w:ascii="Times New Roman" w:hAnsi="Times New Roman" w:cs="Times New Roman"/>
              </w:rPr>
              <w:t>Kennedy J.S. et al.</w:t>
            </w:r>
            <w:r w:rsidRPr="009617F3">
              <w:rPr>
                <w:rFonts w:ascii="Times New Roman" w:hAnsi="Times New Roman" w:cs="Times New Roman"/>
                <w:vertAlign w:val="superscript"/>
              </w:rPr>
              <w:fldChar w:fldCharType="begin" w:fldLock="1"/>
            </w:r>
            <w:r w:rsidRPr="009617F3">
              <w:rPr>
                <w:rFonts w:ascii="Times New Roman" w:hAnsi="Times New Roman" w:cs="Times New Roman"/>
                <w:vertAlign w:val="superscript"/>
              </w:rPr>
              <w:instrText>ADDIN CSL_CITATION {"citationItems":[{"id":"ITEM-1","itemData":{"DOI":"10.1093/infdis/jir527","ISSN":"1537-6613 (Electronic)","PMID":"21921208","abstract":"INTRODUCTION: LC16m8 is an attenuated cell culture-adapted Lister vaccinia  smallpox vaccine missing the B5R protein and licensed for use in Japan. METHODS: We conducted a phase I/II clinical trial that compared the safety and immunogenicity of LC16m8 with Dryvax in vaccinia-naive participants. Adverse events were assessed, as were electrocardiography and laboratory testing for cardiotoxicity and viral culturing of the vaccination sites. Neutralization titers to vaccinia, monkeypox, and variola major were assessed and cell-mediated immune responses were measured by interferon (IFN)-γ enzyme-linked immunosorbent spot and lymphoproliferation assays. RESULTS: Local and systemic reactions after vaccination with LC16m8 were similar to those reported after Dryvax. No clinically significant abnormalities consistent with cardiac toxicity were seen for either vaccine. Both vaccines achieved antivaccinia, antivariola, and antimonkeypox neutralizing antibody titers &gt;1:40, although the mean plaque reduction neutralization titer of LC16m8 at day 30 after vaccination was significantly lower than Dryvax for anti-NYCBH vaccinia (P &lt; .01), antimonkeypox (P &lt; .001), and antivariola (P &lt; .001). LC16m8 produced robust cellular immune responses that trended higher than Dryvax for lymphoproliferation (P = .06), but lower for IFN-γ ELISPOT (P = .02). CONCLUSIONS: LC16m8 generates neutralizing antibody titers to multiple poxviruses, including vaccinia, monkeypox, and variola major, and broad T-cell responses, indicating that LC16m8 may have efficacy in protecting individuals from smallpox. Clinical Trials Registration. NCT00103584.","author":[{"dropping-particle":"","family":"Kennedy","given":"Jeffrey S","non-dropping-particle":"","parse-names":false,"suffix":""},{"dropping-particle":"","family":"Gurwith","given":"Marc","non-dropping-particle":"","parse-names":false,"suffix":""},{"dropping-particle":"","family":"Dekker","given":"Cornelia L","non-dropping-particle":"","parse-names":false,"suffix":""},{"dropping-particle":"","family":"Frey","given":"Sharon E","non-dropping-particle":"","parse-names":false,"suffix":""},{"dropping-particle":"","family":"Edwards","given":"Kathryn M","non-dropping-particle":"","parse-names":false,"suffix":""},{"dropping-particle":"","family":"Kenner","given":"Julie","non-dropping-particle":"","parse-names":false,"suffix":""},{"dropping-particle":"","family":"Lock","given":"Michael","non-dropping-particle":"","parse-names":false,"suffix":""},{"dropping-particle":"","family":"Empig","given":"Cyril","non-dropping-particle":"","parse-names":false,"suffix":""},{"dropping-particle":"","family":"Morikawa","given":"Shigeru","non-dropping-particle":"","parse-names":false,"suffix":""},{"dropping-particle":"","family":"Saijo","given":"Masayuki","non-dropping-particle":"","parse-names":false,"suffix":""},{"dropping-particle":"","family":"Yokote","given":"Hiroyuki","non-dropping-particle":"","parse-names":false,"suffix":""},{"dropping-particle":"","family":"Karem","given":"Kevin","non-dropping-particle":"","parse-names":false,"suffix":""},{"dropping-particle":"","family":"Damon","given":"Inger","non-dropping-particle":"","parse-names":false,"suffix":""},{"dropping-particle":"","family":"Perlroth","given":"Mark","non-dropping-particle":"","parse-names":false,"suffix":""},{"dropping-particle":"","family":"Greenberg","given":"Richard N","non-dropping-particle":"","parse-names":false,"suffix":""}],"container-title":"The Journal of infectious diseases","id":"ITEM-1","issue":"9","issued":{"date-parts":[["2011","11"]]},"language":"eng","page":"1395-1402","title":"Safety and immunogenicity of LC16m8, an attenuated smallpox vaccine in  vaccinia-naive adults.","type":"article-journal","volume":"204"},"uris":["http://www.mendeley.com/documents/?uuid=3c6d7427-2b1f-40c1-b55c-3ebf94c78746"]}],"mendeley":{"formattedCitation":"(14)","plainTextFormattedCitation":"(14)","previouslyFormattedCitation":"(14)"},"properties":{"noteIndex":0},"schema":"https://github.com/citation-style-language/schema/raw/master/csl-citation.json"}</w:instrText>
            </w:r>
            <w:r w:rsidRPr="009617F3">
              <w:rPr>
                <w:rFonts w:ascii="Times New Roman" w:hAnsi="Times New Roman" w:cs="Times New Roman"/>
                <w:vertAlign w:val="superscript"/>
              </w:rPr>
              <w:fldChar w:fldCharType="separate"/>
            </w:r>
            <w:r w:rsidRPr="009617F3">
              <w:rPr>
                <w:rFonts w:ascii="Times New Roman" w:hAnsi="Times New Roman" w:cs="Times New Roman"/>
                <w:noProof/>
                <w:vertAlign w:val="superscript"/>
              </w:rPr>
              <w:t>(14)</w:t>
            </w:r>
            <w:r w:rsidRPr="009617F3">
              <w:rPr>
                <w:rFonts w:ascii="Times New Roman" w:hAnsi="Times New Roman" w:cs="Times New Roman"/>
                <w:vertAlign w:val="superscript"/>
              </w:rPr>
              <w:fldChar w:fldCharType="end"/>
            </w:r>
            <w:r w:rsidRPr="009617F3">
              <w:rPr>
                <w:rFonts w:ascii="Times New Roman" w:hAnsi="Times New Roman" w:cs="Times New Roman"/>
                <w:vertAlign w:val="superscript"/>
              </w:rPr>
              <w:t xml:space="preserve"> </w:t>
            </w:r>
          </w:p>
        </w:tc>
        <w:tc>
          <w:tcPr>
            <w:tcW w:w="1440" w:type="dxa"/>
          </w:tcPr>
          <w:p w14:paraId="36F9B647" w14:textId="663C22B2" w:rsidR="008C7DAF" w:rsidRDefault="008C7DAF" w:rsidP="008C7DAF">
            <w:pPr>
              <w:rPr>
                <w:rFonts w:ascii="Times New Roman" w:hAnsi="Times New Roman" w:cs="Times New Roman"/>
              </w:rPr>
            </w:pPr>
            <w:r>
              <w:rPr>
                <w:rFonts w:ascii="Times New Roman" w:hAnsi="Times New Roman" w:cs="Times New Roman"/>
              </w:rPr>
              <w:t>2011</w:t>
            </w:r>
          </w:p>
        </w:tc>
        <w:tc>
          <w:tcPr>
            <w:tcW w:w="1535" w:type="dxa"/>
          </w:tcPr>
          <w:p w14:paraId="24D2956A" w14:textId="2C0BF5EF" w:rsidR="008C7DAF" w:rsidRDefault="008C7DAF" w:rsidP="003F30BD">
            <w:pPr>
              <w:jc w:val="both"/>
              <w:rPr>
                <w:rFonts w:ascii="Times New Roman" w:hAnsi="Times New Roman" w:cs="Times New Roman"/>
              </w:rPr>
            </w:pPr>
            <w:r w:rsidRPr="00A30651">
              <w:rPr>
                <w:rFonts w:ascii="Times New Roman" w:hAnsi="Times New Roman" w:cs="Times New Roman"/>
              </w:rPr>
              <w:t xml:space="preserve">Phase I/II randomized, double-blind, </w:t>
            </w:r>
            <w:r w:rsidRPr="00A30651">
              <w:rPr>
                <w:rFonts w:ascii="Times New Roman" w:hAnsi="Times New Roman" w:cs="Times New Roman"/>
              </w:rPr>
              <w:lastRenderedPageBreak/>
              <w:t>comparative clinical trial</w:t>
            </w:r>
          </w:p>
        </w:tc>
        <w:tc>
          <w:tcPr>
            <w:tcW w:w="1203" w:type="dxa"/>
          </w:tcPr>
          <w:p w14:paraId="3DBAD242" w14:textId="61E6A18C" w:rsidR="008C7DAF" w:rsidRDefault="008C7DAF" w:rsidP="003F30BD">
            <w:pPr>
              <w:jc w:val="both"/>
              <w:rPr>
                <w:rFonts w:ascii="Times New Roman" w:hAnsi="Times New Roman" w:cs="Times New Roman"/>
              </w:rPr>
            </w:pPr>
            <w:r>
              <w:rPr>
                <w:rFonts w:ascii="Times New Roman" w:hAnsi="Times New Roman" w:cs="Times New Roman"/>
              </w:rPr>
              <w:lastRenderedPageBreak/>
              <w:t>USA</w:t>
            </w:r>
          </w:p>
        </w:tc>
        <w:tc>
          <w:tcPr>
            <w:tcW w:w="1402" w:type="dxa"/>
          </w:tcPr>
          <w:p w14:paraId="43210425" w14:textId="67D05BE3" w:rsidR="008C7DAF" w:rsidRDefault="008C7DAF" w:rsidP="003F30BD">
            <w:pPr>
              <w:jc w:val="both"/>
              <w:rPr>
                <w:rFonts w:ascii="Times New Roman" w:hAnsi="Times New Roman" w:cs="Times New Roman"/>
              </w:rPr>
            </w:pPr>
            <w:r w:rsidRPr="00CD5D69">
              <w:rPr>
                <w:rFonts w:ascii="Times New Roman" w:hAnsi="Times New Roman" w:cs="Times New Roman"/>
              </w:rPr>
              <w:t xml:space="preserve">LC16m8 </w:t>
            </w:r>
            <w:r>
              <w:rPr>
                <w:rFonts w:ascii="Times New Roman" w:hAnsi="Times New Roman" w:cs="Times New Roman"/>
              </w:rPr>
              <w:t>(</w:t>
            </w:r>
            <w:r w:rsidRPr="00CD5D69">
              <w:rPr>
                <w:rFonts w:ascii="Times New Roman" w:hAnsi="Times New Roman" w:cs="Times New Roman"/>
              </w:rPr>
              <w:t xml:space="preserve">an attenuated cell culture–adapted </w:t>
            </w:r>
            <w:r w:rsidRPr="00CD5D69">
              <w:rPr>
                <w:rFonts w:ascii="Times New Roman" w:hAnsi="Times New Roman" w:cs="Times New Roman"/>
              </w:rPr>
              <w:lastRenderedPageBreak/>
              <w:t>Lister vaccinia smallpox vaccine</w:t>
            </w:r>
            <w:r>
              <w:rPr>
                <w:rFonts w:ascii="Times New Roman" w:hAnsi="Times New Roman" w:cs="Times New Roman"/>
              </w:rPr>
              <w:t>)</w:t>
            </w:r>
          </w:p>
        </w:tc>
        <w:tc>
          <w:tcPr>
            <w:tcW w:w="6210" w:type="dxa"/>
          </w:tcPr>
          <w:p w14:paraId="64A8D4EF" w14:textId="183D69ED" w:rsidR="008C7DAF" w:rsidRPr="00E3763F" w:rsidRDefault="003B70F4" w:rsidP="003F30BD">
            <w:pPr>
              <w:jc w:val="both"/>
              <w:rPr>
                <w:rFonts w:ascii="Times New Roman" w:hAnsi="Times New Roman" w:cs="Times New Roman"/>
              </w:rPr>
            </w:pPr>
            <w:r w:rsidRPr="003B70F4">
              <w:rPr>
                <w:rFonts w:ascii="Times New Roman" w:hAnsi="Times New Roman" w:cs="Times New Roman"/>
              </w:rPr>
              <w:lastRenderedPageBreak/>
              <w:t xml:space="preserve">The main objective of this trial was to compare the safety and immunogenicity of LC16m8 with </w:t>
            </w:r>
            <w:proofErr w:type="spellStart"/>
            <w:r w:rsidRPr="003B70F4">
              <w:rPr>
                <w:rFonts w:ascii="Times New Roman" w:hAnsi="Times New Roman" w:cs="Times New Roman"/>
              </w:rPr>
              <w:t>Dryvax</w:t>
            </w:r>
            <w:proofErr w:type="spellEnd"/>
            <w:r w:rsidRPr="003B70F4">
              <w:rPr>
                <w:rFonts w:ascii="Times New Roman" w:hAnsi="Times New Roman" w:cs="Times New Roman"/>
              </w:rPr>
              <w:t xml:space="preserve"> in vaccinia-naive participants</w:t>
            </w:r>
            <w:r w:rsidR="004441F5">
              <w:rPr>
                <w:rFonts w:ascii="Times New Roman" w:hAnsi="Times New Roman" w:cs="Times New Roman"/>
              </w:rPr>
              <w:t>.</w:t>
            </w:r>
            <w:r w:rsidRPr="003B70F4">
              <w:rPr>
                <w:rFonts w:ascii="Times New Roman" w:hAnsi="Times New Roman" w:cs="Times New Roman"/>
              </w:rPr>
              <w:t xml:space="preserve"> </w:t>
            </w:r>
            <w:r w:rsidR="00013813">
              <w:rPr>
                <w:rFonts w:ascii="Times New Roman" w:hAnsi="Times New Roman" w:cs="Times New Roman"/>
              </w:rPr>
              <w:t>It has been found that, i</w:t>
            </w:r>
            <w:r w:rsidRPr="003B70F4">
              <w:rPr>
                <w:rFonts w:ascii="Times New Roman" w:hAnsi="Times New Roman" w:cs="Times New Roman"/>
              </w:rPr>
              <w:t xml:space="preserve">n order to prevent human monkeypox, LC16m8 is a feasible next-generation vaccination </w:t>
            </w:r>
            <w:r w:rsidRPr="003B70F4">
              <w:rPr>
                <w:rFonts w:ascii="Times New Roman" w:hAnsi="Times New Roman" w:cs="Times New Roman"/>
              </w:rPr>
              <w:lastRenderedPageBreak/>
              <w:t>alternative to first-generation smallpox vaccines, at least in high-risk groups. Its clinical efficacy against human monkeypox has not yet been determined.</w:t>
            </w:r>
          </w:p>
        </w:tc>
      </w:tr>
      <w:tr w:rsidR="008C7DAF" w:rsidRPr="00484EFC" w14:paraId="75AB9CD6" w14:textId="77777777" w:rsidTr="008C7DAF">
        <w:trPr>
          <w:jc w:val="center"/>
        </w:trPr>
        <w:tc>
          <w:tcPr>
            <w:tcW w:w="1620" w:type="dxa"/>
          </w:tcPr>
          <w:p w14:paraId="2EFD640E" w14:textId="77F93E23" w:rsidR="008C7DAF" w:rsidRPr="00F65AC8" w:rsidRDefault="008C7DAF" w:rsidP="00D72708">
            <w:pPr>
              <w:rPr>
                <w:rFonts w:ascii="Times New Roman" w:hAnsi="Times New Roman" w:cs="Times New Roman"/>
              </w:rPr>
            </w:pPr>
            <w:proofErr w:type="spellStart"/>
            <w:r w:rsidRPr="00F65AC8">
              <w:rPr>
                <w:rFonts w:ascii="Times New Roman" w:hAnsi="Times New Roman" w:cs="Times New Roman"/>
              </w:rPr>
              <w:lastRenderedPageBreak/>
              <w:t>Rimoin</w:t>
            </w:r>
            <w:proofErr w:type="spellEnd"/>
            <w:r w:rsidRPr="00F65AC8">
              <w:rPr>
                <w:rFonts w:ascii="Times New Roman" w:hAnsi="Times New Roman" w:cs="Times New Roman"/>
              </w:rPr>
              <w:t>, A.W. et al.</w:t>
            </w:r>
            <w:r w:rsidRPr="009617F3">
              <w:rPr>
                <w:rFonts w:ascii="Times New Roman" w:hAnsi="Times New Roman" w:cs="Times New Roman"/>
                <w:vertAlign w:val="superscript"/>
              </w:rPr>
              <w:fldChar w:fldCharType="begin" w:fldLock="1"/>
            </w:r>
            <w:r w:rsidRPr="009617F3">
              <w:rPr>
                <w:rFonts w:ascii="Times New Roman" w:hAnsi="Times New Roman" w:cs="Times New Roman"/>
                <w:vertAlign w:val="superscript"/>
              </w:rPr>
              <w:instrText>ADDIN CSL_CITATION {"citationItems":[{"id":"ITEM-1","itemData":{"DOI":"10.1016/j.vaccine.2011.09.004","ISSN":"1873-2518 (Electronic)","PMID":"22188935","abstract":"Monkeypox (MPX) is a virulent orthopoxvirus that is endemic in some regions of  Central Africa. MPX incidence has been rising since the cessation of routine smallpox immunization. While it causes significant disease, there is limited person-to-person spread, the incidence is still relatively low, and cases are generally restricted to remote areas that are difficult to access. Therefore, initiating vaccine trials or implementing vaccination programs would be challenging. This paper considers the factors that may influence future decisions on whether MPX vaccination should be pursued.","author":[{"dropping-particle":"","family":"Rimoin","given":"Anne W","non-dropping-particle":"","parse-names":false,"suffix":""},{"dropping-particle":"","family":"Graham","given":"Barney S","non-dropping-particle":"","parse-names":false,"suffix":""}],"container-title":"Vaccine","id":"ITEM-1","issue":"Suppl 4","issued":{"date-parts":[["2011","12"]]},"language":"eng","page":"D60-4","title":"Whither monkeypox vaccination.","type":"article-journal","volume":"29 Suppl 4"},"uris":["http://www.mendeley.com/documents/?uuid=4c92a8b7-a6c5-433d-9fd4-6d8bd5e67885"]}],"mendeley":{"formattedCitation":"(15)","plainTextFormattedCitation":"(15)","previouslyFormattedCitation":"(15)"},"properties":{"noteIndex":0},"schema":"https://github.com/citation-style-language/schema/raw/master/csl-citation.json"}</w:instrText>
            </w:r>
            <w:r w:rsidRPr="009617F3">
              <w:rPr>
                <w:rFonts w:ascii="Times New Roman" w:hAnsi="Times New Roman" w:cs="Times New Roman"/>
                <w:vertAlign w:val="superscript"/>
              </w:rPr>
              <w:fldChar w:fldCharType="separate"/>
            </w:r>
            <w:r w:rsidRPr="009617F3">
              <w:rPr>
                <w:rFonts w:ascii="Times New Roman" w:hAnsi="Times New Roman" w:cs="Times New Roman"/>
                <w:noProof/>
                <w:vertAlign w:val="superscript"/>
              </w:rPr>
              <w:t>(15)</w:t>
            </w:r>
            <w:r w:rsidRPr="009617F3">
              <w:rPr>
                <w:rFonts w:ascii="Times New Roman" w:hAnsi="Times New Roman" w:cs="Times New Roman"/>
                <w:vertAlign w:val="superscript"/>
              </w:rPr>
              <w:fldChar w:fldCharType="end"/>
            </w:r>
          </w:p>
        </w:tc>
        <w:tc>
          <w:tcPr>
            <w:tcW w:w="1440" w:type="dxa"/>
          </w:tcPr>
          <w:p w14:paraId="49F445BA" w14:textId="77777777" w:rsidR="008C7DAF" w:rsidRPr="00F65AC8" w:rsidRDefault="008C7DAF" w:rsidP="000E4D19">
            <w:pPr>
              <w:rPr>
                <w:rFonts w:ascii="Times New Roman" w:hAnsi="Times New Roman" w:cs="Times New Roman"/>
              </w:rPr>
            </w:pPr>
            <w:r w:rsidRPr="00883D4E">
              <w:rPr>
                <w:rFonts w:ascii="Times New Roman" w:hAnsi="Times New Roman" w:cs="Times New Roman"/>
              </w:rPr>
              <w:t>2011</w:t>
            </w:r>
          </w:p>
        </w:tc>
        <w:tc>
          <w:tcPr>
            <w:tcW w:w="1535" w:type="dxa"/>
          </w:tcPr>
          <w:p w14:paraId="3B23C5D7" w14:textId="77777777" w:rsidR="008C7DAF" w:rsidRPr="00F65AC8" w:rsidRDefault="008C7DAF" w:rsidP="003F30BD">
            <w:pPr>
              <w:jc w:val="both"/>
              <w:rPr>
                <w:rFonts w:ascii="Times New Roman" w:hAnsi="Times New Roman" w:cs="Times New Roman"/>
              </w:rPr>
            </w:pPr>
            <w:r w:rsidRPr="00F65AC8">
              <w:rPr>
                <w:rFonts w:ascii="Times New Roman" w:hAnsi="Times New Roman" w:cs="Times New Roman"/>
              </w:rPr>
              <w:t>Short commentary</w:t>
            </w:r>
          </w:p>
        </w:tc>
        <w:tc>
          <w:tcPr>
            <w:tcW w:w="1203" w:type="dxa"/>
          </w:tcPr>
          <w:p w14:paraId="666997B4" w14:textId="77777777" w:rsidR="008C7DAF" w:rsidRPr="00F65AC8" w:rsidRDefault="008C7DAF" w:rsidP="003F30BD">
            <w:pPr>
              <w:jc w:val="both"/>
              <w:rPr>
                <w:rFonts w:ascii="Times New Roman" w:hAnsi="Times New Roman" w:cs="Times New Roman"/>
              </w:rPr>
            </w:pPr>
            <w:r w:rsidRPr="00F65AC8">
              <w:rPr>
                <w:rFonts w:ascii="Times New Roman" w:hAnsi="Times New Roman" w:cs="Times New Roman"/>
              </w:rPr>
              <w:t>Democratic Republic</w:t>
            </w:r>
          </w:p>
          <w:p w14:paraId="7BEDC2FB" w14:textId="77777777" w:rsidR="008C7DAF" w:rsidRPr="00F65AC8" w:rsidRDefault="008C7DAF" w:rsidP="003F30BD">
            <w:pPr>
              <w:jc w:val="both"/>
              <w:rPr>
                <w:rFonts w:ascii="Times New Roman" w:hAnsi="Times New Roman" w:cs="Times New Roman"/>
              </w:rPr>
            </w:pPr>
            <w:r w:rsidRPr="00F65AC8">
              <w:rPr>
                <w:rFonts w:ascii="Times New Roman" w:hAnsi="Times New Roman" w:cs="Times New Roman"/>
              </w:rPr>
              <w:t>of Congo</w:t>
            </w:r>
          </w:p>
        </w:tc>
        <w:tc>
          <w:tcPr>
            <w:tcW w:w="1402" w:type="dxa"/>
          </w:tcPr>
          <w:p w14:paraId="48A90281" w14:textId="01AC93FC" w:rsidR="008C7DAF" w:rsidRPr="00F65AC8" w:rsidRDefault="008C7DAF" w:rsidP="003F30BD">
            <w:pPr>
              <w:jc w:val="both"/>
              <w:rPr>
                <w:rFonts w:ascii="Times New Roman" w:hAnsi="Times New Roman" w:cs="Times New Roman"/>
              </w:rPr>
            </w:pPr>
            <w:bookmarkStart w:id="12" w:name="_Hlk109656162"/>
            <w:proofErr w:type="spellStart"/>
            <w:r w:rsidRPr="00883D4E">
              <w:rPr>
                <w:rFonts w:ascii="Times New Roman" w:hAnsi="Times New Roman" w:cs="Times New Roman"/>
              </w:rPr>
              <w:t>Dryvax</w:t>
            </w:r>
            <w:proofErr w:type="spellEnd"/>
            <w:r w:rsidRPr="00883D4E">
              <w:rPr>
                <w:rFonts w:ascii="Times New Roman" w:hAnsi="Times New Roman" w:cs="Times New Roman"/>
              </w:rPr>
              <w:t xml:space="preserve">, ACAM2000 </w:t>
            </w:r>
            <w:bookmarkEnd w:id="12"/>
            <w:r w:rsidRPr="00883D4E">
              <w:rPr>
                <w:rFonts w:ascii="Times New Roman" w:hAnsi="Times New Roman" w:cs="Times New Roman"/>
              </w:rPr>
              <w:t>(Live Vaccinia Vaccine)</w:t>
            </w:r>
          </w:p>
        </w:tc>
        <w:tc>
          <w:tcPr>
            <w:tcW w:w="6210" w:type="dxa"/>
          </w:tcPr>
          <w:p w14:paraId="6B5E1B48" w14:textId="30B27115" w:rsidR="008C7DAF" w:rsidRPr="00F65AC8" w:rsidRDefault="008C7DAF" w:rsidP="003F30BD">
            <w:pPr>
              <w:jc w:val="both"/>
              <w:rPr>
                <w:rFonts w:ascii="Times New Roman" w:hAnsi="Times New Roman" w:cs="Times New Roman"/>
              </w:rPr>
            </w:pPr>
            <w:bookmarkStart w:id="13" w:name="_Hlk109656017"/>
            <w:r w:rsidRPr="00F65AC8">
              <w:rPr>
                <w:rFonts w:ascii="Times New Roman" w:hAnsi="Times New Roman" w:cs="Times New Roman"/>
              </w:rPr>
              <w:t>Monkeypox risk was 5.21 times lower in vaccinated individuals compared to unvaccinated individuals, showing that &gt;80% protection was maintained for &gt;30 years. With an efficacy of 85% at the present incidence rate, one Monkeypox infection may be avoided for every 600 people who received the vaccine in monkeypox-endemic areas. The only smallpox vaccination that has been shown to be effective in people is live vaccine inoculation.</w:t>
            </w:r>
            <w:bookmarkEnd w:id="13"/>
          </w:p>
        </w:tc>
      </w:tr>
      <w:tr w:rsidR="008C7DAF" w:rsidRPr="00484EFC" w14:paraId="11E0C1E1" w14:textId="77777777" w:rsidTr="008C7DAF">
        <w:trPr>
          <w:jc w:val="center"/>
        </w:trPr>
        <w:tc>
          <w:tcPr>
            <w:tcW w:w="1620" w:type="dxa"/>
          </w:tcPr>
          <w:p w14:paraId="0CEE0649" w14:textId="7FD72885" w:rsidR="008C7DAF" w:rsidRPr="007122C7" w:rsidRDefault="008C7DAF" w:rsidP="004F6634">
            <w:pPr>
              <w:rPr>
                <w:rFonts w:ascii="Times New Roman" w:hAnsi="Times New Roman" w:cs="Times New Roman"/>
              </w:rPr>
            </w:pPr>
            <w:proofErr w:type="spellStart"/>
            <w:r w:rsidRPr="00F65AC8">
              <w:rPr>
                <w:rFonts w:ascii="Times New Roman" w:hAnsi="Times New Roman" w:cs="Times New Roman"/>
              </w:rPr>
              <w:t>Kalthan</w:t>
            </w:r>
            <w:proofErr w:type="spellEnd"/>
            <w:r w:rsidRPr="00F65AC8">
              <w:rPr>
                <w:rFonts w:ascii="Times New Roman" w:hAnsi="Times New Roman" w:cs="Times New Roman"/>
              </w:rPr>
              <w:t xml:space="preserve"> E. et al.</w:t>
            </w:r>
            <w:r w:rsidRPr="009617F3">
              <w:rPr>
                <w:rFonts w:ascii="Times New Roman" w:hAnsi="Times New Roman" w:cs="Times New Roman"/>
                <w:vertAlign w:val="superscript"/>
              </w:rPr>
              <w:fldChar w:fldCharType="begin" w:fldLock="1"/>
            </w:r>
            <w:r w:rsidRPr="009617F3">
              <w:rPr>
                <w:rFonts w:ascii="Times New Roman" w:hAnsi="Times New Roman" w:cs="Times New Roman"/>
                <w:vertAlign w:val="superscript"/>
              </w:rPr>
              <w:instrText>ADDIN CSL_CITATION {"citationItems":[{"id":"ITEM-1","itemData":{"DOI":"10.1016/j.medmal.2018.02.010","ISSN":"1769-6690 (Electronic)","PMID":"29573840","abstract":"BACKGROUND: Monkeypox is a zoonosis caused by an Orthopoxvirus of the Poxviridae  family. Human infections are often severe and are a public health problem. PATIENTS AND METHOD: We conducted a monkeypox outbreak investigation of suspected case patients in five villages of the Alindao-Mingala Health District following blood sample confirmation of the virus by the Institut Pasteur in Bangui. We aimed to determine disease characteristics, to describe the context and the risk factors, and to measure the incidence and case fatality. Patients were reported in the villages of Rehou 4, 5, Dalakere 1, Kongbo, and Pavika from August to October 2016. Data was collected on individual records when interviewing patients or parents. RESULTS: A total of 26 patients were identified. The˂10 years and 21-30 years age groups were the most affected. The overall attack rate was 5 per 1000 inhabitants and the case fatality was 7.7%. Young age and the absence of smallpox vaccination were associated with severe presentations in 87.5% of cases. CONCLUSION: The annual number of monkeypox outbreaks increases in the Central African Republic with severe presentations and a high case fatality especially in children. Reinforcing the surveillance and characterization of circulating strains will provide information on the need for vaccine production.","author":[{"dropping-particle":"","family":"Kalthan","given":"E","non-dropping-particle":"","parse-names":false,"suffix":""},{"dropping-particle":"","family":"Tenguere","given":"J","non-dropping-particle":"","parse-names":false,"suffix":""},{"dropping-particle":"","family":"Ndjapou","given":"S G","non-dropping-particle":"","parse-names":false,"suffix":""},{"dropping-particle":"","family":"Koyazengbe","given":"T A","non-dropping-particle":"","parse-names":false,"suffix":""},{"dropping-particle":"","family":"Mbomba","given":"J","non-dropping-particle":"","parse-names":false,"suffix":""},{"dropping-particle":"","family":"Marada","given":"R M","non-dropping-particle":"","parse-names":false,"suffix":""},{"dropping-particle":"","family":"Rombebe","given":"P","non-dropping-particle":"","parse-names":false,"suffix":""},{"dropping-particle":"","family":"Yangueme","given":"P","non-dropping-particle":"","parse-names":false,"suffix":""},{"dropping-particle":"","family":"Babamingui","given":"M","non-dropping-particle":"","parse-names":false,"suffix":""},{"dropping-particle":"","family":"Sambella","given":"A","non-dropping-particle":"","parse-names":false,"suffix":""},{"dropping-particle":"","family":"Nakoune","given":"E R","non-dropping-particle":"","parse-names":false,"suffix":""}],"container-title":"Medecine et maladies infectieuses","id":"ITEM-1","issue":"4","issued":{"date-parts":[["2018","6"]]},"language":"eng","page":"263-268","publisher-place":"France","title":"Investigation of an outbreak of monkeypox in an area occupied by armed groups,  Central African Republic.","type":"article-journal","volume":"48"},"uris":["http://www.mendeley.com/documents/?uuid=e792624f-1d52-4638-86d9-8e590b348101"]}],"mendeley":{"formattedCitation":"(16)","plainTextFormattedCitation":"(16)","previouslyFormattedCitation":"(16)"},"properties":{"noteIndex":0},"schema":"https://github.com/citation-style-language/schema/raw/master/csl-citation.json"}</w:instrText>
            </w:r>
            <w:r w:rsidRPr="009617F3">
              <w:rPr>
                <w:rFonts w:ascii="Times New Roman" w:hAnsi="Times New Roman" w:cs="Times New Roman"/>
                <w:vertAlign w:val="superscript"/>
              </w:rPr>
              <w:fldChar w:fldCharType="separate"/>
            </w:r>
            <w:r w:rsidRPr="009617F3">
              <w:rPr>
                <w:rFonts w:ascii="Times New Roman" w:hAnsi="Times New Roman" w:cs="Times New Roman"/>
                <w:noProof/>
                <w:vertAlign w:val="superscript"/>
              </w:rPr>
              <w:t>(16)</w:t>
            </w:r>
            <w:r w:rsidRPr="009617F3">
              <w:rPr>
                <w:rFonts w:ascii="Times New Roman" w:hAnsi="Times New Roman" w:cs="Times New Roman"/>
                <w:vertAlign w:val="superscript"/>
              </w:rPr>
              <w:fldChar w:fldCharType="end"/>
            </w:r>
            <w:r w:rsidRPr="00F65AC8">
              <w:rPr>
                <w:rFonts w:ascii="Times New Roman" w:hAnsi="Times New Roman" w:cs="Times New Roman"/>
              </w:rPr>
              <w:t xml:space="preserve"> </w:t>
            </w:r>
          </w:p>
        </w:tc>
        <w:tc>
          <w:tcPr>
            <w:tcW w:w="1440" w:type="dxa"/>
          </w:tcPr>
          <w:p w14:paraId="2273D7C4" w14:textId="3324C418" w:rsidR="008C7DAF" w:rsidRPr="007122C7" w:rsidRDefault="008C7DAF" w:rsidP="004F6634">
            <w:pPr>
              <w:rPr>
                <w:rFonts w:ascii="Times New Roman" w:hAnsi="Times New Roman" w:cs="Times New Roman"/>
              </w:rPr>
            </w:pPr>
            <w:r w:rsidRPr="00F65AC8">
              <w:rPr>
                <w:rFonts w:ascii="Times New Roman" w:hAnsi="Times New Roman" w:cs="Times New Roman"/>
              </w:rPr>
              <w:t>2018</w:t>
            </w:r>
          </w:p>
        </w:tc>
        <w:tc>
          <w:tcPr>
            <w:tcW w:w="1535" w:type="dxa"/>
          </w:tcPr>
          <w:p w14:paraId="51294B5A" w14:textId="24838FEE" w:rsidR="008C7DAF" w:rsidRPr="007122C7" w:rsidRDefault="008C7DAF" w:rsidP="003F30BD">
            <w:pPr>
              <w:jc w:val="both"/>
              <w:rPr>
                <w:rFonts w:ascii="Times New Roman" w:hAnsi="Times New Roman" w:cs="Times New Roman"/>
              </w:rPr>
            </w:pPr>
            <w:r w:rsidRPr="00F65AC8">
              <w:rPr>
                <w:rFonts w:ascii="Times New Roman" w:hAnsi="Times New Roman" w:cs="Times New Roman"/>
              </w:rPr>
              <w:t>Monkeypox outbreak investigation Study</w:t>
            </w:r>
          </w:p>
        </w:tc>
        <w:tc>
          <w:tcPr>
            <w:tcW w:w="1203" w:type="dxa"/>
          </w:tcPr>
          <w:p w14:paraId="663574AD" w14:textId="77777777" w:rsidR="008C7DAF" w:rsidRPr="00F65AC8" w:rsidRDefault="008C7DAF" w:rsidP="003F30BD">
            <w:pPr>
              <w:jc w:val="both"/>
              <w:rPr>
                <w:rFonts w:ascii="Times New Roman" w:hAnsi="Times New Roman" w:cs="Times New Roman"/>
              </w:rPr>
            </w:pPr>
            <w:proofErr w:type="spellStart"/>
            <w:r w:rsidRPr="00F65AC8">
              <w:rPr>
                <w:rFonts w:ascii="Times New Roman" w:hAnsi="Times New Roman" w:cs="Times New Roman"/>
              </w:rPr>
              <w:t>Alindao-Mingala</w:t>
            </w:r>
            <w:proofErr w:type="spellEnd"/>
          </w:p>
          <w:p w14:paraId="383C8AAC" w14:textId="2BC9FB2C" w:rsidR="008C7DAF" w:rsidRPr="007122C7" w:rsidRDefault="008C7DAF" w:rsidP="003F30BD">
            <w:pPr>
              <w:jc w:val="both"/>
              <w:rPr>
                <w:rFonts w:ascii="Times New Roman" w:hAnsi="Times New Roman" w:cs="Times New Roman"/>
              </w:rPr>
            </w:pPr>
            <w:r w:rsidRPr="00F65AC8">
              <w:rPr>
                <w:rFonts w:ascii="Times New Roman" w:hAnsi="Times New Roman" w:cs="Times New Roman"/>
              </w:rPr>
              <w:t xml:space="preserve">Health District of Central African Republic </w:t>
            </w:r>
          </w:p>
        </w:tc>
        <w:tc>
          <w:tcPr>
            <w:tcW w:w="1402" w:type="dxa"/>
          </w:tcPr>
          <w:p w14:paraId="47BCDDBE" w14:textId="7EB59727" w:rsidR="008C7DAF" w:rsidRPr="007122C7" w:rsidRDefault="008C7DAF" w:rsidP="003F30BD">
            <w:pPr>
              <w:jc w:val="both"/>
              <w:rPr>
                <w:rFonts w:ascii="Times New Roman" w:hAnsi="Times New Roman" w:cs="Times New Roman"/>
              </w:rPr>
            </w:pPr>
            <w:r w:rsidRPr="00F65AC8">
              <w:rPr>
                <w:rFonts w:ascii="Times New Roman" w:hAnsi="Times New Roman" w:cs="Times New Roman"/>
              </w:rPr>
              <w:t>Smallpox vaccine</w:t>
            </w:r>
          </w:p>
        </w:tc>
        <w:tc>
          <w:tcPr>
            <w:tcW w:w="6210" w:type="dxa"/>
          </w:tcPr>
          <w:p w14:paraId="05A0AD33" w14:textId="220BF877" w:rsidR="008C7DAF" w:rsidRPr="007122C7" w:rsidRDefault="008C7DAF" w:rsidP="003F30BD">
            <w:pPr>
              <w:jc w:val="both"/>
              <w:rPr>
                <w:rFonts w:ascii="Times New Roman" w:hAnsi="Times New Roman" w:cs="Times New Roman"/>
              </w:rPr>
            </w:pPr>
            <w:r w:rsidRPr="00F65AC8">
              <w:rPr>
                <w:rFonts w:ascii="Times New Roman" w:hAnsi="Times New Roman" w:cs="Times New Roman"/>
              </w:rPr>
              <w:t>In 87.5% of cases, the absence of smallpox vaccination was linked to severe presentations of Monkeypox. In this study, 19.2% of the participants had a smallpox vaccination scar, and the overall attack rate was lower in those who had received the vaccine (0.95/1000) compared to those who had not (3.6/1000).</w:t>
            </w:r>
          </w:p>
        </w:tc>
      </w:tr>
      <w:tr w:rsidR="008C7DAF" w:rsidRPr="00484EFC" w14:paraId="0171EFB4" w14:textId="77777777" w:rsidTr="008C7DAF">
        <w:trPr>
          <w:jc w:val="center"/>
        </w:trPr>
        <w:tc>
          <w:tcPr>
            <w:tcW w:w="1620" w:type="dxa"/>
          </w:tcPr>
          <w:p w14:paraId="2256ACD8" w14:textId="250BB8CD" w:rsidR="008C7DAF" w:rsidRPr="007122C7" w:rsidRDefault="008C7DAF" w:rsidP="004F6634">
            <w:pPr>
              <w:rPr>
                <w:rFonts w:ascii="Times New Roman" w:hAnsi="Times New Roman" w:cs="Times New Roman"/>
                <w:color w:val="212121"/>
                <w:shd w:val="clear" w:color="auto" w:fill="FFFFFF"/>
              </w:rPr>
            </w:pPr>
            <w:r>
              <w:rPr>
                <w:rFonts w:ascii="Times New Roman" w:hAnsi="Times New Roman" w:cs="Times New Roman"/>
              </w:rPr>
              <w:t>Petersen, B.</w:t>
            </w:r>
            <w:r w:rsidRPr="00484EFC">
              <w:rPr>
                <w:rFonts w:ascii="Times New Roman" w:hAnsi="Times New Roman" w:cs="Times New Roman"/>
              </w:rPr>
              <w:t>W. et al.</w:t>
            </w:r>
            <w:r w:rsidRPr="009617F3">
              <w:rPr>
                <w:rFonts w:ascii="Times New Roman" w:hAnsi="Times New Roman" w:cs="Times New Roman"/>
                <w:vertAlign w:val="superscript"/>
              </w:rPr>
              <w:fldChar w:fldCharType="begin" w:fldLock="1"/>
            </w:r>
            <w:r w:rsidRPr="009617F3">
              <w:rPr>
                <w:rFonts w:ascii="Times New Roman" w:hAnsi="Times New Roman" w:cs="Times New Roman"/>
                <w:vertAlign w:val="superscript"/>
              </w:rPr>
              <w:instrText>ADDIN CSL_CITATION {"citationItems":[{"id":"ITEM-1","itemData":{"DOI":"10.1016/j.antiviral.2018.11.004","ISSN":"1872-9096 (Electronic)","PMID":"30445121","abstract":"Healthcare-associated transmission of monkeypox has been observed on multiple  occasions in areas where the disease is endemic. Data collected by the US Centers for Disease Control and Prevention (CDC) from an ongoing CDC-supported program of enhanced surveillance in the Tshuapa Province of the Democratic Republic of the Congo, where the annual incidence of human monkeypox is estimated to be 3.5-5/10,000, suggests that there is approximately one healthcare worker infection for every 100 confirmed monkeypox cases. Herein, we describe a study that commenced in February 2017, the intent of which is to evaluate the effectiveness, immunogenicity, and safety of a third-generation smallpox vaccine, IMVAMUNE(®), in healthcare personnel at risk of monkeypox virus (MPXV) infection. We describe procedures for documenting exposures to monkeypox virus infection in study participants, and outline lessons learned that may be of relevance for studies of other investigational medical countermeasures in hard to reach, under-resourced populations.","author":[{"dropping-particle":"","family":"Petersen","given":"Brett W","non-dropping-particle":"","parse-names":false,"suffix":""},{"dropping-particle":"","family":"Kabamba","given":"Joelle","non-dropping-particle":"","parse-names":false,"suffix":""},{"dropping-particle":"","family":"McCollum","given":"Andrea M","non-dropping-particle":"","parse-names":false,"suffix":""},{"dropping-particle":"","family":"Lushima","given":"Robert Shongo","non-dropping-particle":"","parse-names":false,"suffix":""},{"dropping-particle":"","family":"Wemakoy","given":"Emile Okitolonda","non-dropping-particle":"","parse-names":false,"suffix":""},{"dropping-particle":"","family":"Muyembe Tamfum","given":"Jean-Jacques","non-dropping-particle":"","parse-names":false,"suffix":""},{"dropping-particle":"","family":"Nguete","given":"Beatrice","non-dropping-particle":"","parse-names":false,"suffix":""},{"dropping-particle":"","family":"Hughes","given":"Christine M","non-dropping-particle":"","parse-names":false,"suffix":""},{"dropping-particle":"","family":"Monroe","given":"Benjamin P","non-dropping-particle":"","parse-names":false,"suffix":""},{"dropping-particle":"","family":"Reynolds","given":"Mary G","non-dropping-particle":"","parse-names":false,"suffix":""}],"container-title":"Antiviral research","id":"ITEM-1","issued":{"date-parts":[["2019","2"]]},"language":"eng","page":"171-177","title":"Vaccinating against monkeypox in the Democratic Republic of the Congo.","type":"article-journal","volume":"162"},"uris":["http://www.mendeley.com/documents/?uuid=900aeac4-12ba-44bd-a248-c0eb03d46828"]}],"mendeley":{"formattedCitation":"(17)","plainTextFormattedCitation":"(17)","previouslyFormattedCitation":"(17)"},"properties":{"noteIndex":0},"schema":"https://github.com/citation-style-language/schema/raw/master/csl-citation.json"}</w:instrText>
            </w:r>
            <w:r w:rsidRPr="009617F3">
              <w:rPr>
                <w:rFonts w:ascii="Times New Roman" w:hAnsi="Times New Roman" w:cs="Times New Roman"/>
                <w:vertAlign w:val="superscript"/>
              </w:rPr>
              <w:fldChar w:fldCharType="separate"/>
            </w:r>
            <w:r w:rsidRPr="009617F3">
              <w:rPr>
                <w:rFonts w:ascii="Times New Roman" w:hAnsi="Times New Roman" w:cs="Times New Roman"/>
                <w:noProof/>
                <w:vertAlign w:val="superscript"/>
              </w:rPr>
              <w:t>(17)</w:t>
            </w:r>
            <w:r w:rsidRPr="009617F3">
              <w:rPr>
                <w:rFonts w:ascii="Times New Roman" w:hAnsi="Times New Roman" w:cs="Times New Roman"/>
                <w:vertAlign w:val="superscript"/>
              </w:rPr>
              <w:fldChar w:fldCharType="end"/>
            </w:r>
          </w:p>
        </w:tc>
        <w:tc>
          <w:tcPr>
            <w:tcW w:w="1440" w:type="dxa"/>
          </w:tcPr>
          <w:p w14:paraId="72319A4E" w14:textId="74BEFF36" w:rsidR="008C7DAF" w:rsidRPr="007122C7" w:rsidRDefault="008C7DAF" w:rsidP="004F6634">
            <w:pPr>
              <w:rPr>
                <w:rFonts w:ascii="Times New Roman" w:hAnsi="Times New Roman" w:cs="Times New Roman"/>
              </w:rPr>
            </w:pPr>
            <w:r w:rsidRPr="00484EFC">
              <w:rPr>
                <w:rFonts w:ascii="Times New Roman" w:hAnsi="Times New Roman" w:cs="Times New Roman"/>
              </w:rPr>
              <w:t>2019</w:t>
            </w:r>
          </w:p>
        </w:tc>
        <w:tc>
          <w:tcPr>
            <w:tcW w:w="1535" w:type="dxa"/>
          </w:tcPr>
          <w:p w14:paraId="73F9993F" w14:textId="5E519F8B" w:rsidR="008C7DAF" w:rsidRDefault="008C7DAF" w:rsidP="003F30BD">
            <w:pPr>
              <w:jc w:val="both"/>
              <w:rPr>
                <w:rFonts w:ascii="Times New Roman" w:hAnsi="Times New Roman" w:cs="Times New Roman"/>
              </w:rPr>
            </w:pPr>
            <w:r>
              <w:rPr>
                <w:rFonts w:ascii="Times New Roman" w:hAnsi="Times New Roman" w:cs="Times New Roman"/>
              </w:rPr>
              <w:t>P</w:t>
            </w:r>
            <w:r w:rsidRPr="00484EFC">
              <w:rPr>
                <w:rFonts w:ascii="Times New Roman" w:hAnsi="Times New Roman" w:cs="Times New Roman"/>
              </w:rPr>
              <w:t>rospective cohort study</w:t>
            </w:r>
          </w:p>
        </w:tc>
        <w:tc>
          <w:tcPr>
            <w:tcW w:w="1203" w:type="dxa"/>
          </w:tcPr>
          <w:p w14:paraId="4978E9EA" w14:textId="7C628B1B" w:rsidR="008C7DAF" w:rsidRPr="007122C7" w:rsidRDefault="008C7DAF" w:rsidP="003F30BD">
            <w:pPr>
              <w:jc w:val="both"/>
              <w:rPr>
                <w:rFonts w:ascii="Times New Roman" w:hAnsi="Times New Roman" w:cs="Times New Roman"/>
              </w:rPr>
            </w:pPr>
            <w:r>
              <w:rPr>
                <w:rFonts w:ascii="Times New Roman" w:hAnsi="Times New Roman" w:cs="Times New Roman"/>
              </w:rPr>
              <w:t xml:space="preserve">Democratic Republic of </w:t>
            </w:r>
            <w:r w:rsidRPr="00484EFC">
              <w:rPr>
                <w:rFonts w:ascii="Times New Roman" w:hAnsi="Times New Roman" w:cs="Times New Roman"/>
              </w:rPr>
              <w:t>Congo</w:t>
            </w:r>
          </w:p>
        </w:tc>
        <w:tc>
          <w:tcPr>
            <w:tcW w:w="1402" w:type="dxa"/>
          </w:tcPr>
          <w:p w14:paraId="3EB2A2BB" w14:textId="6B7F956C" w:rsidR="008C7DAF" w:rsidRPr="007122C7" w:rsidRDefault="008C7DAF" w:rsidP="003F30BD">
            <w:pPr>
              <w:jc w:val="both"/>
              <w:rPr>
                <w:rFonts w:ascii="Times New Roman" w:hAnsi="Times New Roman" w:cs="Times New Roman"/>
              </w:rPr>
            </w:pPr>
            <w:r w:rsidRPr="00883D4E">
              <w:rPr>
                <w:rFonts w:ascii="Times New Roman" w:hAnsi="Times New Roman" w:cs="Times New Roman"/>
              </w:rPr>
              <w:t>IMVAMUNE (Third generation smallpox vaccine)</w:t>
            </w:r>
          </w:p>
        </w:tc>
        <w:tc>
          <w:tcPr>
            <w:tcW w:w="6210" w:type="dxa"/>
          </w:tcPr>
          <w:p w14:paraId="6619A8E9" w14:textId="41B6759B" w:rsidR="008C7DAF" w:rsidRPr="007122C7" w:rsidRDefault="006100AE" w:rsidP="003F30BD">
            <w:pPr>
              <w:jc w:val="both"/>
              <w:rPr>
                <w:rFonts w:ascii="Times New Roman" w:hAnsi="Times New Roman" w:cs="Times New Roman"/>
              </w:rPr>
            </w:pPr>
            <w:bookmarkStart w:id="14" w:name="_Hlk109656622"/>
            <w:r w:rsidRPr="006100AE">
              <w:rPr>
                <w:rFonts w:ascii="Times New Roman" w:hAnsi="Times New Roman" w:cs="Times New Roman"/>
              </w:rPr>
              <w:t>Due to reporting so many adverse events of first- and second-generation smallpox vaccine</w:t>
            </w:r>
            <w:bookmarkEnd w:id="14"/>
            <w:r w:rsidRPr="006100AE">
              <w:rPr>
                <w:rFonts w:ascii="Times New Roman" w:hAnsi="Times New Roman" w:cs="Times New Roman"/>
              </w:rPr>
              <w:t xml:space="preserve">, this study aims </w:t>
            </w:r>
            <w:bookmarkStart w:id="15" w:name="_Hlk109656531"/>
            <w:r w:rsidRPr="006100AE">
              <w:rPr>
                <w:rFonts w:ascii="Times New Roman" w:hAnsi="Times New Roman" w:cs="Times New Roman"/>
              </w:rPr>
              <w:t xml:space="preserve">to follow up the cohort of health workers who have received two doses of the third-generation smallpox vaccine. Based on approaches, it was decided to study the ability of vaccination with IMVAMUNE to prevent </w:t>
            </w:r>
            <w:r w:rsidR="00A30651">
              <w:rPr>
                <w:rFonts w:ascii="Times New Roman" w:hAnsi="Times New Roman" w:cs="Times New Roman"/>
              </w:rPr>
              <w:t>monkeypox</w:t>
            </w:r>
            <w:r w:rsidRPr="006100AE">
              <w:rPr>
                <w:rFonts w:ascii="Times New Roman" w:hAnsi="Times New Roman" w:cs="Times New Roman"/>
              </w:rPr>
              <w:t xml:space="preserve"> in DRC HCWs. </w:t>
            </w:r>
            <w:bookmarkEnd w:id="15"/>
            <w:r w:rsidRPr="006100AE">
              <w:rPr>
                <w:rFonts w:ascii="Times New Roman" w:hAnsi="Times New Roman" w:cs="Times New Roman"/>
              </w:rPr>
              <w:t xml:space="preserve">The study commenced in February 2017 and is currently ongoing while study participants undergo immunologic monitoring and follow-up for exposure to </w:t>
            </w:r>
            <w:r w:rsidR="009F30AE">
              <w:rPr>
                <w:rFonts w:ascii="Times New Roman" w:hAnsi="Times New Roman" w:cs="Times New Roman"/>
              </w:rPr>
              <w:t>monkeypox virus</w:t>
            </w:r>
            <w:r w:rsidRPr="006100AE">
              <w:rPr>
                <w:rFonts w:ascii="Times New Roman" w:hAnsi="Times New Roman" w:cs="Times New Roman"/>
              </w:rPr>
              <w:t>.</w:t>
            </w:r>
          </w:p>
        </w:tc>
      </w:tr>
      <w:tr w:rsidR="008C7DAF" w:rsidRPr="00484EFC" w14:paraId="3559078B" w14:textId="77777777" w:rsidTr="008C7DAF">
        <w:trPr>
          <w:jc w:val="center"/>
        </w:trPr>
        <w:tc>
          <w:tcPr>
            <w:tcW w:w="1620" w:type="dxa"/>
          </w:tcPr>
          <w:p w14:paraId="10B11520" w14:textId="670F0483" w:rsidR="008C7DAF" w:rsidRPr="00915163" w:rsidRDefault="008C7DAF" w:rsidP="00C3482E">
            <w:pPr>
              <w:rPr>
                <w:rFonts w:ascii="Times New Roman" w:hAnsi="Times New Roman" w:cs="Times New Roman"/>
              </w:rPr>
            </w:pPr>
            <w:r w:rsidRPr="00915163">
              <w:rPr>
                <w:rFonts w:ascii="Times New Roman" w:hAnsi="Times New Roman" w:cs="Times New Roman"/>
              </w:rPr>
              <w:t xml:space="preserve">Harapan </w:t>
            </w:r>
            <w:r>
              <w:rPr>
                <w:rFonts w:ascii="Times New Roman" w:hAnsi="Times New Roman" w:cs="Times New Roman"/>
              </w:rPr>
              <w:t>H. et al.</w:t>
            </w:r>
            <w:r w:rsidRPr="009617F3">
              <w:rPr>
                <w:rFonts w:ascii="Times New Roman" w:hAnsi="Times New Roman" w:cs="Times New Roman"/>
                <w:vertAlign w:val="superscript"/>
              </w:rPr>
              <w:fldChar w:fldCharType="begin" w:fldLock="1"/>
            </w:r>
            <w:r w:rsidRPr="009617F3">
              <w:rPr>
                <w:rFonts w:ascii="Times New Roman" w:hAnsi="Times New Roman" w:cs="Times New Roman"/>
                <w:vertAlign w:val="superscript"/>
              </w:rPr>
              <w:instrText>ADDIN CSL_CITATION {"citationItems":[{"id":"ITEM-1","itemData":{"DOI":"10.1016/j.vaccine.2020.08.034","ISSN":"1873-2518 (Electronic)","PMID":"32861468","abstract":"BACKGROUND: A clinical trial is ongoing to evaluate the safety and efficacy of a  monkeypox vaccine among healthcare workers (HCWs). The critical question that needs to be addressed is whether HCWs are willing to accept and purchase this vaccine. The objective of this study was to evaluate the acceptance and willingness to pay (WTP) for the vaccine among HCWs. METHODS: From May to July 2019, a cross-sectional study was conducted among registered general practitioners (GPs) in Indonesia. A contingent valuation method was employed to evaluate the WTP. Besides acceptance and WTP, various explanatory variables were also collected and assessed. A logistic regression and a multivariable linear regression were used to explore the explanatory variables influencing acceptance and WTP, respectively. RESULTS: Among 407 respondents, 391 (96.0%) expressed acceptance of a free vaccination. The mean and median WTP was US$ 37.0(95%CI:US$ 32.76-US$ 41.23) and US$ 17.90(95%CI:US$ 17.90-US$ 17.90), respectively. In an unadjusted analysis, those 30 years old or younger had 2.94 times greater odds of vaccine acceptance compared to those who were older (95%CI: 1.07-8.08). Location of alma mater, type of workplace, length of individual medical experience, and monthly income of GPs were all significantly associated with WTP. CONCLUSION: Although the vast majority of GPs would accept a freely provided vaccine, they were also somewhat price sensitive. This finding indicates that partial subsidy maybe required to achieve high vaccine coverage, particularly among GPs at community health centres or those with a shorter duration of medical practice.","author":[{"dropping-particle":"","family":"Harapan","given":"Harapan","non-dropping-particle":"","parse-names":false,"suffix":""},{"dropping-particle":"","family":"Wagner","given":"Abram L","non-dropping-particle":"","parse-names":false,"suffix":""},{"dropping-particle":"","family":"Yufika","given":"Amanda","non-dropping-particle":"","parse-names":false,"suffix":""},{"dropping-particle":"","family":"Setiawan","given":"Abdul M","non-dropping-particle":"","parse-names":false,"suffix":""},{"dropping-particle":"","family":"Anwar","given":"Samsul","non-dropping-particle":"","parse-names":false,"suffix":""},{"dropping-particle":"","family":"Wahyuni","given":"Sri","non-dropping-particle":"","parse-names":false,"suffix":""},{"dropping-particle":"","family":"Asrizal","given":"Febrivan W","non-dropping-particle":"","parse-names":false,"suffix":""},{"dropping-particle":"","family":"Sufri","given":"Muhammad R","non-dropping-particle":"","parse-names":false,"suffix":""},{"dropping-particle":"","family":"Putra","given":"Reza P","non-dropping-particle":"","parse-names":false,"suffix":""},{"dropping-particle":"","family":"Wijayanti","given":"Nanda P","non-dropping-particle":"","parse-names":false,"suffix":""},{"dropping-particle":"","family":"Salwiyadi","given":"Salwiyadi","non-dropping-particle":"","parse-names":false,"suffix":""},{"dropping-particle":"","family":"Maulana","given":"Razi","non-dropping-particle":"","parse-names":false,"suffix":""},{"dropping-particle":"","family":"Khusna","given":"Afriyani","non-dropping-particle":"","parse-names":false,"suffix":""},{"dropping-particle":"","family":"Nusrina","given":"Ina","non-dropping-particle":"","parse-names":false,"suffix":""},{"dropping-particle":"","family":"Shidiq","given":"Muhammad","non-dropping-particle":"","parse-names":false,"suffix":""},{"dropping-particle":"","family":"Fitriani","given":"Devi","non-dropping-particle":"","parse-names":false,"suffix":""},{"dropping-particle":"","family":"Muharrir","given":"Muharrir","non-dropping-particle":"","parse-names":false,"suffix":""},{"dropping-particle":"","family":"Husna","given":"Cut A","non-dropping-particle":"","parse-names":false,"suffix":""},{"dropping-particle":"","family":"Yusri","given":"Fitria","non-dropping-particle":"","parse-names":false,"suffix":""},{"dropping-particle":"","family":"Maulana","given":"Reza","non-dropping-particle":"","parse-names":false,"suffix":""},{"dropping-particle":"","family":"Rajamoorthy","given":"Yogambigai","non-dropping-particle":"","parse-names":false,"suffix":""},{"dropping-particle":"","family":"Groneberg","given":"David Alexander","non-dropping-particle":"","parse-names":false,"suffix":""},{"dropping-particle":"","family":"Müller","given":"Ruth","non-dropping-particle":"","parse-names":false,"suffix":""},{"dropping-particle":"","family":"Mudatsir","given":"Mudatsir","non-dropping-particle":"","parse-names":false,"suffix":""}],"container-title":"Vaccine","id":"ITEM-1","issue":"43","issued":{"date-parts":[["2020","10"]]},"language":"eng","page":"6800-6806","publisher-place":"Netherlands","title":"Acceptance and willingness to pay for a hypothetical vaccine against monkeypox  viral infection among frontline physicians: A cross-sectional study in Indonesia.","type":"article-journal","volume":"38"},"uris":["http://www.mendeley.com/documents/?uuid=9147cc5c-9969-4c6b-9769-aebb10223ac9"]}],"mendeley":{"formattedCitation":"(18)","plainTextFormattedCitation":"(18)","previouslyFormattedCitation":"(18)"},"properties":{"noteIndex":0},"schema":"https://github.com/citation-style-language/schema/raw/master/csl-citation.json"}</w:instrText>
            </w:r>
            <w:r w:rsidRPr="009617F3">
              <w:rPr>
                <w:rFonts w:ascii="Times New Roman" w:hAnsi="Times New Roman" w:cs="Times New Roman"/>
                <w:vertAlign w:val="superscript"/>
              </w:rPr>
              <w:fldChar w:fldCharType="separate"/>
            </w:r>
            <w:r w:rsidRPr="009617F3">
              <w:rPr>
                <w:rFonts w:ascii="Times New Roman" w:hAnsi="Times New Roman" w:cs="Times New Roman"/>
                <w:noProof/>
                <w:vertAlign w:val="superscript"/>
              </w:rPr>
              <w:t>(18)</w:t>
            </w:r>
            <w:r w:rsidRPr="009617F3">
              <w:rPr>
                <w:rFonts w:ascii="Times New Roman" w:hAnsi="Times New Roman" w:cs="Times New Roman"/>
                <w:vertAlign w:val="superscript"/>
              </w:rPr>
              <w:fldChar w:fldCharType="end"/>
            </w:r>
          </w:p>
        </w:tc>
        <w:tc>
          <w:tcPr>
            <w:tcW w:w="1440" w:type="dxa"/>
          </w:tcPr>
          <w:p w14:paraId="74843813" w14:textId="12A02E6D" w:rsidR="008C7DAF" w:rsidRPr="00915163" w:rsidRDefault="008C7DAF" w:rsidP="00C3482E">
            <w:pPr>
              <w:rPr>
                <w:rFonts w:ascii="Times New Roman" w:hAnsi="Times New Roman" w:cs="Times New Roman"/>
              </w:rPr>
            </w:pPr>
            <w:r w:rsidRPr="00915163">
              <w:rPr>
                <w:rFonts w:ascii="Times New Roman" w:hAnsi="Times New Roman" w:cs="Times New Roman"/>
              </w:rPr>
              <w:t>2020</w:t>
            </w:r>
          </w:p>
        </w:tc>
        <w:tc>
          <w:tcPr>
            <w:tcW w:w="1535" w:type="dxa"/>
          </w:tcPr>
          <w:p w14:paraId="0F682DBC" w14:textId="2621BCF8" w:rsidR="008C7DAF" w:rsidRPr="00915163" w:rsidRDefault="008C7DAF" w:rsidP="003F30BD">
            <w:pPr>
              <w:jc w:val="both"/>
              <w:rPr>
                <w:rFonts w:ascii="Times New Roman" w:hAnsi="Times New Roman" w:cs="Times New Roman"/>
              </w:rPr>
            </w:pPr>
            <w:r w:rsidRPr="00915163">
              <w:rPr>
                <w:rFonts w:ascii="Times New Roman" w:hAnsi="Times New Roman" w:cs="Times New Roman"/>
              </w:rPr>
              <w:t>Online based cross- sectional study</w:t>
            </w:r>
          </w:p>
        </w:tc>
        <w:tc>
          <w:tcPr>
            <w:tcW w:w="1203" w:type="dxa"/>
          </w:tcPr>
          <w:p w14:paraId="2AAF5074" w14:textId="775B3538" w:rsidR="008C7DAF" w:rsidRPr="00915163" w:rsidRDefault="008C7DAF" w:rsidP="003F30BD">
            <w:pPr>
              <w:jc w:val="both"/>
              <w:rPr>
                <w:rFonts w:ascii="Times New Roman" w:hAnsi="Times New Roman" w:cs="Times New Roman"/>
              </w:rPr>
            </w:pPr>
            <w:r w:rsidRPr="00915163">
              <w:rPr>
                <w:rFonts w:ascii="Times New Roman" w:hAnsi="Times New Roman" w:cs="Times New Roman"/>
              </w:rPr>
              <w:t>Indonesia</w:t>
            </w:r>
          </w:p>
        </w:tc>
        <w:tc>
          <w:tcPr>
            <w:tcW w:w="1402" w:type="dxa"/>
          </w:tcPr>
          <w:p w14:paraId="3E9BD84E" w14:textId="51B00B27" w:rsidR="008C7DAF" w:rsidRPr="00BC79A2" w:rsidRDefault="008C7DAF" w:rsidP="003F30BD">
            <w:pPr>
              <w:jc w:val="both"/>
              <w:rPr>
                <w:rFonts w:ascii="Times New Roman" w:hAnsi="Times New Roman" w:cs="Times New Roman"/>
                <w:highlight w:val="yellow"/>
              </w:rPr>
            </w:pPr>
            <w:bookmarkStart w:id="16" w:name="_Hlk109646781"/>
            <w:r w:rsidRPr="00883D4E">
              <w:rPr>
                <w:rFonts w:ascii="Times New Roman" w:hAnsi="Times New Roman" w:cs="Times New Roman"/>
              </w:rPr>
              <w:t xml:space="preserve">IMVAMUNE® </w:t>
            </w:r>
            <w:bookmarkEnd w:id="16"/>
            <w:r w:rsidRPr="00883D4E">
              <w:rPr>
                <w:rFonts w:ascii="Times New Roman" w:hAnsi="Times New Roman" w:cs="Times New Roman"/>
              </w:rPr>
              <w:t>Smallpox Vaccine</w:t>
            </w:r>
          </w:p>
        </w:tc>
        <w:tc>
          <w:tcPr>
            <w:tcW w:w="6210" w:type="dxa"/>
          </w:tcPr>
          <w:p w14:paraId="22AE2CBD" w14:textId="4CDFE85A" w:rsidR="008C7DAF" w:rsidRPr="00915163" w:rsidRDefault="00C94989" w:rsidP="003F30BD">
            <w:pPr>
              <w:jc w:val="both"/>
              <w:rPr>
                <w:rFonts w:ascii="Times New Roman" w:hAnsi="Times New Roman" w:cs="Times New Roman"/>
              </w:rPr>
            </w:pPr>
            <w:r>
              <w:rPr>
                <w:rFonts w:ascii="Times New Roman" w:hAnsi="Times New Roman" w:cs="Times New Roman"/>
              </w:rPr>
              <w:t>A</w:t>
            </w:r>
            <w:r w:rsidR="006100AE" w:rsidRPr="006100AE">
              <w:rPr>
                <w:rFonts w:ascii="Times New Roman" w:hAnsi="Times New Roman" w:cs="Times New Roman"/>
              </w:rPr>
              <w:t xml:space="preserve"> clinical trial is ongoing to evaluate the safety and efficacy of a monkeypox vaccine among HC</w:t>
            </w:r>
            <w:r>
              <w:rPr>
                <w:rFonts w:ascii="Times New Roman" w:hAnsi="Times New Roman" w:cs="Times New Roman"/>
              </w:rPr>
              <w:t xml:space="preserve">Ws. </w:t>
            </w:r>
            <w:r w:rsidR="006100AE" w:rsidRPr="006100AE">
              <w:rPr>
                <w:rFonts w:ascii="Times New Roman" w:hAnsi="Times New Roman" w:cs="Times New Roman"/>
              </w:rPr>
              <w:t>That is why the objective of this study was to evaluate the acceptance and willingness to pay (WTP) for the vaccine among HCWs</w:t>
            </w:r>
            <w:r>
              <w:rPr>
                <w:rFonts w:ascii="Times New Roman" w:hAnsi="Times New Roman" w:cs="Times New Roman"/>
              </w:rPr>
              <w:t xml:space="preserve"> in Indonesia</w:t>
            </w:r>
            <w:r w:rsidR="006100AE" w:rsidRPr="006100AE">
              <w:rPr>
                <w:rFonts w:ascii="Times New Roman" w:hAnsi="Times New Roman" w:cs="Times New Roman"/>
              </w:rPr>
              <w:t xml:space="preserve">, where 96.0% of the participants expressed acceptance of free vaccination. The </w:t>
            </w:r>
            <w:bookmarkStart w:id="17" w:name="_Hlk109646731"/>
            <w:r w:rsidR="006100AE" w:rsidRPr="006100AE">
              <w:rPr>
                <w:rFonts w:ascii="Times New Roman" w:hAnsi="Times New Roman" w:cs="Times New Roman"/>
              </w:rPr>
              <w:t>new generation of the vaccine, IMVAMUNE</w:t>
            </w:r>
            <w:bookmarkEnd w:id="17"/>
            <w:r w:rsidR="006100AE" w:rsidRPr="006100AE">
              <w:rPr>
                <w:rFonts w:ascii="Times New Roman" w:hAnsi="Times New Roman" w:cs="Times New Roman"/>
              </w:rPr>
              <w:t xml:space="preserve">, has been developed with improved safety profiles, and </w:t>
            </w:r>
            <w:bookmarkStart w:id="18" w:name="_Hlk109646695"/>
            <w:r w:rsidR="006100AE" w:rsidRPr="006100AE">
              <w:rPr>
                <w:rFonts w:ascii="Times New Roman" w:hAnsi="Times New Roman" w:cs="Times New Roman"/>
              </w:rPr>
              <w:t xml:space="preserve">a clinical trial is ongoing to evaluate its safety and efficacy in preventing monkeypox among HCWs in the </w:t>
            </w:r>
            <w:r w:rsidR="006100AE" w:rsidRPr="006100AE">
              <w:rPr>
                <w:rFonts w:ascii="Times New Roman" w:hAnsi="Times New Roman" w:cs="Times New Roman"/>
              </w:rPr>
              <w:lastRenderedPageBreak/>
              <w:t>Democratic Republic of the Congo</w:t>
            </w:r>
            <w:bookmarkEnd w:id="18"/>
            <w:r w:rsidR="006100AE" w:rsidRPr="006100AE">
              <w:rPr>
                <w:rFonts w:ascii="Times New Roman" w:hAnsi="Times New Roman" w:cs="Times New Roman"/>
              </w:rPr>
              <w:t xml:space="preserve"> (registered in ClinicalTrials.gov under identifier NCT02977715).</w:t>
            </w:r>
          </w:p>
        </w:tc>
      </w:tr>
      <w:tr w:rsidR="008C7DAF" w:rsidRPr="00484EFC" w14:paraId="4EA1B19E" w14:textId="77777777" w:rsidTr="008C7DAF">
        <w:trPr>
          <w:jc w:val="center"/>
        </w:trPr>
        <w:tc>
          <w:tcPr>
            <w:tcW w:w="1620" w:type="dxa"/>
          </w:tcPr>
          <w:p w14:paraId="1F2EEA33" w14:textId="387E1C80" w:rsidR="008C7DAF" w:rsidRPr="00915163" w:rsidRDefault="008C7DAF" w:rsidP="00C3482E">
            <w:pPr>
              <w:rPr>
                <w:rFonts w:ascii="Times New Roman" w:hAnsi="Times New Roman" w:cs="Times New Roman"/>
              </w:rPr>
            </w:pPr>
            <w:r w:rsidRPr="00B37D1E">
              <w:rPr>
                <w:rFonts w:ascii="Times New Roman" w:hAnsi="Times New Roman" w:cs="Times New Roman"/>
              </w:rPr>
              <w:lastRenderedPageBreak/>
              <w:t>Yong S</w:t>
            </w:r>
            <w:r>
              <w:rPr>
                <w:rFonts w:ascii="Times New Roman" w:hAnsi="Times New Roman" w:cs="Times New Roman"/>
              </w:rPr>
              <w:t>.</w:t>
            </w:r>
            <w:r w:rsidRPr="00B37D1E">
              <w:rPr>
                <w:rFonts w:ascii="Times New Roman" w:hAnsi="Times New Roman" w:cs="Times New Roman"/>
              </w:rPr>
              <w:t>E</w:t>
            </w:r>
            <w:r>
              <w:rPr>
                <w:rFonts w:ascii="Times New Roman" w:hAnsi="Times New Roman" w:cs="Times New Roman"/>
              </w:rPr>
              <w:t>.</w:t>
            </w:r>
            <w:r w:rsidRPr="00B37D1E">
              <w:rPr>
                <w:rFonts w:ascii="Times New Roman" w:hAnsi="Times New Roman" w:cs="Times New Roman"/>
              </w:rPr>
              <w:t>F</w:t>
            </w:r>
            <w:r>
              <w:rPr>
                <w:rFonts w:ascii="Times New Roman" w:hAnsi="Times New Roman" w:cs="Times New Roman"/>
              </w:rPr>
              <w:t>. et al.</w:t>
            </w:r>
            <w:r w:rsidRPr="009617F3">
              <w:rPr>
                <w:rFonts w:ascii="Times New Roman" w:hAnsi="Times New Roman" w:cs="Times New Roman"/>
                <w:vertAlign w:val="superscript"/>
              </w:rPr>
              <w:fldChar w:fldCharType="begin" w:fldLock="1"/>
            </w:r>
            <w:r w:rsidRPr="009617F3">
              <w:rPr>
                <w:rFonts w:ascii="Times New Roman" w:hAnsi="Times New Roman" w:cs="Times New Roman"/>
                <w:vertAlign w:val="superscript"/>
              </w:rPr>
              <w:instrText>ADDIN CSL_CITATION {"citationItems":[{"id":"ITEM-1","itemData":{"DOI":"10.3201/eid2608.191387","ISSN":"1080-6059 (Electronic)","PMID":"32338590","abstract":"In May 2019, we investigated monkeypox in a traveler from Nigeria to Singapore.  The public health response included rapid identification of contacts, use of quarantine, and postexposure smallpox vaccination. No secondary cases were identified. Countries should develop surveillance systems to detect emerging infectious diseases globally.","author":[{"dropping-particle":"","family":"Yong","given":"Sarah Ee Fang","non-dropping-particle":"","parse-names":false,"suffix":""},{"dropping-particle":"","family":"Ng","given":"Oon Tek","non-dropping-particle":"","parse-names":false,"suffix":""},{"dropping-particle":"","family":"Ho","given":"Zheng Jie Marc","non-dropping-particle":"","parse-names":false,"suffix":""},{"dropping-particle":"","family":"Mak","given":"Tze Minn","non-dropping-particle":"","parse-names":false,"suffix":""},{"dropping-particle":"","family":"Marimuthu","given":"Kalisvar","non-dropping-particle":"","parse-names":false,"suffix":""},{"dropping-particle":"","family":"Vasoo","given":"Shawn","non-dropping-particle":"","parse-names":false,"suffix":""},{"dropping-particle":"","family":"Yeo","given":"Tsin Wen","non-dropping-particle":"","parse-names":false,"suffix":""},{"dropping-particle":"","family":"Ng","given":"Yi Kai","non-dropping-particle":"","parse-names":false,"suffix":""},{"dropping-particle":"","family":"Cui","given":"Lin","non-dropping-particle":"","parse-names":false,"suffix":""},{"dropping-particle":"","family":"Ferdous","given":"Zannatul","non-dropping-particle":"","parse-names":false,"suffix":""},{"dropping-particle":"","family":"Chia","given":"Po Ying","non-dropping-particle":"","parse-names":false,"suffix":""},{"dropping-particle":"","family":"Aw","given":"Bryan Jun Wei","non-dropping-particle":"","parse-names":false,"suffix":""},{"dropping-particle":"","family":"Manauis","given":"Charmaine Malenab","non-dropping-particle":"","parse-names":false,"suffix":""},{"dropping-particle":"","family":"Low","given":"Constance Khia Ki","non-dropping-particle":"","parse-names":false,"suffix":""},{"dropping-particle":"","family":"Chan","given":"Guanhao","non-dropping-particle":"","parse-names":false,"suffix":""},{"dropping-particle":"","family":"Peh","given":"Xinyi","non-dropping-particle":"","parse-names":false,"suffix":""},{"dropping-particle":"","family":"Lim","given":"Poh Lian","non-dropping-particle":"","parse-names":false,"suffix":""},{"dropping-particle":"","family":"Chow","given":"Li Ping Angela","non-dropping-particle":"","parse-names":false,"suffix":""},{"dropping-particle":"","family":"Chan","given":"Monica","non-dropping-particle":"","parse-names":false,"suffix":""},{"dropping-particle":"","family":"Lee","given":"Vernon Jian Ming","non-dropping-particle":"","parse-names":false,"suffix":""},{"dropping-particle":"","family":"Lin","given":"Raymond Tzer Pin","non-dropping-particle":"","parse-names":false,"suffix":""},{"dropping-particle":"","family":"Heng","given":"Mok Kwee Derrick","non-dropping-particle":"","parse-names":false,"suffix":""},{"dropping-particle":"","family":"Leo","given":"Yee Sin","non-dropping-particle":"","parse-names":false,"suffix":""}],"container-title":"Emerging infectious diseases","id":"ITEM-1","issue":"8","issued":{"date-parts":[["2020","8"]]},"language":"eng","page":"1826-1830","title":"Imported Monkeypox, Singapore.","type":"article-journal","volume":"26"},"uris":["http://www.mendeley.com/documents/?uuid=e0ee9f0e-e6ab-42b8-801c-f4d326899e26"]}],"mendeley":{"formattedCitation":"(19)","plainTextFormattedCitation":"(19)","previouslyFormattedCitation":"(19)"},"properties":{"noteIndex":0},"schema":"https://github.com/citation-style-language/schema/raw/master/csl-citation.json"}</w:instrText>
            </w:r>
            <w:r w:rsidRPr="009617F3">
              <w:rPr>
                <w:rFonts w:ascii="Times New Roman" w:hAnsi="Times New Roman" w:cs="Times New Roman"/>
                <w:vertAlign w:val="superscript"/>
              </w:rPr>
              <w:fldChar w:fldCharType="separate"/>
            </w:r>
            <w:r w:rsidRPr="009617F3">
              <w:rPr>
                <w:rFonts w:ascii="Times New Roman" w:hAnsi="Times New Roman" w:cs="Times New Roman"/>
                <w:noProof/>
                <w:vertAlign w:val="superscript"/>
              </w:rPr>
              <w:t>(19)</w:t>
            </w:r>
            <w:r w:rsidRPr="009617F3">
              <w:rPr>
                <w:rFonts w:ascii="Times New Roman" w:hAnsi="Times New Roman" w:cs="Times New Roman"/>
                <w:vertAlign w:val="superscript"/>
              </w:rPr>
              <w:fldChar w:fldCharType="end"/>
            </w:r>
            <w:r w:rsidRPr="009617F3">
              <w:rPr>
                <w:rFonts w:ascii="Times New Roman" w:hAnsi="Times New Roman" w:cs="Times New Roman"/>
                <w:vertAlign w:val="superscript"/>
              </w:rPr>
              <w:t xml:space="preserve"> </w:t>
            </w:r>
          </w:p>
        </w:tc>
        <w:tc>
          <w:tcPr>
            <w:tcW w:w="1440" w:type="dxa"/>
          </w:tcPr>
          <w:p w14:paraId="65DB7247" w14:textId="28910F38" w:rsidR="008C7DAF" w:rsidRPr="00915163" w:rsidRDefault="008C7DAF" w:rsidP="00C3482E">
            <w:pPr>
              <w:rPr>
                <w:rFonts w:ascii="Times New Roman" w:hAnsi="Times New Roman" w:cs="Times New Roman"/>
              </w:rPr>
            </w:pPr>
            <w:r w:rsidRPr="00915163">
              <w:rPr>
                <w:rFonts w:ascii="Times New Roman" w:hAnsi="Times New Roman" w:cs="Times New Roman"/>
              </w:rPr>
              <w:t>2020</w:t>
            </w:r>
          </w:p>
        </w:tc>
        <w:tc>
          <w:tcPr>
            <w:tcW w:w="1535" w:type="dxa"/>
          </w:tcPr>
          <w:p w14:paraId="2EBC0023" w14:textId="6001B168" w:rsidR="008C7DAF" w:rsidRPr="00915163" w:rsidRDefault="008C7DAF" w:rsidP="003F30BD">
            <w:pPr>
              <w:jc w:val="both"/>
              <w:rPr>
                <w:rFonts w:ascii="Times New Roman" w:hAnsi="Times New Roman" w:cs="Times New Roman"/>
              </w:rPr>
            </w:pPr>
            <w:r w:rsidRPr="00915163">
              <w:rPr>
                <w:rFonts w:ascii="Times New Roman" w:hAnsi="Times New Roman" w:cs="Times New Roman"/>
              </w:rPr>
              <w:t>Case study</w:t>
            </w:r>
          </w:p>
        </w:tc>
        <w:tc>
          <w:tcPr>
            <w:tcW w:w="1203" w:type="dxa"/>
          </w:tcPr>
          <w:p w14:paraId="7D5DF93B" w14:textId="3BFFC95C" w:rsidR="008C7DAF" w:rsidRPr="00915163" w:rsidRDefault="008C7DAF" w:rsidP="003F30BD">
            <w:pPr>
              <w:jc w:val="both"/>
              <w:rPr>
                <w:rFonts w:ascii="Times New Roman" w:hAnsi="Times New Roman" w:cs="Times New Roman"/>
              </w:rPr>
            </w:pPr>
            <w:r w:rsidRPr="00915163">
              <w:rPr>
                <w:rFonts w:ascii="Times New Roman" w:hAnsi="Times New Roman" w:cs="Times New Roman"/>
              </w:rPr>
              <w:t>Singapore</w:t>
            </w:r>
          </w:p>
        </w:tc>
        <w:tc>
          <w:tcPr>
            <w:tcW w:w="1402" w:type="dxa"/>
          </w:tcPr>
          <w:p w14:paraId="768D872C" w14:textId="2938DC67" w:rsidR="008C7DAF" w:rsidRPr="00915163" w:rsidRDefault="008C7DAF" w:rsidP="003F30BD">
            <w:pPr>
              <w:jc w:val="both"/>
              <w:rPr>
                <w:rFonts w:ascii="Times New Roman" w:hAnsi="Times New Roman" w:cs="Times New Roman"/>
              </w:rPr>
            </w:pPr>
            <w:r>
              <w:rPr>
                <w:rFonts w:ascii="Times New Roman" w:hAnsi="Times New Roman" w:cs="Times New Roman"/>
              </w:rPr>
              <w:t>S</w:t>
            </w:r>
            <w:r w:rsidRPr="00B37D1E">
              <w:rPr>
                <w:rFonts w:ascii="Times New Roman" w:hAnsi="Times New Roman" w:cs="Times New Roman"/>
              </w:rPr>
              <w:t xml:space="preserve">mallpox vaccination </w:t>
            </w:r>
            <w:r w:rsidRPr="00883D4E">
              <w:rPr>
                <w:rFonts w:ascii="Times New Roman" w:hAnsi="Times New Roman" w:cs="Times New Roman"/>
              </w:rPr>
              <w:t>(ACAM2000; Sanofi Pasteur Biologics Co)</w:t>
            </w:r>
          </w:p>
        </w:tc>
        <w:tc>
          <w:tcPr>
            <w:tcW w:w="6210" w:type="dxa"/>
          </w:tcPr>
          <w:p w14:paraId="192F4752" w14:textId="12EA0184" w:rsidR="008C7DAF" w:rsidRPr="00915163" w:rsidRDefault="000C5E4E" w:rsidP="003F30BD">
            <w:pPr>
              <w:jc w:val="both"/>
              <w:rPr>
                <w:rFonts w:ascii="Times New Roman" w:hAnsi="Times New Roman" w:cs="Times New Roman"/>
              </w:rPr>
            </w:pPr>
            <w:r w:rsidRPr="000C5E4E">
              <w:rPr>
                <w:rFonts w:ascii="Times New Roman" w:hAnsi="Times New Roman" w:cs="Times New Roman"/>
              </w:rPr>
              <w:t>In May 2019, a traveler from Nigeria to Singapore was investigated as a confirmed monkeypox case. 8 lower risk contacts and 23 close contacts were found. Smallpox vaccination was made available to close contacts as postexposure prophylaxis. Of the 22 close contacts, 14 chose to receive the immunization, 2 had contraindications, and 6 contacts refused to get vaccinated. On days 6–8 of the review, a scab or ulcer was present in every vaccine recipient. Slight fever and minor swelling at the injection site were side effects, but no serious adverse events were reported.</w:t>
            </w:r>
          </w:p>
        </w:tc>
      </w:tr>
      <w:tr w:rsidR="008C7DAF" w:rsidRPr="00484EFC" w14:paraId="40E39A88" w14:textId="77777777" w:rsidTr="008C7DAF">
        <w:trPr>
          <w:jc w:val="center"/>
        </w:trPr>
        <w:tc>
          <w:tcPr>
            <w:tcW w:w="1620" w:type="dxa"/>
          </w:tcPr>
          <w:p w14:paraId="2B198263" w14:textId="0CBFB0E6" w:rsidR="008C7DAF" w:rsidRPr="00814A04" w:rsidRDefault="008C7DAF" w:rsidP="00C3482E">
            <w:pPr>
              <w:rPr>
                <w:rFonts w:ascii="Times New Roman" w:hAnsi="Times New Roman" w:cs="Times New Roman"/>
              </w:rPr>
            </w:pPr>
            <w:proofErr w:type="spellStart"/>
            <w:r w:rsidRPr="00140AC0">
              <w:rPr>
                <w:rFonts w:ascii="Times New Roman" w:hAnsi="Times New Roman" w:cs="Times New Roman"/>
              </w:rPr>
              <w:t>Bankuru</w:t>
            </w:r>
            <w:proofErr w:type="spellEnd"/>
            <w:r w:rsidRPr="00140AC0">
              <w:rPr>
                <w:rFonts w:ascii="Times New Roman" w:hAnsi="Times New Roman" w:cs="Times New Roman"/>
              </w:rPr>
              <w:t xml:space="preserve"> S</w:t>
            </w:r>
            <w:r>
              <w:rPr>
                <w:rFonts w:ascii="Times New Roman" w:hAnsi="Times New Roman" w:cs="Times New Roman"/>
              </w:rPr>
              <w:t>.</w:t>
            </w:r>
            <w:r w:rsidRPr="00140AC0">
              <w:rPr>
                <w:rFonts w:ascii="Times New Roman" w:hAnsi="Times New Roman" w:cs="Times New Roman"/>
              </w:rPr>
              <w:t>V</w:t>
            </w:r>
            <w:r>
              <w:rPr>
                <w:rFonts w:ascii="Times New Roman" w:hAnsi="Times New Roman" w:cs="Times New Roman"/>
              </w:rPr>
              <w:t>. et al.</w:t>
            </w:r>
            <w:r w:rsidRPr="009617F3">
              <w:rPr>
                <w:rFonts w:ascii="Times New Roman" w:hAnsi="Times New Roman" w:cs="Times New Roman"/>
                <w:vertAlign w:val="superscript"/>
              </w:rPr>
              <w:fldChar w:fldCharType="begin" w:fldLock="1"/>
            </w:r>
            <w:r w:rsidRPr="009617F3">
              <w:rPr>
                <w:rFonts w:ascii="Times New Roman" w:hAnsi="Times New Roman" w:cs="Times New Roman"/>
                <w:vertAlign w:val="superscript"/>
              </w:rPr>
              <w:instrText>ADDIN CSL_CITATION {"citationItems":[{"id":"ITEM-1","itemData":{"DOI":"10.7717/peerj.9272","ISSN":"2167-8359 (Print)","PMID":"32607280","abstract":"Monkeypox (MPX) is a zoonotic disease similar to smallpox. Its fatality rate is  about 11% and it is endemic to the Central and West African countries. In this paper, we analyze a compartmental model of MPX dynamics. Our goal is to see whether MPX can be controlled and eradicated by voluntary vaccinations. We show that there are three equilibria-disease free, fully endemic and previously neglected semi-endemic (with disease existing only among humans). The existence of semi-endemic equilibrium has severe implications should the MPX virus mutate to increased viral fitness in humans. We find that MPX is controllable and can be eradicated in a semi-endemic equilibrium by vaccination. However, in a fully endemic equilibrium, MPX cannot be eradicated by vaccination alone.","author":[{"dropping-particle":"","family":"Bankuru","given":"Sri Vibhaav","non-dropping-particle":"","parse-names":false,"suffix":""},{"dropping-particle":"","family":"Kossol","given":"Samuel","non-dropping-particle":"","parse-names":false,"suffix":""},{"dropping-particle":"","family":"Hou","given":"William","non-dropping-particle":"","parse-names":false,"suffix":""},{"dropping-particle":"","family":"Mahmoudi","given":"Parsa","non-dropping-particle":"","parse-names":false,"suffix":""},{"dropping-particle":"","family":"Rychtář","given":"Jan","non-dropping-particle":"","parse-names":false,"suffix":""},{"dropping-particle":"","family":"Taylor","given":"Dewey","non-dropping-particle":"","parse-names":false,"suffix":""}],"container-title":"PeerJ","id":"ITEM-1","issued":{"date-parts":[["2020"]]},"language":"eng","page":"e9272","title":"A game-theoretic model of Monkeypox to assess vaccination strategies.","type":"article-journal","volume":"8"},"uris":["http://www.mendeley.com/documents/?uuid=b302c025-8df4-442d-8f62-f5607722a8b6"]}],"mendeley":{"formattedCitation":"(20)","plainTextFormattedCitation":"(20)","previouslyFormattedCitation":"(20)"},"properties":{"noteIndex":0},"schema":"https://github.com/citation-style-language/schema/raw/master/csl-citation.json"}</w:instrText>
            </w:r>
            <w:r w:rsidRPr="009617F3">
              <w:rPr>
                <w:rFonts w:ascii="Times New Roman" w:hAnsi="Times New Roman" w:cs="Times New Roman"/>
                <w:vertAlign w:val="superscript"/>
              </w:rPr>
              <w:fldChar w:fldCharType="separate"/>
            </w:r>
            <w:r w:rsidRPr="009617F3">
              <w:rPr>
                <w:rFonts w:ascii="Times New Roman" w:hAnsi="Times New Roman" w:cs="Times New Roman"/>
                <w:noProof/>
                <w:vertAlign w:val="superscript"/>
              </w:rPr>
              <w:t>(20)</w:t>
            </w:r>
            <w:r w:rsidRPr="009617F3">
              <w:rPr>
                <w:rFonts w:ascii="Times New Roman" w:hAnsi="Times New Roman" w:cs="Times New Roman"/>
                <w:vertAlign w:val="superscript"/>
              </w:rPr>
              <w:fldChar w:fldCharType="end"/>
            </w:r>
          </w:p>
        </w:tc>
        <w:tc>
          <w:tcPr>
            <w:tcW w:w="1440" w:type="dxa"/>
          </w:tcPr>
          <w:p w14:paraId="0CABC76A" w14:textId="33304A3D" w:rsidR="008C7DAF" w:rsidRPr="00814A04" w:rsidRDefault="008C7DAF" w:rsidP="00C3482E">
            <w:pPr>
              <w:rPr>
                <w:rFonts w:ascii="Times New Roman" w:hAnsi="Times New Roman" w:cs="Times New Roman"/>
              </w:rPr>
            </w:pPr>
            <w:r w:rsidRPr="00814A04">
              <w:rPr>
                <w:rFonts w:ascii="Times New Roman" w:hAnsi="Times New Roman" w:cs="Times New Roman"/>
              </w:rPr>
              <w:t>2020</w:t>
            </w:r>
          </w:p>
        </w:tc>
        <w:tc>
          <w:tcPr>
            <w:tcW w:w="1535" w:type="dxa"/>
          </w:tcPr>
          <w:p w14:paraId="350DF0DF" w14:textId="50BB8CEF" w:rsidR="008C7DAF" w:rsidRPr="00162A7F" w:rsidRDefault="008C7DAF" w:rsidP="003F30BD">
            <w:pPr>
              <w:jc w:val="both"/>
              <w:rPr>
                <w:rFonts w:ascii="Times New Roman" w:hAnsi="Times New Roman" w:cs="Times New Roman"/>
              </w:rPr>
            </w:pPr>
            <w:r w:rsidRPr="00162A7F">
              <w:rPr>
                <w:rFonts w:ascii="Times New Roman" w:hAnsi="Times New Roman" w:cs="Times New Roman"/>
              </w:rPr>
              <w:t>Compartmental epidemiological model, game theory approach</w:t>
            </w:r>
          </w:p>
        </w:tc>
        <w:tc>
          <w:tcPr>
            <w:tcW w:w="1203" w:type="dxa"/>
          </w:tcPr>
          <w:p w14:paraId="72DE59CD" w14:textId="21AA5229" w:rsidR="008C7DAF" w:rsidRPr="00814A04" w:rsidRDefault="008C7DAF" w:rsidP="003F30BD">
            <w:pPr>
              <w:jc w:val="both"/>
              <w:rPr>
                <w:rFonts w:ascii="Times New Roman" w:hAnsi="Times New Roman" w:cs="Times New Roman"/>
              </w:rPr>
            </w:pPr>
            <w:r>
              <w:rPr>
                <w:rFonts w:ascii="Times New Roman" w:hAnsi="Times New Roman" w:cs="Times New Roman"/>
              </w:rPr>
              <w:t>W</w:t>
            </w:r>
            <w:r w:rsidRPr="00814A04">
              <w:rPr>
                <w:rFonts w:ascii="Times New Roman" w:hAnsi="Times New Roman" w:cs="Times New Roman"/>
              </w:rPr>
              <w:t>orldwide</w:t>
            </w:r>
          </w:p>
        </w:tc>
        <w:tc>
          <w:tcPr>
            <w:tcW w:w="1402" w:type="dxa"/>
          </w:tcPr>
          <w:p w14:paraId="22645304" w14:textId="640CF7D2" w:rsidR="008C7DAF" w:rsidRPr="00814A04" w:rsidRDefault="008C7DAF" w:rsidP="003F30BD">
            <w:pPr>
              <w:jc w:val="both"/>
              <w:rPr>
                <w:rFonts w:ascii="Times New Roman" w:hAnsi="Times New Roman" w:cs="Times New Roman"/>
              </w:rPr>
            </w:pPr>
            <w:r>
              <w:rPr>
                <w:rFonts w:ascii="Times New Roman" w:hAnsi="Times New Roman" w:cs="Times New Roman"/>
              </w:rPr>
              <w:t>Smallpox vaccine</w:t>
            </w:r>
          </w:p>
        </w:tc>
        <w:tc>
          <w:tcPr>
            <w:tcW w:w="6210" w:type="dxa"/>
          </w:tcPr>
          <w:p w14:paraId="5727EF8D" w14:textId="7CC822E2" w:rsidR="008C7DAF" w:rsidRPr="00814A04" w:rsidRDefault="0029798A" w:rsidP="003F30BD">
            <w:pPr>
              <w:jc w:val="both"/>
              <w:rPr>
                <w:rFonts w:ascii="Times New Roman" w:hAnsi="Times New Roman" w:cs="Times New Roman"/>
              </w:rPr>
            </w:pPr>
            <w:r w:rsidRPr="0029798A">
              <w:rPr>
                <w:rFonts w:ascii="Times New Roman" w:hAnsi="Times New Roman" w:cs="Times New Roman"/>
              </w:rPr>
              <w:t>To evaluate vaccination decision-making, a game-theoretical approach was used. The model quantifies the smallpox vaccine's costs and advantages. This study determined that the ideal vaccination rate is approximately 0.04, meaning people should get vaccinated once every 25 years. Additionally, they discovered that</w:t>
            </w:r>
            <w:r w:rsidR="00676F7D">
              <w:rPr>
                <w:rFonts w:ascii="Times New Roman" w:hAnsi="Times New Roman" w:cs="Times New Roman"/>
              </w:rPr>
              <w:t xml:space="preserve"> monkeypox disease</w:t>
            </w:r>
            <w:r w:rsidRPr="0029798A">
              <w:rPr>
                <w:rFonts w:ascii="Times New Roman" w:hAnsi="Times New Roman" w:cs="Times New Roman"/>
              </w:rPr>
              <w:t xml:space="preserve"> is</w:t>
            </w:r>
            <w:r w:rsidR="00676F7D">
              <w:rPr>
                <w:rFonts w:ascii="Times New Roman" w:hAnsi="Times New Roman" w:cs="Times New Roman"/>
              </w:rPr>
              <w:t xml:space="preserve"> preventable</w:t>
            </w:r>
            <w:r w:rsidRPr="0029798A">
              <w:rPr>
                <w:rFonts w:ascii="Times New Roman" w:hAnsi="Times New Roman" w:cs="Times New Roman"/>
              </w:rPr>
              <w:t xml:space="preserve"> and can be eliminated through vaccination in a semi-endemic equilibrium. </w:t>
            </w:r>
            <w:r w:rsidRPr="001239C8">
              <w:rPr>
                <w:rFonts w:ascii="Times New Roman" w:hAnsi="Times New Roman" w:cs="Times New Roman"/>
              </w:rPr>
              <w:t xml:space="preserve">However, vaccination alone cannot wholly eradicate </w:t>
            </w:r>
            <w:r w:rsidR="00676F7D">
              <w:rPr>
                <w:rFonts w:ascii="Times New Roman" w:hAnsi="Times New Roman" w:cs="Times New Roman"/>
              </w:rPr>
              <w:t>monkeypox</w:t>
            </w:r>
            <w:r w:rsidRPr="001239C8">
              <w:rPr>
                <w:rFonts w:ascii="Times New Roman" w:hAnsi="Times New Roman" w:cs="Times New Roman"/>
              </w:rPr>
              <w:t xml:space="preserve"> in an equilibrium where it is entirely endemic.</w:t>
            </w:r>
          </w:p>
        </w:tc>
      </w:tr>
      <w:tr w:rsidR="008C7DAF" w:rsidRPr="00484EFC" w14:paraId="15644DC0" w14:textId="77777777" w:rsidTr="008C7DAF">
        <w:trPr>
          <w:jc w:val="center"/>
        </w:trPr>
        <w:tc>
          <w:tcPr>
            <w:tcW w:w="1620" w:type="dxa"/>
          </w:tcPr>
          <w:p w14:paraId="304AA6A3" w14:textId="268BA918" w:rsidR="008C7DAF" w:rsidRPr="00140AC0" w:rsidRDefault="008C7DAF" w:rsidP="004F6634">
            <w:pPr>
              <w:rPr>
                <w:rFonts w:ascii="Times New Roman" w:hAnsi="Times New Roman" w:cs="Times New Roman"/>
              </w:rPr>
            </w:pPr>
            <w:r>
              <w:rPr>
                <w:rFonts w:ascii="Times New Roman" w:hAnsi="Times New Roman" w:cs="Times New Roman"/>
              </w:rPr>
              <w:t>Whitehouse</w:t>
            </w:r>
            <w:r w:rsidRPr="00484EFC">
              <w:rPr>
                <w:rFonts w:ascii="Times New Roman" w:hAnsi="Times New Roman" w:cs="Times New Roman"/>
              </w:rPr>
              <w:t xml:space="preserve"> E. R. et al.</w:t>
            </w:r>
            <w:r w:rsidRPr="009617F3">
              <w:rPr>
                <w:rFonts w:ascii="Times New Roman" w:hAnsi="Times New Roman" w:cs="Times New Roman"/>
                <w:vertAlign w:val="superscript"/>
              </w:rPr>
              <w:fldChar w:fldCharType="begin" w:fldLock="1"/>
            </w:r>
            <w:r w:rsidRPr="009617F3">
              <w:rPr>
                <w:rFonts w:ascii="Times New Roman" w:hAnsi="Times New Roman" w:cs="Times New Roman"/>
                <w:vertAlign w:val="superscript"/>
              </w:rPr>
              <w:instrText>ADDIN CSL_CITATION {"citationItems":[{"id":"ITEM-1","itemData":{"DOI":"10.1093/infdis/jiab133","ISSN":"1537-6613 (Electronic)","PMID":"33728469","abstract":"BACKGROUND: Monkeypox is a poorly described emerging zoonosis endemic to Central  and Western Africa. METHODS: Using surveillance data from Tshuapa Province, Democratic Republic of the Congo during 2011-2015, we evaluated differences in incidence, exposures, and clinical presentation of polymerase chain reaction-confirmed cases by sex and age. RESULTS: We report 1057 confirmed cases. The average annual incidence was 14.1 per 100 000 (95% confidence interval, 13.3-15.0). The incidence was higher in male patients (incidence rate ratio comparing males to females, 1.21; 95% confidence interval, 1.07-1.37), except among those 20-29 years old (0.70; .51-.95). Females aged 20-29 years also reported a high frequency of exposures (26.2%) to people with monkeypox-like symptoms.The highest incidence was among 10-19-year-old males, the cohort reporting the highest proportion of animal exposures (37.5%). The incidence was lower among those presumed to have received smallpox vaccination than among those presumed unvaccinated. No differences were observed by age group in lesion count or lesion severity score. CONCLUSIONS: Monkeypox incidence was twice that reported during 1980-1985, an increase possibly linked to declining immunity provided by smallpox vaccination. The high proportion of cases attributed to human exposures suggests changing exposure patterns. Cases were distributed across age and sex, suggesting frequent exposures that follow sociocultural norms.","author":[{"dropping-particle":"","family":"Whitehouse","given":"Erin R","non-dropping-particle":"","parse-names":false,"suffix":""},{"dropping-particle":"","family":"Bonwitt","given":"Jesse","non-dropping-particle":"","parse-names":false,"suffix":""},{"dropping-particle":"","family":"Hughes","given":"Christine M","non-dropping-particle":"","parse-names":false,"suffix":""},{"dropping-particle":"","family":"Lushima","given":"Robert Shongo","non-dropping-particle":"","parse-names":false,"suffix":""},{"dropping-particle":"","family":"Likafi","given":"Toutou","non-dropping-particle":"","parse-names":false,"suffix":""},{"dropping-particle":"","family":"Nguete","given":"Beatrice","non-dropping-particle":"","parse-names":false,"suffix":""},{"dropping-particle":"","family":"Kabamba","given":"Joelle","non-dropping-particle":"","parse-names":false,"suffix":""},{"dropping-particle":"","family":"Monroe","given":"Benjamin","non-dropping-particle":"","parse-names":false,"suffix":""},{"dropping-particle":"","family":"Doty","given":"Jeffrey B","non-dropping-particle":"","parse-names":false,"suffix":""},{"dropping-particle":"","family":"Nakazawa","given":"Yoshinori","non-dropping-particle":"","parse-names":false,"suffix":""},{"dropping-particle":"","family":"Damon","given":"Inger","non-dropping-particle":"","parse-names":false,"suffix":""},{"dropping-particle":"","family":"Malekani","given":"Jean","non-dropping-particle":"","parse-names":false,"suffix":""},{"dropping-particle":"","family":"Davidson","given":"Whitni","non-dropping-particle":"","parse-names":false,"suffix":""},{"dropping-particle":"","family":"Wilkins","given":"Kimberly","non-dropping-particle":"","parse-names":false,"suffix":""},{"dropping-particle":"","family":"Li","given":"Yu","non-dropping-particle":"","parse-names":false,"suffix":""},{"dropping-particle":"","family":"Radford","given":"Kay W","non-dropping-particle":"","parse-names":false,"suffix":""},{"dropping-particle":"","family":"Schmid","given":"D Scott","non-dropping-particle":"","parse-names":false,"suffix":""},{"dropping-particle":"","family":"Pukuta","given":"Elisabeth","non-dropping-particle":"","parse-names":false,"suffix":""},{"dropping-particle":"","family":"Muyamuna","given":"Elisabeth","non-dropping-particle":"","parse-names":false,"suffix":""},{"dropping-particle":"","family":"Karhemere","given":"Stomy","non-dropping-particle":"","parse-names":false,"suffix":""},{"dropping-particle":"","family":"Tamfum","given":"Jean-Jacques Muyembe","non-dropping-particle":"","parse-names":false,"suffix":""},{"dropping-particle":"","family":"Okitolonda","given":"Emile Wemakoy","non-dropping-particle":"","parse-names":false,"suffix":""},{"dropping-particle":"","family":"McCollum","given":"Andrea M","non-dropping-particle":"","parse-names":false,"suffix":""},{"dropping-particle":"","family":"Reynolds","given":"Mary G","non-dropping-particle":"","parse-names":false,"suffix":""}],"container-title":"The Journal of infectious diseases","id":"ITEM-1","issue":"11","issued":{"date-parts":[["2021","6"]]},"language":"eng","page":"1870-1878","publisher-place":"United States","title":"Clinical and Epidemiological Findings from Enhanced Monkeypox Surveillance in  Tshuapa Province, Democratic Republic of the Congo During 2011-2015.","type":"article-journal","volume":"223"},"uris":["http://www.mendeley.com/documents/?uuid=daf136d1-43c6-4155-b597-bf418beef3c5"]}],"mendeley":{"formattedCitation":"(21)","plainTextFormattedCitation":"(21)","previouslyFormattedCitation":"(21)"},"properties":{"noteIndex":0},"schema":"https://github.com/citation-style-language/schema/raw/master/csl-citation.json"}</w:instrText>
            </w:r>
            <w:r w:rsidRPr="009617F3">
              <w:rPr>
                <w:rFonts w:ascii="Times New Roman" w:hAnsi="Times New Roman" w:cs="Times New Roman"/>
                <w:vertAlign w:val="superscript"/>
              </w:rPr>
              <w:fldChar w:fldCharType="separate"/>
            </w:r>
            <w:r w:rsidRPr="009617F3">
              <w:rPr>
                <w:rFonts w:ascii="Times New Roman" w:hAnsi="Times New Roman" w:cs="Times New Roman"/>
                <w:noProof/>
                <w:vertAlign w:val="superscript"/>
              </w:rPr>
              <w:t>(21)</w:t>
            </w:r>
            <w:r w:rsidRPr="009617F3">
              <w:rPr>
                <w:rFonts w:ascii="Times New Roman" w:hAnsi="Times New Roman" w:cs="Times New Roman"/>
                <w:vertAlign w:val="superscript"/>
              </w:rPr>
              <w:fldChar w:fldCharType="end"/>
            </w:r>
          </w:p>
        </w:tc>
        <w:tc>
          <w:tcPr>
            <w:tcW w:w="1440" w:type="dxa"/>
          </w:tcPr>
          <w:p w14:paraId="3AE77CA1" w14:textId="0455AA7D" w:rsidR="008C7DAF" w:rsidRPr="00814A04" w:rsidRDefault="008C7DAF" w:rsidP="004F6634">
            <w:pPr>
              <w:rPr>
                <w:rFonts w:ascii="Times New Roman" w:hAnsi="Times New Roman" w:cs="Times New Roman"/>
              </w:rPr>
            </w:pPr>
            <w:r w:rsidRPr="00484EFC">
              <w:rPr>
                <w:rFonts w:ascii="Times New Roman" w:hAnsi="Times New Roman" w:cs="Times New Roman"/>
              </w:rPr>
              <w:t>20</w:t>
            </w:r>
            <w:r>
              <w:rPr>
                <w:rFonts w:ascii="Times New Roman" w:hAnsi="Times New Roman" w:cs="Times New Roman"/>
              </w:rPr>
              <w:t>21</w:t>
            </w:r>
          </w:p>
        </w:tc>
        <w:tc>
          <w:tcPr>
            <w:tcW w:w="1535" w:type="dxa"/>
          </w:tcPr>
          <w:p w14:paraId="5DA50CEB" w14:textId="657A27D1" w:rsidR="008C7DAF" w:rsidRDefault="008C7DAF" w:rsidP="003F30BD">
            <w:pPr>
              <w:jc w:val="both"/>
              <w:rPr>
                <w:rFonts w:ascii="Times New Roman" w:hAnsi="Times New Roman" w:cs="Times New Roman"/>
              </w:rPr>
            </w:pPr>
            <w:r>
              <w:rPr>
                <w:rFonts w:ascii="Times New Roman" w:hAnsi="Times New Roman" w:cs="Times New Roman"/>
              </w:rPr>
              <w:t>S</w:t>
            </w:r>
            <w:r w:rsidRPr="00484EFC">
              <w:rPr>
                <w:rFonts w:ascii="Times New Roman" w:hAnsi="Times New Roman" w:cs="Times New Roman"/>
              </w:rPr>
              <w:t xml:space="preserve">urveillance </w:t>
            </w:r>
          </w:p>
        </w:tc>
        <w:tc>
          <w:tcPr>
            <w:tcW w:w="1203" w:type="dxa"/>
          </w:tcPr>
          <w:p w14:paraId="1FED8ACF" w14:textId="1A5675CA" w:rsidR="008C7DAF" w:rsidRDefault="008C7DAF" w:rsidP="003F30BD">
            <w:pPr>
              <w:jc w:val="both"/>
              <w:rPr>
                <w:rFonts w:ascii="Times New Roman" w:hAnsi="Times New Roman" w:cs="Times New Roman"/>
              </w:rPr>
            </w:pPr>
            <w:r w:rsidRPr="00484EFC">
              <w:rPr>
                <w:rFonts w:ascii="Times New Roman" w:hAnsi="Times New Roman" w:cs="Times New Roman"/>
              </w:rPr>
              <w:t>Democratic Republic of the Congo</w:t>
            </w:r>
          </w:p>
        </w:tc>
        <w:tc>
          <w:tcPr>
            <w:tcW w:w="1402" w:type="dxa"/>
          </w:tcPr>
          <w:p w14:paraId="76F2EF34" w14:textId="01F17957" w:rsidR="008C7DAF" w:rsidRDefault="008C7DAF" w:rsidP="003F30BD">
            <w:pPr>
              <w:jc w:val="both"/>
              <w:rPr>
                <w:rFonts w:ascii="Times New Roman" w:hAnsi="Times New Roman" w:cs="Times New Roman"/>
              </w:rPr>
            </w:pPr>
            <w:r>
              <w:rPr>
                <w:rFonts w:ascii="Times New Roman" w:hAnsi="Times New Roman" w:cs="Times New Roman"/>
              </w:rPr>
              <w:t>Smallpox vaccine</w:t>
            </w:r>
          </w:p>
        </w:tc>
        <w:tc>
          <w:tcPr>
            <w:tcW w:w="6210" w:type="dxa"/>
          </w:tcPr>
          <w:p w14:paraId="60CF8D15" w14:textId="51C1B81F" w:rsidR="008C7DAF" w:rsidRPr="006C4ED4" w:rsidRDefault="00DF2F52" w:rsidP="003F30BD">
            <w:pPr>
              <w:jc w:val="both"/>
              <w:rPr>
                <w:rFonts w:ascii="Times New Roman" w:hAnsi="Times New Roman" w:cs="Times New Roman"/>
              </w:rPr>
            </w:pPr>
            <w:r w:rsidRPr="00DF2F52">
              <w:rPr>
                <w:rFonts w:ascii="Times New Roman" w:hAnsi="Times New Roman" w:cs="Times New Roman"/>
              </w:rPr>
              <w:t xml:space="preserve">The incidence among confirmed case patients was nearly three times greater (16.4 per 100 000) among those assumed to be unvaccinated than those assumed to be vaccinated (6.0 per 100 000). The incidence among those who were assumed to have had vaccinations was similar to that in the </w:t>
            </w:r>
            <w:proofErr w:type="spellStart"/>
            <w:r w:rsidRPr="00DF2F52">
              <w:rPr>
                <w:rFonts w:ascii="Times New Roman" w:hAnsi="Times New Roman" w:cs="Times New Roman"/>
              </w:rPr>
              <w:t>Bumba</w:t>
            </w:r>
            <w:proofErr w:type="spellEnd"/>
            <w:r w:rsidRPr="00DF2F52">
              <w:rPr>
                <w:rFonts w:ascii="Times New Roman" w:hAnsi="Times New Roman" w:cs="Times New Roman"/>
              </w:rPr>
              <w:t xml:space="preserve"> zone between 1981 and 1985 (6.3 per 100 000). These results support earlier studies that suggested a degree of cross-protection against monkeypox might be conferred by historical vaccination against smallpox.</w:t>
            </w:r>
          </w:p>
        </w:tc>
      </w:tr>
      <w:tr w:rsidR="008C7DAF" w:rsidRPr="00484EFC" w14:paraId="770B7E2F" w14:textId="77777777" w:rsidTr="008C7DAF">
        <w:trPr>
          <w:jc w:val="center"/>
        </w:trPr>
        <w:tc>
          <w:tcPr>
            <w:tcW w:w="1620" w:type="dxa"/>
          </w:tcPr>
          <w:p w14:paraId="56DA682D" w14:textId="2BEF74ED" w:rsidR="008C7DAF" w:rsidRPr="00140AC0" w:rsidRDefault="008C7DAF" w:rsidP="004F6634">
            <w:pPr>
              <w:rPr>
                <w:rFonts w:ascii="Times New Roman" w:hAnsi="Times New Roman" w:cs="Times New Roman"/>
              </w:rPr>
            </w:pPr>
            <w:r w:rsidRPr="00484EFC">
              <w:rPr>
                <w:rFonts w:ascii="Times New Roman" w:hAnsi="Times New Roman" w:cs="Times New Roman"/>
              </w:rPr>
              <w:t>Nguyen, P.Y. et al.</w:t>
            </w:r>
            <w:r w:rsidRPr="009617F3">
              <w:rPr>
                <w:rFonts w:ascii="Times New Roman" w:hAnsi="Times New Roman" w:cs="Times New Roman"/>
                <w:vertAlign w:val="superscript"/>
              </w:rPr>
              <w:fldChar w:fldCharType="begin" w:fldLock="1"/>
            </w:r>
            <w:r w:rsidRPr="009617F3">
              <w:rPr>
                <w:rFonts w:ascii="Times New Roman" w:hAnsi="Times New Roman" w:cs="Times New Roman"/>
                <w:vertAlign w:val="superscript"/>
              </w:rPr>
              <w:instrText>ADDIN CSL_CITATION {"citationItems":[{"id":"ITEM-1","itemData":{"DOI":"10.3201/eid2704.203569","ISSN":"1080-6059 (Electronic)","PMID":"33756100","abstract":"A monkeypox outbreak in Nigeria during 2017-2020 provides an illustrative case  study for emerging zoonoses. We built a statistical model to simulate declining immunity from monkeypox at 2 levels: At the individual level, we used a constant rate of decline in immunity of 1.29% per year as smallpox vaccination rates fell. At the population level, the cohort of vaccinated residents decreased over time because of deaths and births. By 2016, only 10.1% of the total population in Nigeria was vaccinated against smallpox; the serologic immunity level was 25.7% among vaccinated persons and 2.6% in the overall population. The substantial resurgence of monkeypox in Nigeria in 2017 appears to have been driven by a combination of population growth, accumulation of unvaccinated cohorts, and decline in smallpox vaccine immunity. The expanding unvaccinated population means that entire households, not just children, are now more susceptible to monkeypox, increasing risk of human-to-human transmission.","author":[{"dropping-particle":"","family":"Nguyen","given":"Phi-Yen","non-dropping-particle":"","parse-names":false,"suffix":""},{"dropping-particle":"","family":"Ajisegiri","given":"Whenayon Simeon","non-dropping-particle":"","parse-names":false,"suffix":""},{"dropping-particle":"","family":"Costantino","given":"Valentina","non-dropping-particle":"","parse-names":false,"suffix":""},{"dropping-particle":"","family":"Chughtai","given":"Abrar A","non-dropping-particle":"","parse-names":false,"suffix":""},{"dropping-particle":"","family":"MacIntyre","given":"C Raina","non-dropping-particle":"","parse-names":false,"suffix":""}],"container-title":"Emerging infectious diseases","id":"ITEM-1","issue":"4","issued":{"date-parts":[["2021","4"]]},"language":"eng","page":"1007-1014","title":"Reemergence of Human Monkeypox and Declining Population Immunity in the Context  of Urbanization, Nigeria, 2017-2020.","type":"article-journal","volume":"27"},"uris":["http://www.mendeley.com/documents/?uuid=05ccad05-4c12-4218-a64f-7f76712ad15d"]}],"mendeley":{"formattedCitation":"(22)","plainTextFormattedCitation":"(22)","previouslyFormattedCitation":"(22)"},"properties":{"noteIndex":0},"schema":"https://github.com/citation-style-language/schema/raw/master/csl-citation.json"}</w:instrText>
            </w:r>
            <w:r w:rsidRPr="009617F3">
              <w:rPr>
                <w:rFonts w:ascii="Times New Roman" w:hAnsi="Times New Roman" w:cs="Times New Roman"/>
                <w:vertAlign w:val="superscript"/>
              </w:rPr>
              <w:fldChar w:fldCharType="separate"/>
            </w:r>
            <w:r w:rsidRPr="009617F3">
              <w:rPr>
                <w:rFonts w:ascii="Times New Roman" w:hAnsi="Times New Roman" w:cs="Times New Roman"/>
                <w:noProof/>
                <w:vertAlign w:val="superscript"/>
              </w:rPr>
              <w:t>(22)</w:t>
            </w:r>
            <w:r w:rsidRPr="009617F3">
              <w:rPr>
                <w:rFonts w:ascii="Times New Roman" w:hAnsi="Times New Roman" w:cs="Times New Roman"/>
                <w:vertAlign w:val="superscript"/>
              </w:rPr>
              <w:fldChar w:fldCharType="end"/>
            </w:r>
          </w:p>
        </w:tc>
        <w:tc>
          <w:tcPr>
            <w:tcW w:w="1440" w:type="dxa"/>
          </w:tcPr>
          <w:p w14:paraId="13DB6A01" w14:textId="7D0CE405" w:rsidR="008C7DAF" w:rsidRPr="00814A04" w:rsidRDefault="008C7DAF" w:rsidP="004F6634">
            <w:pPr>
              <w:rPr>
                <w:rFonts w:ascii="Times New Roman" w:hAnsi="Times New Roman" w:cs="Times New Roman"/>
              </w:rPr>
            </w:pPr>
            <w:r w:rsidRPr="00484EFC">
              <w:rPr>
                <w:rFonts w:ascii="Times New Roman" w:hAnsi="Times New Roman" w:cs="Times New Roman"/>
              </w:rPr>
              <w:t>20</w:t>
            </w:r>
            <w:r>
              <w:rPr>
                <w:rFonts w:ascii="Times New Roman" w:hAnsi="Times New Roman" w:cs="Times New Roman"/>
              </w:rPr>
              <w:t>21</w:t>
            </w:r>
          </w:p>
        </w:tc>
        <w:tc>
          <w:tcPr>
            <w:tcW w:w="1535" w:type="dxa"/>
          </w:tcPr>
          <w:p w14:paraId="637E722A" w14:textId="72947DC3" w:rsidR="008C7DAF" w:rsidRDefault="008C7DAF" w:rsidP="003F30BD">
            <w:pPr>
              <w:jc w:val="both"/>
              <w:rPr>
                <w:rFonts w:ascii="Times New Roman" w:hAnsi="Times New Roman" w:cs="Times New Roman"/>
              </w:rPr>
            </w:pPr>
            <w:r>
              <w:rPr>
                <w:rFonts w:ascii="Times New Roman" w:hAnsi="Times New Roman" w:cs="Times New Roman"/>
              </w:rPr>
              <w:t xml:space="preserve">Review of </w:t>
            </w:r>
            <w:r w:rsidRPr="00077A9A">
              <w:rPr>
                <w:rFonts w:ascii="Times New Roman" w:hAnsi="Times New Roman" w:cs="Times New Roman"/>
              </w:rPr>
              <w:t>retrieved</w:t>
            </w:r>
            <w:r>
              <w:rPr>
                <w:rFonts w:ascii="Times New Roman" w:hAnsi="Times New Roman" w:cs="Times New Roman"/>
              </w:rPr>
              <w:t xml:space="preserve"> </w:t>
            </w:r>
            <w:r w:rsidRPr="00077A9A">
              <w:rPr>
                <w:rFonts w:ascii="Times New Roman" w:hAnsi="Times New Roman" w:cs="Times New Roman"/>
              </w:rPr>
              <w:t>epidemiologi</w:t>
            </w:r>
            <w:r>
              <w:rPr>
                <w:rFonts w:ascii="Times New Roman" w:hAnsi="Times New Roman" w:cs="Times New Roman"/>
              </w:rPr>
              <w:t xml:space="preserve">c </w:t>
            </w:r>
            <w:r w:rsidRPr="00077A9A">
              <w:rPr>
                <w:rFonts w:ascii="Times New Roman" w:hAnsi="Times New Roman" w:cs="Times New Roman"/>
              </w:rPr>
              <w:t>and</w:t>
            </w:r>
            <w:r>
              <w:rPr>
                <w:rFonts w:ascii="Times New Roman" w:hAnsi="Times New Roman" w:cs="Times New Roman"/>
              </w:rPr>
              <w:t xml:space="preserve"> </w:t>
            </w:r>
            <w:r w:rsidRPr="00077A9A">
              <w:rPr>
                <w:rFonts w:ascii="Times New Roman" w:hAnsi="Times New Roman" w:cs="Times New Roman"/>
              </w:rPr>
              <w:t>demographic</w:t>
            </w:r>
            <w:r>
              <w:rPr>
                <w:rFonts w:ascii="Times New Roman" w:hAnsi="Times New Roman" w:cs="Times New Roman"/>
              </w:rPr>
              <w:t xml:space="preserve"> </w:t>
            </w:r>
            <w:r w:rsidRPr="00077A9A">
              <w:rPr>
                <w:rFonts w:ascii="Times New Roman" w:hAnsi="Times New Roman" w:cs="Times New Roman"/>
              </w:rPr>
              <w:t>data from monthly and</w:t>
            </w:r>
            <w:r>
              <w:rPr>
                <w:rFonts w:ascii="Times New Roman" w:hAnsi="Times New Roman" w:cs="Times New Roman"/>
              </w:rPr>
              <w:t xml:space="preserve"> </w:t>
            </w:r>
            <w:r w:rsidRPr="00077A9A">
              <w:rPr>
                <w:rFonts w:ascii="Times New Roman" w:hAnsi="Times New Roman" w:cs="Times New Roman"/>
              </w:rPr>
              <w:t>weekly</w:t>
            </w:r>
            <w:r>
              <w:rPr>
                <w:rFonts w:ascii="Times New Roman" w:hAnsi="Times New Roman" w:cs="Times New Roman"/>
              </w:rPr>
              <w:t xml:space="preserve"> </w:t>
            </w:r>
            <w:r>
              <w:rPr>
                <w:rFonts w:ascii="Times New Roman" w:hAnsi="Times New Roman" w:cs="Times New Roman"/>
              </w:rPr>
              <w:lastRenderedPageBreak/>
              <w:t>e</w:t>
            </w:r>
            <w:r w:rsidRPr="00077A9A">
              <w:rPr>
                <w:rFonts w:ascii="Times New Roman" w:hAnsi="Times New Roman" w:cs="Times New Roman"/>
              </w:rPr>
              <w:t>pidemiologi</w:t>
            </w:r>
            <w:r>
              <w:rPr>
                <w:rFonts w:ascii="Times New Roman" w:hAnsi="Times New Roman" w:cs="Times New Roman"/>
              </w:rPr>
              <w:t xml:space="preserve">c </w:t>
            </w:r>
            <w:r w:rsidRPr="00077A9A">
              <w:rPr>
                <w:rFonts w:ascii="Times New Roman" w:hAnsi="Times New Roman" w:cs="Times New Roman"/>
              </w:rPr>
              <w:t>reports</w:t>
            </w:r>
          </w:p>
        </w:tc>
        <w:tc>
          <w:tcPr>
            <w:tcW w:w="1203" w:type="dxa"/>
          </w:tcPr>
          <w:p w14:paraId="04EEB23E" w14:textId="45A99C0C" w:rsidR="008C7DAF" w:rsidRDefault="008C7DAF" w:rsidP="003F30BD">
            <w:pPr>
              <w:jc w:val="both"/>
              <w:rPr>
                <w:rFonts w:ascii="Times New Roman" w:hAnsi="Times New Roman" w:cs="Times New Roman"/>
              </w:rPr>
            </w:pPr>
            <w:r w:rsidRPr="00B0628C">
              <w:rPr>
                <w:rFonts w:ascii="Times New Roman" w:hAnsi="Times New Roman" w:cs="Times New Roman"/>
              </w:rPr>
              <w:lastRenderedPageBreak/>
              <w:t>Nigeria</w:t>
            </w:r>
          </w:p>
        </w:tc>
        <w:tc>
          <w:tcPr>
            <w:tcW w:w="1402" w:type="dxa"/>
          </w:tcPr>
          <w:p w14:paraId="5438A719" w14:textId="16D45C17" w:rsidR="008C7DAF" w:rsidRDefault="008C7DAF" w:rsidP="003F30BD">
            <w:pPr>
              <w:jc w:val="both"/>
              <w:rPr>
                <w:rFonts w:ascii="Times New Roman" w:hAnsi="Times New Roman" w:cs="Times New Roman"/>
              </w:rPr>
            </w:pPr>
            <w:r>
              <w:rPr>
                <w:rFonts w:ascii="Times New Roman" w:hAnsi="Times New Roman" w:cs="Times New Roman"/>
              </w:rPr>
              <w:t xml:space="preserve">Smallpox vaccine </w:t>
            </w:r>
          </w:p>
        </w:tc>
        <w:tc>
          <w:tcPr>
            <w:tcW w:w="6210" w:type="dxa"/>
          </w:tcPr>
          <w:p w14:paraId="1C6F5B3A" w14:textId="71F7BC6B" w:rsidR="008C7DAF" w:rsidRPr="006C4ED4" w:rsidRDefault="00DF2F52" w:rsidP="003F30BD">
            <w:pPr>
              <w:jc w:val="both"/>
              <w:rPr>
                <w:rFonts w:ascii="Times New Roman" w:hAnsi="Times New Roman" w:cs="Times New Roman"/>
              </w:rPr>
            </w:pPr>
            <w:r w:rsidRPr="00DF2F52">
              <w:rPr>
                <w:rFonts w:ascii="Times New Roman" w:hAnsi="Times New Roman" w:cs="Times New Roman"/>
              </w:rPr>
              <w:t xml:space="preserve">Only 10.1% of Nigeria's population had received the smallpox vaccine as of 2016, and the serologic immunity level was 25.7% among those who had received the vaccination compared to 2.6% in the general population. Using the expected linear rate of decline over time from vaccination, the cross-immunity protection for monkeypox of 85% of smallpox vaccination decreased to just 23.1% among those who received it. Epidemiological data suggest that having received a smallpox vaccination in the past offers at least </w:t>
            </w:r>
            <w:r w:rsidRPr="00DF2F52">
              <w:rPr>
                <w:rFonts w:ascii="Times New Roman" w:hAnsi="Times New Roman" w:cs="Times New Roman"/>
              </w:rPr>
              <w:lastRenderedPageBreak/>
              <w:t>some protection against serious</w:t>
            </w:r>
            <w:r w:rsidR="00C6699C">
              <w:rPr>
                <w:rFonts w:ascii="Times New Roman" w:hAnsi="Times New Roman" w:cs="Times New Roman"/>
              </w:rPr>
              <w:t xml:space="preserve"> monkeypox</w:t>
            </w:r>
            <w:r w:rsidRPr="00DF2F52">
              <w:rPr>
                <w:rFonts w:ascii="Times New Roman" w:hAnsi="Times New Roman" w:cs="Times New Roman"/>
              </w:rPr>
              <w:t xml:space="preserve"> infections. The total population immunity level has significantly decreased during the previous 45 years due to population expansion in the postvaccination era. So, the role of vaccination in preventing monkeypox is being considered, and clinical trials for healthcare workers have been suggested here.</w:t>
            </w:r>
          </w:p>
        </w:tc>
      </w:tr>
    </w:tbl>
    <w:p w14:paraId="58D26BBD" w14:textId="216C5FCD" w:rsidR="00B578DD" w:rsidRDefault="00B578DD" w:rsidP="000E4D19"/>
    <w:p w14:paraId="55A40C65" w14:textId="117C5F21" w:rsidR="00763C4E" w:rsidRDefault="00763C4E" w:rsidP="000E4D19"/>
    <w:p w14:paraId="6B5A1FB2" w14:textId="32B49E22" w:rsidR="00763C4E" w:rsidRDefault="00763C4E" w:rsidP="000E4D19">
      <w:pPr>
        <w:rPr>
          <w:rFonts w:ascii="Times New Roman" w:hAnsi="Times New Roman" w:cs="Times New Roman"/>
        </w:rPr>
      </w:pPr>
      <w:r>
        <w:rPr>
          <w:rFonts w:ascii="Times New Roman" w:hAnsi="Times New Roman" w:cs="Times New Roman"/>
        </w:rPr>
        <w:t>References:</w:t>
      </w:r>
    </w:p>
    <w:p w14:paraId="7023197A" w14:textId="7C36C2FE" w:rsidR="008C7DAF" w:rsidRPr="008C7DAF" w:rsidRDefault="00763C4E" w:rsidP="008C7DAF">
      <w:pPr>
        <w:widowControl w:val="0"/>
        <w:autoSpaceDE w:val="0"/>
        <w:autoSpaceDN w:val="0"/>
        <w:adjustRightInd w:val="0"/>
        <w:spacing w:line="240" w:lineRule="auto"/>
        <w:ind w:left="640" w:hanging="640"/>
        <w:rPr>
          <w:rFonts w:ascii="Times New Roman" w:hAnsi="Times New Roman" w:cs="Times New Roman"/>
          <w:noProof/>
          <w:szCs w:val="24"/>
        </w:rPr>
      </w:pPr>
      <w:r>
        <w:rPr>
          <w:rFonts w:ascii="Times New Roman" w:hAnsi="Times New Roman" w:cs="Times New Roman"/>
        </w:rPr>
        <w:fldChar w:fldCharType="begin" w:fldLock="1"/>
      </w:r>
      <w:r>
        <w:rPr>
          <w:rFonts w:ascii="Times New Roman" w:hAnsi="Times New Roman" w:cs="Times New Roman"/>
        </w:rPr>
        <w:instrText xml:space="preserve">ADDIN Mendeley Bibliography CSL_BIBLIOGRAPHY </w:instrText>
      </w:r>
      <w:r>
        <w:rPr>
          <w:rFonts w:ascii="Times New Roman" w:hAnsi="Times New Roman" w:cs="Times New Roman"/>
        </w:rPr>
        <w:fldChar w:fldCharType="separate"/>
      </w:r>
      <w:r w:rsidR="008C7DAF" w:rsidRPr="008C7DAF">
        <w:rPr>
          <w:rFonts w:ascii="Times New Roman" w:hAnsi="Times New Roman" w:cs="Times New Roman"/>
          <w:noProof/>
          <w:szCs w:val="24"/>
        </w:rPr>
        <w:t xml:space="preserve">1. </w:t>
      </w:r>
      <w:r w:rsidR="008C7DAF" w:rsidRPr="008C7DAF">
        <w:rPr>
          <w:rFonts w:ascii="Times New Roman" w:hAnsi="Times New Roman" w:cs="Times New Roman"/>
          <w:noProof/>
          <w:szCs w:val="24"/>
        </w:rPr>
        <w:tab/>
        <w:t xml:space="preserve">Arita I, Jezek Z, Khodakevich L, Ruti K. Human monkeypox: a newly emerged orthopoxvirus zoonosis in the tropical rain  forests of Africa. Am J Trop Med Hyg. 1985 Jul;34(4):781–9. </w:t>
      </w:r>
    </w:p>
    <w:p w14:paraId="0D95550F"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t xml:space="preserve">2. </w:t>
      </w:r>
      <w:r w:rsidRPr="008C7DAF">
        <w:rPr>
          <w:rFonts w:ascii="Times New Roman" w:hAnsi="Times New Roman" w:cs="Times New Roman"/>
          <w:noProof/>
          <w:szCs w:val="24"/>
        </w:rPr>
        <w:tab/>
        <w:t xml:space="preserve">Jezek Z, Marennikova SS, Mutumbo M, Nakano JH, Paluku KM, Szczeniowski M. Human monkeypox: a study of 2,510 contacts of 214 patients. J Infect Dis. 1986 Oct;154(4):551–5. </w:t>
      </w:r>
    </w:p>
    <w:p w14:paraId="34ECDE1E"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t xml:space="preserve">3. </w:t>
      </w:r>
      <w:r w:rsidRPr="008C7DAF">
        <w:rPr>
          <w:rFonts w:ascii="Times New Roman" w:hAnsi="Times New Roman" w:cs="Times New Roman"/>
          <w:noProof/>
          <w:szCs w:val="24"/>
        </w:rPr>
        <w:tab/>
        <w:t xml:space="preserve">Jezek Z, Grab B, Dixon H. Stochastic model for interhuman spread of monkeypox. Am J Epidemiol. 1987 Dec;126(6):1082–92. </w:t>
      </w:r>
    </w:p>
    <w:p w14:paraId="7E11EB2D"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t xml:space="preserve">4. </w:t>
      </w:r>
      <w:r w:rsidRPr="008C7DAF">
        <w:rPr>
          <w:rFonts w:ascii="Times New Roman" w:hAnsi="Times New Roman" w:cs="Times New Roman"/>
          <w:noProof/>
          <w:szCs w:val="24"/>
        </w:rPr>
        <w:tab/>
        <w:t xml:space="preserve">Fine PE, Jezek Z, Grab B, Dixon H. The transmission potential of monkeypox virus in human populations. Int J Epidemiol. 1988 Sep;17(3):643–50. </w:t>
      </w:r>
    </w:p>
    <w:p w14:paraId="10782C17"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t xml:space="preserve">5. </w:t>
      </w:r>
      <w:r w:rsidRPr="008C7DAF">
        <w:rPr>
          <w:rFonts w:ascii="Times New Roman" w:hAnsi="Times New Roman" w:cs="Times New Roman"/>
          <w:noProof/>
          <w:szCs w:val="24"/>
        </w:rPr>
        <w:tab/>
        <w:t xml:space="preserve">Jezek Z, Grab B, Szczeniowski M V, Paluku KM, Mutombo M. Human monkeypox: secondary attack rates. Bull World Health Organ. 1988;66(4):465–70. </w:t>
      </w:r>
    </w:p>
    <w:p w14:paraId="6D4022E1"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t xml:space="preserve">6. </w:t>
      </w:r>
      <w:r w:rsidRPr="008C7DAF">
        <w:rPr>
          <w:rFonts w:ascii="Times New Roman" w:hAnsi="Times New Roman" w:cs="Times New Roman"/>
          <w:noProof/>
          <w:szCs w:val="24"/>
        </w:rPr>
        <w:tab/>
        <w:t xml:space="preserve">Jamieson DJ, Cono J, Richards CL, Treadwell TA. The role of the obstetrician-gynecologist in emerging infectious diseases:  monkeypox and pregnancy. Obstet Gynecol. 2004 Apr;103(4):754–6. </w:t>
      </w:r>
    </w:p>
    <w:p w14:paraId="5086F83D"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t xml:space="preserve">7. </w:t>
      </w:r>
      <w:r w:rsidRPr="008C7DAF">
        <w:rPr>
          <w:rFonts w:ascii="Times New Roman" w:hAnsi="Times New Roman" w:cs="Times New Roman"/>
          <w:noProof/>
          <w:szCs w:val="24"/>
        </w:rPr>
        <w:tab/>
        <w:t xml:space="preserve">Hammarlund E, Lewis MW, Carter S V, Amanna I, Hansen SG, Strelow LI, et al. Multiple diagnostic techniques identify previously vaccinated individuals with  protective immunity against monkeypox. Nat Med. 2005 Sep;11(9):1005–11. </w:t>
      </w:r>
    </w:p>
    <w:p w14:paraId="64EE2894"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t xml:space="preserve">8. </w:t>
      </w:r>
      <w:r w:rsidRPr="008C7DAF">
        <w:rPr>
          <w:rFonts w:ascii="Times New Roman" w:hAnsi="Times New Roman" w:cs="Times New Roman"/>
          <w:noProof/>
          <w:szCs w:val="24"/>
        </w:rPr>
        <w:tab/>
        <w:t xml:space="preserve">Fleischauer AT, Kile JC, Davidson M, Fischer M, Karem KL, Teclaw R, et al. Evaluation of human-to-human transmission of monkeypox from infected patients to  health care workers. Clin Infect Dis  an Off Publ Infect Dis  Soc Am. 2005 Mar;40(5):689–94. </w:t>
      </w:r>
    </w:p>
    <w:p w14:paraId="1F97AF9A"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t xml:space="preserve">9. </w:t>
      </w:r>
      <w:r w:rsidRPr="008C7DAF">
        <w:rPr>
          <w:rFonts w:ascii="Times New Roman" w:hAnsi="Times New Roman" w:cs="Times New Roman"/>
          <w:noProof/>
          <w:szCs w:val="24"/>
        </w:rPr>
        <w:tab/>
        <w:t xml:space="preserve">Nalca A, Rimoin AW, Bavari S, Whitehouse CA. Reemergence of monkeypox: prevalence, diagnostics, and countermeasures. Clin Infect Dis  an Off Publ Infect Dis  Soc Am. 2005 Dec;41(12):1765–71. </w:t>
      </w:r>
    </w:p>
    <w:p w14:paraId="193867C3"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t xml:space="preserve">10. </w:t>
      </w:r>
      <w:r w:rsidRPr="008C7DAF">
        <w:rPr>
          <w:rFonts w:ascii="Times New Roman" w:hAnsi="Times New Roman" w:cs="Times New Roman"/>
          <w:noProof/>
          <w:szCs w:val="24"/>
        </w:rPr>
        <w:tab/>
        <w:t xml:space="preserve">Huhn GD, Bauer AM, Yorita K, Graham MB, Sejvar J, Likos A, et al. Clinical characteristics of human monkeypox, and risk factors for severe disease. Clin Infect Dis  an Off Publ Infect Dis  Soc Am. 2005 Dec;41(12):1742–51. </w:t>
      </w:r>
    </w:p>
    <w:p w14:paraId="23F15BE3"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lastRenderedPageBreak/>
        <w:t xml:space="preserve">11. </w:t>
      </w:r>
      <w:r w:rsidRPr="008C7DAF">
        <w:rPr>
          <w:rFonts w:ascii="Times New Roman" w:hAnsi="Times New Roman" w:cs="Times New Roman"/>
          <w:noProof/>
          <w:szCs w:val="24"/>
        </w:rPr>
        <w:tab/>
        <w:t xml:space="preserve">Cono J, Cragan JD, Jamieson DJ, Rasmussen SA. Prophylaxis and treatment of pregnant women for emerging infections and  bioterrorism emergencies. Emerg Infect Dis. 2006 Nov;12(11):1631–7. </w:t>
      </w:r>
    </w:p>
    <w:p w14:paraId="7D5EE835"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t xml:space="preserve">12. </w:t>
      </w:r>
      <w:r w:rsidRPr="008C7DAF">
        <w:rPr>
          <w:rFonts w:ascii="Times New Roman" w:hAnsi="Times New Roman" w:cs="Times New Roman"/>
          <w:noProof/>
          <w:szCs w:val="24"/>
        </w:rPr>
        <w:tab/>
        <w:t xml:space="preserve">Karem KL, Reynolds M, Hughes C, Braden Z, Nigam P, Crotty S, et al. Monkeypox-induced immunity and failure of childhood smallpox vaccination to  provide complete protection. Clin Vaccine Immunol. 2007 Oct;14(10):1318–27. </w:t>
      </w:r>
    </w:p>
    <w:p w14:paraId="3CFF23CD"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t xml:space="preserve">13. </w:t>
      </w:r>
      <w:r w:rsidRPr="008C7DAF">
        <w:rPr>
          <w:rFonts w:ascii="Times New Roman" w:hAnsi="Times New Roman" w:cs="Times New Roman"/>
          <w:noProof/>
          <w:szCs w:val="24"/>
        </w:rPr>
        <w:tab/>
        <w:t xml:space="preserve">Rimoin AW, Mulembakani PM, Johnston SC, Lloyd Smith JO, Kisalu NK, Kinkela TL, et al. Major increase in human monkeypox incidence 30 years after smallpox vaccination campaigns cease in the Democratic Republic of Congo. Proc Natl Acad Sci U S A. 2010 Sep;107(37):16262–7. </w:t>
      </w:r>
    </w:p>
    <w:p w14:paraId="230D54B4"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t xml:space="preserve">14. </w:t>
      </w:r>
      <w:r w:rsidRPr="008C7DAF">
        <w:rPr>
          <w:rFonts w:ascii="Times New Roman" w:hAnsi="Times New Roman" w:cs="Times New Roman"/>
          <w:noProof/>
          <w:szCs w:val="24"/>
        </w:rPr>
        <w:tab/>
        <w:t xml:space="preserve">Kennedy JS, Gurwith M, Dekker CL, Frey SE, Edwards KM, Kenner J, et al. Safety and immunogenicity of LC16m8, an attenuated smallpox vaccine in  vaccinia-naive adults. J Infect Dis. 2011 Nov;204(9):1395–402. </w:t>
      </w:r>
    </w:p>
    <w:p w14:paraId="51774013"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t xml:space="preserve">15. </w:t>
      </w:r>
      <w:r w:rsidRPr="008C7DAF">
        <w:rPr>
          <w:rFonts w:ascii="Times New Roman" w:hAnsi="Times New Roman" w:cs="Times New Roman"/>
          <w:noProof/>
          <w:szCs w:val="24"/>
        </w:rPr>
        <w:tab/>
        <w:t xml:space="preserve">Rimoin AW, Graham BS. Whither monkeypox vaccination. Vaccine. 2011 Dec;29 Suppl 4(Suppl 4):D60-4. </w:t>
      </w:r>
    </w:p>
    <w:p w14:paraId="66E20C11"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t xml:space="preserve">16. </w:t>
      </w:r>
      <w:r w:rsidRPr="008C7DAF">
        <w:rPr>
          <w:rFonts w:ascii="Times New Roman" w:hAnsi="Times New Roman" w:cs="Times New Roman"/>
          <w:noProof/>
          <w:szCs w:val="24"/>
        </w:rPr>
        <w:tab/>
        <w:t xml:space="preserve">Kalthan E, Tenguere J, Ndjapou SG, Koyazengbe TA, Mbomba J, Marada RM, et al. Investigation of an outbreak of monkeypox in an area occupied by armed groups,  Central African Republic. Med Mal Infect. 2018 Jun;48(4):263–8. </w:t>
      </w:r>
    </w:p>
    <w:p w14:paraId="08F5C8FD"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t xml:space="preserve">17. </w:t>
      </w:r>
      <w:r w:rsidRPr="008C7DAF">
        <w:rPr>
          <w:rFonts w:ascii="Times New Roman" w:hAnsi="Times New Roman" w:cs="Times New Roman"/>
          <w:noProof/>
          <w:szCs w:val="24"/>
        </w:rPr>
        <w:tab/>
        <w:t xml:space="preserve">Petersen BW, Kabamba J, McCollum AM, Lushima RS, Wemakoy EO, Muyembe Tamfum J-J, et al. Vaccinating against monkeypox in the Democratic Republic of the Congo. Antiviral Res. 2019 Feb;162:171–7. </w:t>
      </w:r>
    </w:p>
    <w:p w14:paraId="582C3919"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t xml:space="preserve">18. </w:t>
      </w:r>
      <w:r w:rsidRPr="008C7DAF">
        <w:rPr>
          <w:rFonts w:ascii="Times New Roman" w:hAnsi="Times New Roman" w:cs="Times New Roman"/>
          <w:noProof/>
          <w:szCs w:val="24"/>
        </w:rPr>
        <w:tab/>
        <w:t xml:space="preserve">Harapan H, Wagner AL, Yufika A, Setiawan AM, Anwar S, Wahyuni S, et al. Acceptance and willingness to pay for a hypothetical vaccine against monkeypox  viral infection among frontline physicians: A cross-sectional study in Indonesia. Vaccine. 2020 Oct;38(43):6800–6. </w:t>
      </w:r>
    </w:p>
    <w:p w14:paraId="33974DD9"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t xml:space="preserve">19. </w:t>
      </w:r>
      <w:r w:rsidRPr="008C7DAF">
        <w:rPr>
          <w:rFonts w:ascii="Times New Roman" w:hAnsi="Times New Roman" w:cs="Times New Roman"/>
          <w:noProof/>
          <w:szCs w:val="24"/>
        </w:rPr>
        <w:tab/>
        <w:t xml:space="preserve">Yong SEF, Ng OT, Ho ZJM, Mak TM, Marimuthu K, Vasoo S, et al. Imported Monkeypox, Singapore. Emerg Infect Dis. 2020 Aug;26(8):1826–30. </w:t>
      </w:r>
    </w:p>
    <w:p w14:paraId="4E924889"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t xml:space="preserve">20. </w:t>
      </w:r>
      <w:r w:rsidRPr="008C7DAF">
        <w:rPr>
          <w:rFonts w:ascii="Times New Roman" w:hAnsi="Times New Roman" w:cs="Times New Roman"/>
          <w:noProof/>
          <w:szCs w:val="24"/>
        </w:rPr>
        <w:tab/>
        <w:t xml:space="preserve">Bankuru SV, Kossol S, Hou W, Mahmoudi P, Rychtář J, Taylor D. A game-theoretic model of Monkeypox to assess vaccination strategies. PeerJ. 2020;8:e9272. </w:t>
      </w:r>
    </w:p>
    <w:p w14:paraId="5CF58D47"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t xml:space="preserve">21. </w:t>
      </w:r>
      <w:r w:rsidRPr="008C7DAF">
        <w:rPr>
          <w:rFonts w:ascii="Times New Roman" w:hAnsi="Times New Roman" w:cs="Times New Roman"/>
          <w:noProof/>
          <w:szCs w:val="24"/>
        </w:rPr>
        <w:tab/>
        <w:t xml:space="preserve">Whitehouse ER, Bonwitt J, Hughes CM, Lushima RS, Likafi T, Nguete B, et al. Clinical and Epidemiological Findings from Enhanced Monkeypox Surveillance in  Tshuapa Province, Democratic Republic of the Congo During 2011-2015. J Infect Dis. 2021 Jun;223(11):1870–8. </w:t>
      </w:r>
    </w:p>
    <w:p w14:paraId="5339D102" w14:textId="77777777" w:rsidR="008C7DAF" w:rsidRPr="008C7DAF" w:rsidRDefault="008C7DAF" w:rsidP="008C7DAF">
      <w:pPr>
        <w:widowControl w:val="0"/>
        <w:autoSpaceDE w:val="0"/>
        <w:autoSpaceDN w:val="0"/>
        <w:adjustRightInd w:val="0"/>
        <w:spacing w:line="240" w:lineRule="auto"/>
        <w:ind w:left="640" w:hanging="640"/>
        <w:rPr>
          <w:rFonts w:ascii="Times New Roman" w:hAnsi="Times New Roman" w:cs="Times New Roman"/>
          <w:noProof/>
          <w:szCs w:val="24"/>
        </w:rPr>
      </w:pPr>
      <w:r w:rsidRPr="008C7DAF">
        <w:rPr>
          <w:rFonts w:ascii="Times New Roman" w:hAnsi="Times New Roman" w:cs="Times New Roman"/>
          <w:noProof/>
          <w:szCs w:val="24"/>
        </w:rPr>
        <w:t xml:space="preserve">22. </w:t>
      </w:r>
      <w:r w:rsidRPr="008C7DAF">
        <w:rPr>
          <w:rFonts w:ascii="Times New Roman" w:hAnsi="Times New Roman" w:cs="Times New Roman"/>
          <w:noProof/>
          <w:szCs w:val="24"/>
        </w:rPr>
        <w:tab/>
        <w:t xml:space="preserve">Nguyen P-Y, Ajisegiri WS, Costantino V, Chughtai AA, MacIntyre CR. Reemergence of Human Monkeypox and Declining Population Immunity in the Context  of Urbanization, Nigeria, 2017-2020. Emerg Infect Dis. 2021 Apr;27(4):1007–14. </w:t>
      </w:r>
    </w:p>
    <w:p w14:paraId="56233C2B" w14:textId="5F341B76" w:rsidR="00763C4E" w:rsidRDefault="00763C4E" w:rsidP="000E4D19">
      <w:pPr>
        <w:rPr>
          <w:rFonts w:ascii="Times New Roman" w:hAnsi="Times New Roman" w:cs="Times New Roman"/>
        </w:rPr>
      </w:pPr>
      <w:r>
        <w:rPr>
          <w:rFonts w:ascii="Times New Roman" w:hAnsi="Times New Roman" w:cs="Times New Roman"/>
        </w:rPr>
        <w:fldChar w:fldCharType="end"/>
      </w:r>
    </w:p>
    <w:p w14:paraId="6D0E6F9B" w14:textId="5DDC832B" w:rsidR="00F9599F" w:rsidRDefault="00F9599F" w:rsidP="000E4D19">
      <w:pPr>
        <w:rPr>
          <w:rFonts w:ascii="Times New Roman" w:hAnsi="Times New Roman" w:cs="Times New Roman"/>
        </w:rPr>
      </w:pPr>
    </w:p>
    <w:p w14:paraId="6FA0FE2E" w14:textId="0E442AB1" w:rsidR="00F9599F" w:rsidRDefault="00F9599F" w:rsidP="000E4D19">
      <w:pPr>
        <w:rPr>
          <w:rFonts w:ascii="Times New Roman" w:hAnsi="Times New Roman" w:cs="Times New Roman"/>
        </w:rPr>
      </w:pPr>
    </w:p>
    <w:p w14:paraId="68268511" w14:textId="28CBC2EE" w:rsidR="00F9599F" w:rsidRDefault="00F9599F" w:rsidP="000E4D19">
      <w:pPr>
        <w:rPr>
          <w:rFonts w:ascii="Times New Roman" w:hAnsi="Times New Roman" w:cs="Times New Roman"/>
        </w:rPr>
      </w:pPr>
    </w:p>
    <w:p w14:paraId="2C01F190" w14:textId="619CF7A1" w:rsidR="00F9599F" w:rsidRDefault="00F9599F" w:rsidP="000E4D19">
      <w:pPr>
        <w:rPr>
          <w:rFonts w:ascii="Times New Roman" w:hAnsi="Times New Roman" w:cs="Times New Roman"/>
        </w:rPr>
      </w:pPr>
    </w:p>
    <w:p w14:paraId="5DD4BEEB" w14:textId="7366D648" w:rsidR="00F9599F" w:rsidRPr="00763C4E" w:rsidRDefault="00F9599F" w:rsidP="000E4D19">
      <w:pPr>
        <w:rPr>
          <w:rFonts w:ascii="Times New Roman" w:hAnsi="Times New Roman" w:cs="Times New Roman"/>
        </w:rPr>
      </w:pPr>
    </w:p>
    <w:sectPr w:rsidR="00F9599F" w:rsidRPr="00763C4E" w:rsidSect="00AB799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1FF33" w14:textId="77777777" w:rsidR="00CC4223" w:rsidRDefault="00CC4223" w:rsidP="000E4D19">
      <w:pPr>
        <w:spacing w:after="0" w:line="240" w:lineRule="auto"/>
      </w:pPr>
      <w:r>
        <w:separator/>
      </w:r>
    </w:p>
  </w:endnote>
  <w:endnote w:type="continuationSeparator" w:id="0">
    <w:p w14:paraId="20F32F5F" w14:textId="77777777" w:rsidR="00CC4223" w:rsidRDefault="00CC4223" w:rsidP="000E4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217E4" w14:textId="77777777" w:rsidR="00CC4223" w:rsidRDefault="00CC4223" w:rsidP="000E4D19">
      <w:pPr>
        <w:spacing w:after="0" w:line="240" w:lineRule="auto"/>
      </w:pPr>
      <w:r>
        <w:separator/>
      </w:r>
    </w:p>
  </w:footnote>
  <w:footnote w:type="continuationSeparator" w:id="0">
    <w:p w14:paraId="73DF84FF" w14:textId="77777777" w:rsidR="00CC4223" w:rsidRDefault="00CC4223" w:rsidP="000E4D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D54790"/>
    <w:multiLevelType w:val="hybridMultilevel"/>
    <w:tmpl w:val="06F08684"/>
    <w:lvl w:ilvl="0" w:tplc="EC2CD4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2633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9CE"/>
    <w:rsid w:val="000003D3"/>
    <w:rsid w:val="00013813"/>
    <w:rsid w:val="00015829"/>
    <w:rsid w:val="00015F1A"/>
    <w:rsid w:val="000244E0"/>
    <w:rsid w:val="0002479E"/>
    <w:rsid w:val="000464A5"/>
    <w:rsid w:val="00065845"/>
    <w:rsid w:val="00065D59"/>
    <w:rsid w:val="00075AD3"/>
    <w:rsid w:val="00077A9A"/>
    <w:rsid w:val="00087982"/>
    <w:rsid w:val="000A5085"/>
    <w:rsid w:val="000A71D6"/>
    <w:rsid w:val="000B6DAC"/>
    <w:rsid w:val="000C5E4E"/>
    <w:rsid w:val="000D15E1"/>
    <w:rsid w:val="000D58CE"/>
    <w:rsid w:val="000E4D19"/>
    <w:rsid w:val="000F76D1"/>
    <w:rsid w:val="001062B1"/>
    <w:rsid w:val="001065BC"/>
    <w:rsid w:val="00107767"/>
    <w:rsid w:val="00110F20"/>
    <w:rsid w:val="001139CE"/>
    <w:rsid w:val="0012140D"/>
    <w:rsid w:val="001239C8"/>
    <w:rsid w:val="00140AC0"/>
    <w:rsid w:val="00162A7F"/>
    <w:rsid w:val="00175FD5"/>
    <w:rsid w:val="00176622"/>
    <w:rsid w:val="00183D6F"/>
    <w:rsid w:val="001A4F63"/>
    <w:rsid w:val="001B133A"/>
    <w:rsid w:val="001C1DA8"/>
    <w:rsid w:val="001C5417"/>
    <w:rsid w:val="001C7150"/>
    <w:rsid w:val="001E5B6A"/>
    <w:rsid w:val="001F215F"/>
    <w:rsid w:val="001F7EDB"/>
    <w:rsid w:val="002009BC"/>
    <w:rsid w:val="00201232"/>
    <w:rsid w:val="002064F3"/>
    <w:rsid w:val="00222E30"/>
    <w:rsid w:val="0025229C"/>
    <w:rsid w:val="00256F4C"/>
    <w:rsid w:val="002642C7"/>
    <w:rsid w:val="002878C8"/>
    <w:rsid w:val="00296B55"/>
    <w:rsid w:val="0029798A"/>
    <w:rsid w:val="002A4DC0"/>
    <w:rsid w:val="002B311D"/>
    <w:rsid w:val="002B6AA4"/>
    <w:rsid w:val="002C2E84"/>
    <w:rsid w:val="002D50A0"/>
    <w:rsid w:val="003041D5"/>
    <w:rsid w:val="0031591D"/>
    <w:rsid w:val="00323473"/>
    <w:rsid w:val="003367C6"/>
    <w:rsid w:val="00337B9E"/>
    <w:rsid w:val="00345999"/>
    <w:rsid w:val="0035166B"/>
    <w:rsid w:val="003810E9"/>
    <w:rsid w:val="00381987"/>
    <w:rsid w:val="00397885"/>
    <w:rsid w:val="003B34F4"/>
    <w:rsid w:val="003B70F4"/>
    <w:rsid w:val="003D1AD4"/>
    <w:rsid w:val="003E2F4B"/>
    <w:rsid w:val="003F068E"/>
    <w:rsid w:val="003F26CF"/>
    <w:rsid w:val="003F30BD"/>
    <w:rsid w:val="004208EE"/>
    <w:rsid w:val="00424935"/>
    <w:rsid w:val="00427AC9"/>
    <w:rsid w:val="00434A0C"/>
    <w:rsid w:val="0043564E"/>
    <w:rsid w:val="00440CE1"/>
    <w:rsid w:val="004441F5"/>
    <w:rsid w:val="00451DA3"/>
    <w:rsid w:val="004607B2"/>
    <w:rsid w:val="00484EFC"/>
    <w:rsid w:val="00486CD8"/>
    <w:rsid w:val="00490143"/>
    <w:rsid w:val="00491919"/>
    <w:rsid w:val="00494848"/>
    <w:rsid w:val="004A6639"/>
    <w:rsid w:val="004A6F37"/>
    <w:rsid w:val="004D04E1"/>
    <w:rsid w:val="004E1738"/>
    <w:rsid w:val="004F5E8B"/>
    <w:rsid w:val="004F6634"/>
    <w:rsid w:val="0052515E"/>
    <w:rsid w:val="0059016F"/>
    <w:rsid w:val="005B7205"/>
    <w:rsid w:val="005D5C46"/>
    <w:rsid w:val="005E2804"/>
    <w:rsid w:val="005E3FED"/>
    <w:rsid w:val="005F4D22"/>
    <w:rsid w:val="006100AE"/>
    <w:rsid w:val="00612ECB"/>
    <w:rsid w:val="00615732"/>
    <w:rsid w:val="0063643D"/>
    <w:rsid w:val="00636FE7"/>
    <w:rsid w:val="006461AF"/>
    <w:rsid w:val="00651870"/>
    <w:rsid w:val="006634EE"/>
    <w:rsid w:val="00676F7D"/>
    <w:rsid w:val="0068003E"/>
    <w:rsid w:val="006B334C"/>
    <w:rsid w:val="006B4D4F"/>
    <w:rsid w:val="006C4ED4"/>
    <w:rsid w:val="006D220F"/>
    <w:rsid w:val="006E33B1"/>
    <w:rsid w:val="006E4230"/>
    <w:rsid w:val="006E5ECD"/>
    <w:rsid w:val="006F15C9"/>
    <w:rsid w:val="007122C7"/>
    <w:rsid w:val="0073499A"/>
    <w:rsid w:val="00743672"/>
    <w:rsid w:val="0076078D"/>
    <w:rsid w:val="00763C4E"/>
    <w:rsid w:val="00770811"/>
    <w:rsid w:val="007809A0"/>
    <w:rsid w:val="007C364D"/>
    <w:rsid w:val="007F1FE3"/>
    <w:rsid w:val="007F24BB"/>
    <w:rsid w:val="00811D68"/>
    <w:rsid w:val="008132B5"/>
    <w:rsid w:val="00814A04"/>
    <w:rsid w:val="00834CE0"/>
    <w:rsid w:val="00883D4E"/>
    <w:rsid w:val="00885968"/>
    <w:rsid w:val="00895DD1"/>
    <w:rsid w:val="008A1BD3"/>
    <w:rsid w:val="008B7B80"/>
    <w:rsid w:val="008C7DAF"/>
    <w:rsid w:val="008F1D01"/>
    <w:rsid w:val="00915163"/>
    <w:rsid w:val="00930EFB"/>
    <w:rsid w:val="00933CCB"/>
    <w:rsid w:val="009341D8"/>
    <w:rsid w:val="0094333B"/>
    <w:rsid w:val="009617F3"/>
    <w:rsid w:val="0096445A"/>
    <w:rsid w:val="00972E53"/>
    <w:rsid w:val="009835E5"/>
    <w:rsid w:val="00991FC6"/>
    <w:rsid w:val="0099670A"/>
    <w:rsid w:val="0099675A"/>
    <w:rsid w:val="009A6596"/>
    <w:rsid w:val="009C338B"/>
    <w:rsid w:val="009C3B96"/>
    <w:rsid w:val="009D35E8"/>
    <w:rsid w:val="009D5F8A"/>
    <w:rsid w:val="009E07B3"/>
    <w:rsid w:val="009F30AE"/>
    <w:rsid w:val="00A30651"/>
    <w:rsid w:val="00A31E1D"/>
    <w:rsid w:val="00A40A39"/>
    <w:rsid w:val="00A52BF6"/>
    <w:rsid w:val="00A53FFD"/>
    <w:rsid w:val="00A56B6A"/>
    <w:rsid w:val="00A65310"/>
    <w:rsid w:val="00A67E00"/>
    <w:rsid w:val="00A75545"/>
    <w:rsid w:val="00A92703"/>
    <w:rsid w:val="00A95CFF"/>
    <w:rsid w:val="00AB17EB"/>
    <w:rsid w:val="00AB4808"/>
    <w:rsid w:val="00AB533F"/>
    <w:rsid w:val="00AB5709"/>
    <w:rsid w:val="00AB7993"/>
    <w:rsid w:val="00AC5991"/>
    <w:rsid w:val="00AE527B"/>
    <w:rsid w:val="00AF1A49"/>
    <w:rsid w:val="00B00728"/>
    <w:rsid w:val="00B044FD"/>
    <w:rsid w:val="00B0628C"/>
    <w:rsid w:val="00B10A08"/>
    <w:rsid w:val="00B162A4"/>
    <w:rsid w:val="00B22A13"/>
    <w:rsid w:val="00B361DE"/>
    <w:rsid w:val="00B37D1E"/>
    <w:rsid w:val="00B5421B"/>
    <w:rsid w:val="00B578DD"/>
    <w:rsid w:val="00B62158"/>
    <w:rsid w:val="00B643D9"/>
    <w:rsid w:val="00B72D93"/>
    <w:rsid w:val="00B74E72"/>
    <w:rsid w:val="00B80C14"/>
    <w:rsid w:val="00BA397A"/>
    <w:rsid w:val="00BA75F6"/>
    <w:rsid w:val="00BA7A44"/>
    <w:rsid w:val="00BB0F4E"/>
    <w:rsid w:val="00BC310D"/>
    <w:rsid w:val="00BC79A2"/>
    <w:rsid w:val="00BD5515"/>
    <w:rsid w:val="00BE6076"/>
    <w:rsid w:val="00BF7B32"/>
    <w:rsid w:val="00C032D5"/>
    <w:rsid w:val="00C22FAE"/>
    <w:rsid w:val="00C3482E"/>
    <w:rsid w:val="00C5316C"/>
    <w:rsid w:val="00C60357"/>
    <w:rsid w:val="00C60E86"/>
    <w:rsid w:val="00C6699C"/>
    <w:rsid w:val="00C73DED"/>
    <w:rsid w:val="00C77FE9"/>
    <w:rsid w:val="00C832F0"/>
    <w:rsid w:val="00C94989"/>
    <w:rsid w:val="00CA205D"/>
    <w:rsid w:val="00CA4234"/>
    <w:rsid w:val="00CC4223"/>
    <w:rsid w:val="00CC63E4"/>
    <w:rsid w:val="00CD4F75"/>
    <w:rsid w:val="00CD5D69"/>
    <w:rsid w:val="00CD7F42"/>
    <w:rsid w:val="00CF5436"/>
    <w:rsid w:val="00CF5E8E"/>
    <w:rsid w:val="00CF711C"/>
    <w:rsid w:val="00D0358B"/>
    <w:rsid w:val="00D04B47"/>
    <w:rsid w:val="00D100A8"/>
    <w:rsid w:val="00D224E9"/>
    <w:rsid w:val="00D43F8C"/>
    <w:rsid w:val="00D624D8"/>
    <w:rsid w:val="00D72708"/>
    <w:rsid w:val="00DC29C9"/>
    <w:rsid w:val="00DD7E5A"/>
    <w:rsid w:val="00DE161A"/>
    <w:rsid w:val="00DE2274"/>
    <w:rsid w:val="00DF0398"/>
    <w:rsid w:val="00DF2F52"/>
    <w:rsid w:val="00DF684E"/>
    <w:rsid w:val="00E04301"/>
    <w:rsid w:val="00E204E7"/>
    <w:rsid w:val="00E24454"/>
    <w:rsid w:val="00E3763F"/>
    <w:rsid w:val="00E553F3"/>
    <w:rsid w:val="00E56512"/>
    <w:rsid w:val="00E62179"/>
    <w:rsid w:val="00E74E75"/>
    <w:rsid w:val="00E86802"/>
    <w:rsid w:val="00E935DD"/>
    <w:rsid w:val="00E96571"/>
    <w:rsid w:val="00EB777D"/>
    <w:rsid w:val="00EC2A5E"/>
    <w:rsid w:val="00EE1AC4"/>
    <w:rsid w:val="00EF6AFF"/>
    <w:rsid w:val="00F03DFC"/>
    <w:rsid w:val="00F22BB8"/>
    <w:rsid w:val="00F37B7A"/>
    <w:rsid w:val="00F65AC8"/>
    <w:rsid w:val="00F70602"/>
    <w:rsid w:val="00F9599F"/>
    <w:rsid w:val="00FB47CD"/>
    <w:rsid w:val="00FB7F3D"/>
    <w:rsid w:val="00FC5D8E"/>
    <w:rsid w:val="00FD4A30"/>
    <w:rsid w:val="00FE356E"/>
    <w:rsid w:val="00FF0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70E4B5"/>
  <w15:chartTrackingRefBased/>
  <w15:docId w15:val="{AC8D76E4-871F-4889-8C9E-761C8C077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E4D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4D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D19"/>
  </w:style>
  <w:style w:type="paragraph" w:styleId="Footer">
    <w:name w:val="footer"/>
    <w:basedOn w:val="Normal"/>
    <w:link w:val="FooterChar"/>
    <w:uiPriority w:val="99"/>
    <w:unhideWhenUsed/>
    <w:rsid w:val="000E4D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D19"/>
  </w:style>
  <w:style w:type="character" w:styleId="Hyperlink">
    <w:name w:val="Hyperlink"/>
    <w:basedOn w:val="DefaultParagraphFont"/>
    <w:uiPriority w:val="99"/>
    <w:semiHidden/>
    <w:unhideWhenUsed/>
    <w:rsid w:val="00CF5436"/>
    <w:rPr>
      <w:color w:val="0000FF"/>
      <w:u w:val="single"/>
    </w:rPr>
  </w:style>
  <w:style w:type="character" w:styleId="Strong">
    <w:name w:val="Strong"/>
    <w:basedOn w:val="DefaultParagraphFont"/>
    <w:uiPriority w:val="22"/>
    <w:qFormat/>
    <w:rsid w:val="00C3482E"/>
    <w:rPr>
      <w:b/>
      <w:bCs/>
    </w:rPr>
  </w:style>
  <w:style w:type="paragraph" w:styleId="ListParagraph">
    <w:name w:val="List Paragraph"/>
    <w:basedOn w:val="Normal"/>
    <w:uiPriority w:val="34"/>
    <w:qFormat/>
    <w:rsid w:val="001F7EDB"/>
    <w:pPr>
      <w:ind w:left="720"/>
      <w:contextualSpacing/>
    </w:pPr>
  </w:style>
  <w:style w:type="paragraph" w:styleId="Caption">
    <w:name w:val="caption"/>
    <w:basedOn w:val="Normal"/>
    <w:next w:val="Normal"/>
    <w:uiPriority w:val="35"/>
    <w:unhideWhenUsed/>
    <w:qFormat/>
    <w:rsid w:val="00F9599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00EEA-523E-4A24-925C-CA74223E6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3935</TotalTime>
  <Pages>8</Pages>
  <Words>13287</Words>
  <Characters>75737</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IB_CHAIRMAN</dc:creator>
  <cp:keywords/>
  <dc:description/>
  <cp:lastModifiedBy>Rifat Ara Rumpa</cp:lastModifiedBy>
  <cp:revision>69</cp:revision>
  <dcterms:created xsi:type="dcterms:W3CDTF">2022-07-04T05:32:00Z</dcterms:created>
  <dcterms:modified xsi:type="dcterms:W3CDTF">2022-07-27T14:20:00Z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http://www.zotero.org/styles/international-journal-of-environmental-research-and-public-health</vt:lpwstr>
  </property>
  <property fmtid="{D5CDD505-2E9C-101B-9397-08002B2CF9AE}" pid="13" name="Mendeley Recent Style Name 5_1">
    <vt:lpwstr>International Journal of Environmental Research and Public Health</vt:lpwstr>
  </property>
  <property fmtid="{D5CDD505-2E9C-101B-9397-08002B2CF9AE}" pid="14" name="Mendeley Recent Style Id 6_1">
    <vt:lpwstr>http://www.zotero.org/styles/jama</vt:lpwstr>
  </property>
  <property fmtid="{D5CDD505-2E9C-101B-9397-08002B2CF9AE}" pid="15" name="Mendeley Recent Style Name 6_1">
    <vt:lpwstr>JAMA (The Journal of the American Medical Association)</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http://www.zotero.org/styles/plos-one</vt:lpwstr>
  </property>
  <property fmtid="{D5CDD505-2E9C-101B-9397-08002B2CF9AE}" pid="19" name="Mendeley Recent Style Name 8_1">
    <vt:lpwstr>PLOS ONE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Citation Style_1">
    <vt:lpwstr>http://www.zotero.org/styles/vancouver</vt:lpwstr>
  </property>
  <property fmtid="{D5CDD505-2E9C-101B-9397-08002B2CF9AE}" pid="24" name="Mendeley Unique User Id_1">
    <vt:lpwstr>f3ea2023-f04b-3bb8-a9e7-6a81c7d21c96</vt:lpwstr>
  </property>
</Properties>
</file>