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3D1C" w:rsidRDefault="00013D1C" w:rsidP="00013D1C">
      <w:pPr>
        <w:spacing w:line="480" w:lineRule="auto"/>
        <w:jc w:val="both"/>
        <w:rPr>
          <w:rFonts w:cs="Arial"/>
          <w:b/>
          <w:sz w:val="20"/>
          <w:szCs w:val="20"/>
          <w:lang w:val="en-GB"/>
        </w:rPr>
      </w:pPr>
      <w:r>
        <w:rPr>
          <w:rFonts w:cs="Arial"/>
          <w:b/>
          <w:sz w:val="20"/>
          <w:szCs w:val="20"/>
          <w:lang w:val="en-GB"/>
        </w:rPr>
        <w:t>Supplementary Figure Legends</w:t>
      </w:r>
    </w:p>
    <w:p w:rsidR="00013D1C" w:rsidRDefault="00013D1C" w:rsidP="00013D1C">
      <w:pPr>
        <w:spacing w:line="480" w:lineRule="auto"/>
        <w:jc w:val="both"/>
        <w:rPr>
          <w:rFonts w:cs="Arial"/>
          <w:sz w:val="20"/>
          <w:szCs w:val="20"/>
          <w:lang w:val="en-GB"/>
        </w:rPr>
      </w:pPr>
      <w:r w:rsidRPr="00015CCD">
        <w:rPr>
          <w:rFonts w:cs="Arial"/>
          <w:b/>
          <w:sz w:val="20"/>
          <w:szCs w:val="20"/>
          <w:lang w:val="en-GB"/>
        </w:rPr>
        <w:t>Supplementary Table 1.</w:t>
      </w:r>
      <w:r w:rsidRPr="00015CCD">
        <w:rPr>
          <w:rFonts w:cs="Arial"/>
          <w:sz w:val="20"/>
          <w:szCs w:val="20"/>
          <w:lang w:val="en-GB"/>
        </w:rPr>
        <w:t xml:space="preserve"> Primer sequences designed for qRT-PCR.</w:t>
      </w:r>
    </w:p>
    <w:p w:rsidR="00013D1C" w:rsidRDefault="00013D1C" w:rsidP="00013D1C">
      <w:pPr>
        <w:spacing w:line="480" w:lineRule="auto"/>
        <w:jc w:val="both"/>
        <w:rPr>
          <w:rFonts w:cs="Arial"/>
          <w:sz w:val="20"/>
          <w:szCs w:val="20"/>
          <w:lang w:val="en-GB"/>
        </w:rPr>
      </w:pPr>
      <w:r w:rsidRPr="00E22DC2">
        <w:rPr>
          <w:rFonts w:cs="Arial"/>
          <w:b/>
          <w:sz w:val="20"/>
          <w:szCs w:val="20"/>
          <w:lang w:val="en-GB"/>
        </w:rPr>
        <w:t>Supplementary Fig. 1.</w:t>
      </w:r>
      <w:r>
        <w:rPr>
          <w:rFonts w:cs="Arial"/>
          <w:sz w:val="20"/>
          <w:szCs w:val="20"/>
          <w:lang w:val="en-GB"/>
        </w:rPr>
        <w:t xml:space="preserve"> Raw data of</w:t>
      </w:r>
      <w:r w:rsidRPr="00EE0F7C">
        <w:rPr>
          <w:rFonts w:cs="Arial"/>
          <w:sz w:val="20"/>
          <w:szCs w:val="20"/>
          <w:lang w:val="en-GB"/>
        </w:rPr>
        <w:t xml:space="preserve"> scatter dot-plot images of FCM representing</w:t>
      </w:r>
      <w:r>
        <w:rPr>
          <w:rFonts w:cs="Arial"/>
          <w:sz w:val="20"/>
          <w:szCs w:val="20"/>
          <w:lang w:val="en-GB"/>
        </w:rPr>
        <w:t xml:space="preserve"> </w:t>
      </w:r>
      <w:r w:rsidRPr="00EE0F7C">
        <w:rPr>
          <w:rFonts w:cs="Arial"/>
          <w:sz w:val="20"/>
          <w:szCs w:val="20"/>
          <w:lang w:val="en-GB"/>
        </w:rPr>
        <w:t xml:space="preserve">the effect of </w:t>
      </w:r>
      <w:r>
        <w:rPr>
          <w:rFonts w:cs="Arial"/>
          <w:sz w:val="20"/>
          <w:szCs w:val="20"/>
          <w:lang w:val="en-GB"/>
        </w:rPr>
        <w:t>IC50</w:t>
      </w:r>
      <w:r w:rsidRPr="00EE0F7C">
        <w:rPr>
          <w:rFonts w:cs="Arial"/>
          <w:sz w:val="20"/>
          <w:szCs w:val="20"/>
          <w:lang w:val="en-GB"/>
        </w:rPr>
        <w:t xml:space="preserve"> dose of ACPA on NSCLC cells labelled with Annexin/PI. </w:t>
      </w:r>
    </w:p>
    <w:p w:rsidR="00013D1C" w:rsidRPr="00E23663" w:rsidRDefault="00013D1C" w:rsidP="00013D1C">
      <w:pPr>
        <w:spacing w:line="480" w:lineRule="auto"/>
        <w:jc w:val="both"/>
        <w:rPr>
          <w:rFonts w:cs="Arial"/>
          <w:sz w:val="20"/>
          <w:szCs w:val="20"/>
          <w:lang w:val="en-GB"/>
        </w:rPr>
      </w:pPr>
      <w:r w:rsidRPr="00DF519C">
        <w:rPr>
          <w:rFonts w:cs="Arial"/>
          <w:b/>
          <w:sz w:val="20"/>
          <w:szCs w:val="20"/>
          <w:lang w:val="en-GB"/>
        </w:rPr>
        <w:t>Supplementary Fig. 2. a, b, c, d</w:t>
      </w:r>
      <w:r>
        <w:rPr>
          <w:rFonts w:cs="Arial"/>
          <w:sz w:val="20"/>
          <w:szCs w:val="20"/>
          <w:lang w:val="en-GB"/>
        </w:rPr>
        <w:t xml:space="preserve"> Raw data of p</w:t>
      </w:r>
      <w:r w:rsidRPr="00DF519C">
        <w:rPr>
          <w:rFonts w:cs="Arial"/>
          <w:sz w:val="20"/>
          <w:szCs w:val="20"/>
          <w:lang w:val="en-GB"/>
        </w:rPr>
        <w:t xml:space="preserve">rincipal component analysis (PCA) score plot: Metabolomics profiling of control and ACPA-treated </w:t>
      </w:r>
      <w:r w:rsidRPr="00DF519C">
        <w:rPr>
          <w:rFonts w:cs="Arial"/>
          <w:b/>
          <w:sz w:val="20"/>
          <w:szCs w:val="20"/>
          <w:lang w:val="en-GB"/>
        </w:rPr>
        <w:t>(a)</w:t>
      </w:r>
      <w:r>
        <w:rPr>
          <w:rFonts w:cs="Arial"/>
          <w:sz w:val="20"/>
          <w:szCs w:val="20"/>
          <w:lang w:val="en-GB"/>
        </w:rPr>
        <w:t xml:space="preserve"> </w:t>
      </w:r>
      <w:r w:rsidRPr="00DF519C">
        <w:rPr>
          <w:rFonts w:cs="Arial"/>
          <w:sz w:val="20"/>
          <w:szCs w:val="20"/>
          <w:lang w:val="en-GB"/>
        </w:rPr>
        <w:t xml:space="preserve">A549, </w:t>
      </w:r>
      <w:r w:rsidRPr="00DF519C">
        <w:rPr>
          <w:rFonts w:cs="Arial"/>
          <w:b/>
          <w:sz w:val="20"/>
          <w:szCs w:val="20"/>
          <w:lang w:val="en-GB"/>
        </w:rPr>
        <w:t>(b)</w:t>
      </w:r>
      <w:r>
        <w:rPr>
          <w:rFonts w:cs="Arial"/>
          <w:sz w:val="20"/>
          <w:szCs w:val="20"/>
          <w:lang w:val="en-GB"/>
        </w:rPr>
        <w:t xml:space="preserve"> </w:t>
      </w:r>
      <w:r w:rsidRPr="00DF519C">
        <w:rPr>
          <w:rFonts w:cs="Arial"/>
          <w:sz w:val="20"/>
          <w:szCs w:val="20"/>
          <w:lang w:val="en-GB"/>
        </w:rPr>
        <w:t xml:space="preserve">H1299, </w:t>
      </w:r>
      <w:r w:rsidRPr="00DF519C">
        <w:rPr>
          <w:rFonts w:cs="Arial"/>
          <w:b/>
          <w:sz w:val="20"/>
          <w:szCs w:val="20"/>
          <w:lang w:val="en-GB"/>
        </w:rPr>
        <w:t>(c)</w:t>
      </w:r>
      <w:r>
        <w:rPr>
          <w:rFonts w:cs="Arial"/>
          <w:sz w:val="20"/>
          <w:szCs w:val="20"/>
          <w:lang w:val="en-GB"/>
        </w:rPr>
        <w:t xml:space="preserve"> </w:t>
      </w:r>
      <w:r w:rsidRPr="00DF519C">
        <w:rPr>
          <w:rFonts w:cs="Arial"/>
          <w:sz w:val="20"/>
          <w:szCs w:val="20"/>
          <w:lang w:val="en-GB"/>
        </w:rPr>
        <w:t xml:space="preserve">H358 and </w:t>
      </w:r>
      <w:r w:rsidRPr="00DF519C">
        <w:rPr>
          <w:rFonts w:cs="Arial"/>
          <w:b/>
          <w:sz w:val="20"/>
          <w:szCs w:val="20"/>
          <w:lang w:val="en-GB"/>
        </w:rPr>
        <w:t>(d)</w:t>
      </w:r>
      <w:r>
        <w:rPr>
          <w:rFonts w:cs="Arial"/>
          <w:sz w:val="20"/>
          <w:szCs w:val="20"/>
          <w:lang w:val="en-GB"/>
        </w:rPr>
        <w:t xml:space="preserve"> </w:t>
      </w:r>
      <w:r w:rsidRPr="00DF519C">
        <w:rPr>
          <w:rFonts w:cs="Arial"/>
          <w:sz w:val="20"/>
          <w:szCs w:val="20"/>
          <w:lang w:val="en-GB"/>
        </w:rPr>
        <w:t>H838 cells</w:t>
      </w:r>
      <w:r>
        <w:rPr>
          <w:rFonts w:cs="Arial"/>
          <w:sz w:val="20"/>
          <w:szCs w:val="20"/>
          <w:lang w:val="en-GB"/>
        </w:rPr>
        <w:t xml:space="preserve">. </w:t>
      </w:r>
      <w:r w:rsidRPr="00DF519C">
        <w:rPr>
          <w:rFonts w:cs="Arial"/>
          <w:b/>
          <w:sz w:val="20"/>
          <w:szCs w:val="20"/>
          <w:lang w:val="en-GB"/>
        </w:rPr>
        <w:t>e, f, g, h</w:t>
      </w:r>
      <w:r w:rsidRPr="00DF519C">
        <w:rPr>
          <w:rFonts w:cs="Arial"/>
          <w:sz w:val="20"/>
          <w:szCs w:val="20"/>
          <w:lang w:val="en-GB"/>
        </w:rPr>
        <w:t xml:space="preserve"> </w:t>
      </w:r>
      <w:r>
        <w:rPr>
          <w:rFonts w:cs="Arial"/>
          <w:sz w:val="20"/>
          <w:szCs w:val="20"/>
          <w:lang w:val="en-GB"/>
        </w:rPr>
        <w:t>Raw data of c</w:t>
      </w:r>
      <w:r w:rsidRPr="00DF519C">
        <w:rPr>
          <w:rFonts w:cs="Arial"/>
          <w:sz w:val="20"/>
          <w:szCs w:val="20"/>
          <w:lang w:val="en-GB"/>
        </w:rPr>
        <w:t>hanges in variable importance in projection (VIP) values for</w:t>
      </w:r>
      <w:r>
        <w:rPr>
          <w:rFonts w:cs="Arial"/>
          <w:sz w:val="20"/>
          <w:szCs w:val="20"/>
          <w:lang w:val="en-GB"/>
        </w:rPr>
        <w:t xml:space="preserve"> </w:t>
      </w:r>
      <w:r w:rsidRPr="00DF519C">
        <w:rPr>
          <w:rFonts w:cs="Arial"/>
          <w:b/>
          <w:sz w:val="20"/>
          <w:szCs w:val="20"/>
          <w:lang w:val="en-GB"/>
        </w:rPr>
        <w:t>(e)</w:t>
      </w:r>
      <w:r w:rsidRPr="00DF519C">
        <w:rPr>
          <w:rFonts w:cs="Arial"/>
          <w:sz w:val="20"/>
          <w:szCs w:val="20"/>
          <w:lang w:val="en-GB"/>
        </w:rPr>
        <w:t xml:space="preserve"> A549</w:t>
      </w:r>
      <w:r>
        <w:rPr>
          <w:rFonts w:cs="Arial"/>
          <w:sz w:val="20"/>
          <w:szCs w:val="20"/>
          <w:lang w:val="en-GB"/>
        </w:rPr>
        <w:t>,</w:t>
      </w:r>
      <w:r w:rsidRPr="00DF519C">
        <w:rPr>
          <w:rFonts w:cs="Arial"/>
          <w:sz w:val="20"/>
          <w:szCs w:val="20"/>
          <w:lang w:val="en-GB"/>
        </w:rPr>
        <w:t xml:space="preserve"> </w:t>
      </w:r>
      <w:r w:rsidRPr="00DF519C">
        <w:rPr>
          <w:rFonts w:cs="Arial"/>
          <w:b/>
          <w:sz w:val="20"/>
          <w:szCs w:val="20"/>
          <w:lang w:val="en-GB"/>
        </w:rPr>
        <w:t>(f)</w:t>
      </w:r>
      <w:r>
        <w:rPr>
          <w:rFonts w:cs="Arial"/>
          <w:sz w:val="20"/>
          <w:szCs w:val="20"/>
          <w:lang w:val="en-GB"/>
        </w:rPr>
        <w:t xml:space="preserve"> </w:t>
      </w:r>
      <w:r w:rsidRPr="00DF519C">
        <w:rPr>
          <w:rFonts w:cs="Arial"/>
          <w:sz w:val="20"/>
          <w:szCs w:val="20"/>
          <w:lang w:val="en-GB"/>
        </w:rPr>
        <w:t xml:space="preserve">H1299, </w:t>
      </w:r>
      <w:r w:rsidRPr="00DF519C">
        <w:rPr>
          <w:rFonts w:cs="Arial"/>
          <w:b/>
          <w:sz w:val="20"/>
          <w:szCs w:val="20"/>
          <w:lang w:val="en-GB"/>
        </w:rPr>
        <w:t>(g)</w:t>
      </w:r>
      <w:r>
        <w:rPr>
          <w:rFonts w:cs="Arial"/>
          <w:sz w:val="20"/>
          <w:szCs w:val="20"/>
          <w:lang w:val="en-GB"/>
        </w:rPr>
        <w:t xml:space="preserve"> </w:t>
      </w:r>
      <w:r w:rsidRPr="00DF519C">
        <w:rPr>
          <w:rFonts w:cs="Arial"/>
          <w:sz w:val="20"/>
          <w:szCs w:val="20"/>
          <w:lang w:val="en-GB"/>
        </w:rPr>
        <w:t xml:space="preserve">H358 and </w:t>
      </w:r>
      <w:r w:rsidRPr="00DF519C">
        <w:rPr>
          <w:rFonts w:cs="Arial"/>
          <w:b/>
          <w:sz w:val="20"/>
          <w:szCs w:val="20"/>
          <w:lang w:val="en-GB"/>
        </w:rPr>
        <w:t>(h)</w:t>
      </w:r>
      <w:r>
        <w:rPr>
          <w:rFonts w:cs="Arial"/>
          <w:sz w:val="20"/>
          <w:szCs w:val="20"/>
          <w:lang w:val="en-GB"/>
        </w:rPr>
        <w:t xml:space="preserve"> </w:t>
      </w:r>
      <w:r w:rsidRPr="00DF519C">
        <w:rPr>
          <w:rFonts w:cs="Arial"/>
          <w:sz w:val="20"/>
          <w:szCs w:val="20"/>
          <w:lang w:val="en-GB"/>
        </w:rPr>
        <w:t>H838 cells.</w:t>
      </w:r>
      <w:bookmarkStart w:id="0" w:name="_GoBack"/>
      <w:bookmarkEnd w:id="0"/>
    </w:p>
    <w:p w:rsidR="000C4C1D" w:rsidRDefault="000C4C1D"/>
    <w:sectPr w:rsidR="000C4C1D" w:rsidSect="00740996">
      <w:pgSz w:w="11906" w:h="16838"/>
      <w:pgMar w:top="1440" w:right="2880" w:bottom="1440" w:left="28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D1C"/>
    <w:rsid w:val="00013D1C"/>
    <w:rsid w:val="000C4C1D"/>
    <w:rsid w:val="0074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FC6C3-8272-4748-BDE5-44CB0B05C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3D1C"/>
    <w:rPr>
      <w:rFonts w:ascii="Arial" w:eastAsia="Calibri" w:hAnsi="Arial" w:cs="Times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Ankara Üniversitesi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Özge Boyacıoğlu</dc:creator>
  <cp:keywords/>
  <dc:description/>
  <cp:lastModifiedBy>Özge Boyacıoğlu</cp:lastModifiedBy>
  <cp:revision>2</cp:revision>
  <dcterms:created xsi:type="dcterms:W3CDTF">2020-10-10T18:19:00Z</dcterms:created>
  <dcterms:modified xsi:type="dcterms:W3CDTF">2020-11-10T10:30:00Z</dcterms:modified>
</cp:coreProperties>
</file>