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717" w:rsidRDefault="00B46717" w:rsidP="00B46717">
      <w:pPr>
        <w:widowControl w:val="0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Supple</w:t>
      </w:r>
      <w:bookmarkStart w:id="0" w:name="_GoBack"/>
      <w:bookmarkEnd w:id="0"/>
      <w:r>
        <w:rPr>
          <w:b/>
          <w:sz w:val="24"/>
          <w:szCs w:val="24"/>
        </w:rPr>
        <w:t>mentary material</w:t>
      </w:r>
    </w:p>
    <w:p w:rsidR="00B46717" w:rsidRDefault="00B46717" w:rsidP="00B46717">
      <w:r>
        <w:rPr>
          <w:b/>
        </w:rPr>
        <w:t>Supplementary Table 1.</w:t>
      </w:r>
      <w:r>
        <w:t xml:space="preserve"> ICD-10 codes and </w:t>
      </w:r>
      <w:r w:rsidR="00B705C7">
        <w:rPr>
          <w:color w:val="000000"/>
        </w:rPr>
        <w:t xml:space="preserve">ICPC2 </w:t>
      </w:r>
      <w:r>
        <w:t>codes  used to identify malignant neoplasms</w:t>
      </w:r>
    </w:p>
    <w:p w:rsidR="00B46717" w:rsidRDefault="00B46717" w:rsidP="00B46717"/>
    <w:p w:rsidR="00B46717" w:rsidRDefault="00B46717" w:rsidP="00B46717"/>
    <w:tbl>
      <w:tblPr>
        <w:tblW w:w="9025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38"/>
        <w:gridCol w:w="3704"/>
        <w:gridCol w:w="1455"/>
        <w:gridCol w:w="3028"/>
      </w:tblGrid>
      <w:tr w:rsidR="00B46717" w:rsidTr="00ED1878">
        <w:trPr>
          <w:trHeight w:val="500"/>
        </w:trPr>
        <w:tc>
          <w:tcPr>
            <w:tcW w:w="4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Type of malignant neoplasm</w:t>
            </w:r>
          </w:p>
        </w:tc>
        <w:tc>
          <w:tcPr>
            <w:tcW w:w="14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705C7" w:rsidP="00ED1878">
            <w:pPr>
              <w:rPr>
                <w:rFonts w:ascii="Calibri" w:eastAsia="Calibri" w:hAnsi="Calibri" w:cs="Calibri"/>
                <w:b/>
              </w:rPr>
            </w:pPr>
            <w:r w:rsidRPr="00B705C7">
              <w:rPr>
                <w:b/>
                <w:color w:val="000000"/>
              </w:rPr>
              <w:t>ICPC2</w:t>
            </w:r>
            <w:r>
              <w:rPr>
                <w:color w:val="000000"/>
              </w:rPr>
              <w:t xml:space="preserve"> </w:t>
            </w:r>
            <w:r w:rsidR="00B46717">
              <w:rPr>
                <w:rFonts w:ascii="Calibri" w:eastAsia="Calibri" w:hAnsi="Calibri" w:cs="Calibri"/>
                <w:b/>
              </w:rPr>
              <w:t>Code</w:t>
            </w:r>
          </w:p>
        </w:tc>
        <w:tc>
          <w:tcPr>
            <w:tcW w:w="30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ICD-10 Code</w:t>
            </w:r>
          </w:p>
        </w:tc>
      </w:tr>
      <w:tr w:rsidR="00B46717" w:rsidTr="00ED1878">
        <w:trPr>
          <w:trHeight w:val="500"/>
        </w:trPr>
        <w:tc>
          <w:tcPr>
            <w:tcW w:w="454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Colorectal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D75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C18% - C21%</w:t>
            </w:r>
          </w:p>
        </w:tc>
      </w:tr>
      <w:tr w:rsidR="00B46717" w:rsidTr="00ED1878">
        <w:trPr>
          <w:trHeight w:val="500"/>
        </w:trPr>
        <w:tc>
          <w:tcPr>
            <w:tcW w:w="454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Lung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R84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C33%, C34%, C46.5%</w:t>
            </w:r>
          </w:p>
        </w:tc>
      </w:tr>
      <w:tr w:rsidR="00B46717" w:rsidTr="00ED1878">
        <w:trPr>
          <w:trHeight w:val="500"/>
        </w:trPr>
        <w:tc>
          <w:tcPr>
            <w:tcW w:w="454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Skin non-melanoma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S770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C44%, C46.0, C46.1</w:t>
            </w:r>
          </w:p>
        </w:tc>
      </w:tr>
      <w:tr w:rsidR="00B46717" w:rsidTr="00ED1878">
        <w:trPr>
          <w:trHeight w:val="500"/>
        </w:trPr>
        <w:tc>
          <w:tcPr>
            <w:tcW w:w="454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Melanoma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S771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C43%</w:t>
            </w:r>
          </w:p>
        </w:tc>
      </w:tr>
      <w:tr w:rsidR="00B46717" w:rsidTr="00ED1878">
        <w:trPr>
          <w:trHeight w:val="500"/>
        </w:trPr>
        <w:tc>
          <w:tcPr>
            <w:tcW w:w="454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Breast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X76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C50% </w:t>
            </w:r>
          </w:p>
        </w:tc>
      </w:tr>
      <w:tr w:rsidR="00B46717" w:rsidTr="00ED1878">
        <w:trPr>
          <w:trHeight w:val="500"/>
        </w:trPr>
        <w:tc>
          <w:tcPr>
            <w:tcW w:w="454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Prostate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Y77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C61%</w:t>
            </w:r>
          </w:p>
        </w:tc>
      </w:tr>
      <w:tr w:rsidR="00B46717" w:rsidTr="00ED1878">
        <w:trPr>
          <w:trHeight w:val="500"/>
        </w:trPr>
        <w:tc>
          <w:tcPr>
            <w:tcW w:w="83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Others</w:t>
            </w:r>
          </w:p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Stomach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D74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C16%</w:t>
            </w:r>
          </w:p>
        </w:tc>
      </w:tr>
      <w:tr w:rsidR="00B46717" w:rsidTr="00ED1878">
        <w:trPr>
          <w:trHeight w:val="500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Pancreas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D76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C25%</w:t>
            </w:r>
          </w:p>
        </w:tc>
      </w:tr>
      <w:tr w:rsidR="00B46717" w:rsidTr="00ED1878">
        <w:trPr>
          <w:trHeight w:val="1295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Other digestive organs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D77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C17%, C46.2, C46.4, C00% - C08%, C15%, C17%, C22%, C23%, C24%, C26%, C45.1, C46.2, C46.4, C48%</w:t>
            </w:r>
          </w:p>
        </w:tc>
      </w:tr>
      <w:tr w:rsidR="00B46717" w:rsidTr="00ED1878">
        <w:trPr>
          <w:trHeight w:val="755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Brain and other parts of nervous system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N74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C47%, C70%, C71%, C72%</w:t>
            </w:r>
          </w:p>
        </w:tc>
      </w:tr>
      <w:tr w:rsidR="00B46717" w:rsidTr="00ED1878">
        <w:trPr>
          <w:trHeight w:val="500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Cervix uteri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X75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C53%</w:t>
            </w:r>
          </w:p>
        </w:tc>
      </w:tr>
      <w:tr w:rsidR="00B46717" w:rsidTr="00ED1878">
        <w:trPr>
          <w:trHeight w:val="500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Other female genital organs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X77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C51%, C52%, C54%-C57%</w:t>
            </w:r>
          </w:p>
        </w:tc>
      </w:tr>
      <w:tr w:rsidR="00B46717" w:rsidTr="00ED1878">
        <w:trPr>
          <w:trHeight w:val="500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Lymphoma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B72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C81%-C86%, M31.2</w:t>
            </w:r>
          </w:p>
        </w:tc>
      </w:tr>
      <w:tr w:rsidR="00B46717" w:rsidTr="00ED1878">
        <w:trPr>
          <w:trHeight w:val="500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Leukemia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B73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C90.1, C91%-C95%</w:t>
            </w:r>
          </w:p>
        </w:tc>
      </w:tr>
      <w:tr w:rsidR="00B46717" w:rsidTr="00ED1878">
        <w:trPr>
          <w:trHeight w:val="1025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Other hematopoietic and related tissue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B74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C77%, C88%, C90, C90.0, C90.2, C90.3, C96%, C26.1, C37%, C46.3</w:t>
            </w:r>
          </w:p>
        </w:tc>
      </w:tr>
      <w:tr w:rsidR="00B46717" w:rsidTr="00ED1878">
        <w:trPr>
          <w:trHeight w:val="500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Bladder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U76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C67%</w:t>
            </w:r>
          </w:p>
        </w:tc>
      </w:tr>
      <w:tr w:rsidR="00B46717" w:rsidTr="00ED1878">
        <w:trPr>
          <w:trHeight w:val="500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Kidney and renal pelvis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U75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C64%, C65%</w:t>
            </w:r>
          </w:p>
        </w:tc>
      </w:tr>
      <w:tr w:rsidR="00B46717" w:rsidTr="00ED1878">
        <w:trPr>
          <w:trHeight w:val="500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Ureter and other urinary organs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U77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C66%, C68%</w:t>
            </w:r>
          </w:p>
        </w:tc>
      </w:tr>
      <w:tr w:rsidR="00B46717" w:rsidTr="00ED1878">
        <w:trPr>
          <w:trHeight w:val="500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Thyroid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T71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C73%</w:t>
            </w:r>
          </w:p>
        </w:tc>
      </w:tr>
      <w:tr w:rsidR="00B46717" w:rsidTr="00ED1878">
        <w:trPr>
          <w:trHeight w:val="755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Other respiratory organs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R85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C09%-C14%, C30%-C32%, C39%, C45.0</w:t>
            </w:r>
          </w:p>
        </w:tc>
      </w:tr>
      <w:tr w:rsidR="00B46717" w:rsidTr="00ED1878">
        <w:trPr>
          <w:trHeight w:val="515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Bone and articular cartilage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L71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C40%, C41%, C46.1, C49% </w:t>
            </w:r>
          </w:p>
        </w:tc>
      </w:tr>
      <w:tr w:rsidR="00B46717" w:rsidTr="00ED1878">
        <w:trPr>
          <w:trHeight w:val="755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Breast and genital organs in men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Y78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C50, C50.1, C50.9, C60%, C62%, C63%</w:t>
            </w:r>
          </w:p>
        </w:tc>
      </w:tr>
      <w:tr w:rsidR="00B46717" w:rsidTr="00ED1878">
        <w:trPr>
          <w:trHeight w:val="515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Ear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H75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C30.1</w:t>
            </w:r>
          </w:p>
        </w:tc>
      </w:tr>
      <w:tr w:rsidR="00B46717" w:rsidTr="00ED1878">
        <w:trPr>
          <w:trHeight w:val="515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Eye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F74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C69%</w:t>
            </w:r>
          </w:p>
        </w:tc>
      </w:tr>
      <w:tr w:rsidR="00B46717" w:rsidTr="00ED1878">
        <w:trPr>
          <w:trHeight w:val="515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Heart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K72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C38.0, C45.2</w:t>
            </w:r>
          </w:p>
        </w:tc>
      </w:tr>
      <w:tr w:rsidR="00B46717" w:rsidTr="00ED1878">
        <w:trPr>
          <w:trHeight w:val="515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Pregnancy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W72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C58</w:t>
            </w:r>
          </w:p>
        </w:tc>
      </w:tr>
      <w:tr w:rsidR="00B46717" w:rsidTr="00ED1878">
        <w:trPr>
          <w:trHeight w:val="1295"/>
        </w:trPr>
        <w:tc>
          <w:tcPr>
            <w:tcW w:w="83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/>
        </w:tc>
        <w:tc>
          <w:tcPr>
            <w:tcW w:w="3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Miscellanea </w:t>
            </w:r>
          </w:p>
        </w:tc>
        <w:tc>
          <w:tcPr>
            <w:tcW w:w="145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A79</w:t>
            </w:r>
          </w:p>
        </w:tc>
        <w:tc>
          <w:tcPr>
            <w:tcW w:w="302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C14%, C30%, C38%, C39%, C45, C45.7, C45.9, C46, C46.7, C46.9, C4A%, C76%, C77%, C78%, C79%, C7A%, C7B%, C80</w:t>
            </w:r>
          </w:p>
        </w:tc>
      </w:tr>
    </w:tbl>
    <w:p w:rsidR="00B46717" w:rsidRDefault="00B46717" w:rsidP="00B46717"/>
    <w:p w:rsidR="00B46717" w:rsidRDefault="00B46717" w:rsidP="00B4671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141" w:hanging="141"/>
        <w:rPr>
          <w:b/>
        </w:rPr>
      </w:pPr>
      <w:r>
        <w:rPr>
          <w:b/>
        </w:rPr>
        <w:t xml:space="preserve">Supplementary Table 2. Number and monthly incidence average of new cancers for each study period stratified by type of cancer, sex, age groups, and socieoconomic status </w:t>
      </w:r>
    </w:p>
    <w:p w:rsidR="00B46717" w:rsidRDefault="00B46717" w:rsidP="00B4671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450" w:hanging="450"/>
        <w:rPr>
          <w:b/>
        </w:rPr>
      </w:pPr>
    </w:p>
    <w:tbl>
      <w:tblPr>
        <w:tblW w:w="982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95"/>
        <w:gridCol w:w="2085"/>
        <w:gridCol w:w="2115"/>
        <w:gridCol w:w="2130"/>
      </w:tblGrid>
      <w:tr w:rsidR="00B46717" w:rsidTr="00ED1878">
        <w:trPr>
          <w:trHeight w:val="11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46717" w:rsidRDefault="00B46717" w:rsidP="00ED1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Variable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46717" w:rsidRDefault="00B46717" w:rsidP="00ED1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Period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80808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46717" w:rsidRDefault="00B46717" w:rsidP="00ED1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Number of cancer diagnoses</w:t>
            </w: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80808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46717" w:rsidRDefault="00B46717" w:rsidP="00ED1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Monthly incidence average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lastRenderedPageBreak/>
              <w:t>Total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206,470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72.4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42,644</w:t>
            </w: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72.8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24,265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54.6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Between 15 and 64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75,376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33.8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15,639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34.4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8,863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25.7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Older than 64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131,094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210.1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27,005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205.9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15,402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154.9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Women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96,339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66.1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19,992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66.7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11,484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50.6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Men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110,131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78.9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22,652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79.1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12,781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58.9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1st Q (least deprived)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48,672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79.6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9,858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77.5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5,299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55.0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2nd Q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31,326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72.7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6,581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73.7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3,698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54.6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3rd Q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41,471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69.2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8,475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69.7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4,766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51.8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4th Q (most deprived)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35,656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67.7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7,331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67.9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4,261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52.0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Rural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49,345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72.0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10,399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74.3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6,241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58.8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Colorrectal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19,935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7.0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3,575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6.1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1,963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4.4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Lung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11,630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4.1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2,463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4.2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1,716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3.9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Skin (nonmelanoma)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55,398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19.4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11,948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20.4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6,024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13.6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Skin (melanoma)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5,414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1.9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1,191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2.0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622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1.4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Breast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18,600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6.5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3,721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6.3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2,195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4.9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Prostate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13,869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4.9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2,790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4.8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1,447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3.3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Others</w:t>
            </w: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2014-2018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81,624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28.6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2019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16,956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28.9</w:t>
            </w:r>
          </w:p>
        </w:tc>
      </w:tr>
      <w:tr w:rsidR="00B46717" w:rsidTr="00ED1878">
        <w:trPr>
          <w:trHeight w:val="500"/>
        </w:trPr>
        <w:tc>
          <w:tcPr>
            <w:tcW w:w="3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</w:p>
        </w:tc>
        <w:tc>
          <w:tcPr>
            <w:tcW w:w="20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</w:pPr>
            <w:r>
              <w:t>2020</w:t>
            </w:r>
          </w:p>
        </w:tc>
        <w:tc>
          <w:tcPr>
            <w:tcW w:w="21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10,298</w:t>
            </w:r>
          </w:p>
        </w:tc>
        <w:tc>
          <w:tcPr>
            <w:tcW w:w="21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46717" w:rsidRDefault="00B46717" w:rsidP="00ED1878">
            <w:pPr>
              <w:widowControl w:val="0"/>
              <w:jc w:val="center"/>
            </w:pPr>
            <w:r>
              <w:t>23.2</w:t>
            </w:r>
          </w:p>
        </w:tc>
      </w:tr>
    </w:tbl>
    <w:p w:rsidR="00B46717" w:rsidRDefault="00B46717" w:rsidP="00B4671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240" w:lineRule="auto"/>
        <w:ind w:left="450" w:hanging="450"/>
        <w:rPr>
          <w:b/>
        </w:rPr>
      </w:pPr>
    </w:p>
    <w:p w:rsidR="00FF0B98" w:rsidRDefault="00C5653A"/>
    <w:sectPr w:rsidR="00FF0B98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53A" w:rsidRDefault="00C5653A">
      <w:pPr>
        <w:spacing w:line="240" w:lineRule="auto"/>
      </w:pPr>
      <w:r>
        <w:separator/>
      </w:r>
    </w:p>
  </w:endnote>
  <w:endnote w:type="continuationSeparator" w:id="0">
    <w:p w:rsidR="00C5653A" w:rsidRDefault="00C565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9C9" w:rsidRDefault="00C5653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53A" w:rsidRDefault="00C5653A">
      <w:pPr>
        <w:spacing w:line="240" w:lineRule="auto"/>
      </w:pPr>
      <w:r>
        <w:separator/>
      </w:r>
    </w:p>
  </w:footnote>
  <w:footnote w:type="continuationSeparator" w:id="0">
    <w:p w:rsidR="00C5653A" w:rsidRDefault="00C5653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717"/>
    <w:rsid w:val="001B791C"/>
    <w:rsid w:val="00494B1D"/>
    <w:rsid w:val="00AF74F3"/>
    <w:rsid w:val="00B46717"/>
    <w:rsid w:val="00B705C7"/>
    <w:rsid w:val="00C5653A"/>
    <w:rsid w:val="00F4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46717"/>
    <w:pPr>
      <w:spacing w:after="0"/>
    </w:pPr>
    <w:rPr>
      <w:rFonts w:ascii="Arial" w:eastAsia="Arial" w:hAnsi="Arial" w:cs="Arial"/>
      <w:noProof/>
      <w:lang w:val="en-GB" w:eastAsia="ca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46717"/>
    <w:pPr>
      <w:spacing w:after="0"/>
    </w:pPr>
    <w:rPr>
      <w:rFonts w:ascii="Arial" w:eastAsia="Arial" w:hAnsi="Arial" w:cs="Arial"/>
      <w:noProof/>
      <w:lang w:val="en-GB" w:eastAsia="ca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Ermengol Coma Redon</dc:creator>
  <cp:lastModifiedBy>Ermengol Coma Redon</cp:lastModifiedBy>
  <cp:revision>2</cp:revision>
  <dcterms:created xsi:type="dcterms:W3CDTF">2020-11-26T11:03:00Z</dcterms:created>
  <dcterms:modified xsi:type="dcterms:W3CDTF">2020-11-26T13:31:00Z</dcterms:modified>
</cp:coreProperties>
</file>