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29E1E" w14:textId="0527DEEC" w:rsidR="00C01F1D" w:rsidRPr="00C01F1D" w:rsidRDefault="00C01F1D" w:rsidP="00C01F1D">
      <w:pPr>
        <w:spacing w:line="240" w:lineRule="auto"/>
        <w:jc w:val="both"/>
        <w:rPr>
          <w:rFonts w:ascii="Times New Roman" w:hAnsi="Times New Roman" w:cs="Times New Roman"/>
          <w:color w:val="000000"/>
        </w:rPr>
      </w:pPr>
      <w:r>
        <w:rPr>
          <w:rFonts w:ascii="Times New Roman" w:hAnsi="Times New Roman" w:cs="Times New Roman"/>
          <w:b/>
          <w:bCs/>
          <w:color w:val="000000"/>
        </w:rPr>
        <w:t>A</w:t>
      </w:r>
      <w:r w:rsidRPr="00C01F1D">
        <w:rPr>
          <w:rFonts w:ascii="Times New Roman" w:hAnsi="Times New Roman" w:cs="Times New Roman"/>
          <w:b/>
          <w:bCs/>
          <w:color w:val="000000"/>
        </w:rPr>
        <w:t>rticle title:</w:t>
      </w:r>
      <w:r>
        <w:rPr>
          <w:rFonts w:ascii="Times New Roman" w:hAnsi="Times New Roman" w:cs="Times New Roman"/>
          <w:color w:val="000000"/>
        </w:rPr>
        <w:t xml:space="preserve"> </w:t>
      </w:r>
      <w:r w:rsidRPr="00C01F1D">
        <w:rPr>
          <w:rFonts w:ascii="Times New Roman" w:hAnsi="Times New Roman" w:cs="Times New Roman"/>
          <w:color w:val="000000"/>
        </w:rPr>
        <w:t xml:space="preserve">“Circulating endocannabinoidome signatures of disease activity in amyotrophic lateral sclerosis” </w:t>
      </w:r>
    </w:p>
    <w:p w14:paraId="69FA422A" w14:textId="5B2507C5" w:rsidR="00C01F1D" w:rsidRDefault="00C01F1D" w:rsidP="00C01F1D">
      <w:pPr>
        <w:jc w:val="both"/>
        <w:rPr>
          <w:rFonts w:ascii="Times New Roman" w:eastAsia="Times New Roman" w:hAnsi="Times New Roman" w:cs="Times New Roman"/>
          <w:lang w:val="it-IT"/>
        </w:rPr>
      </w:pPr>
      <w:r w:rsidRPr="00C01F1D">
        <w:rPr>
          <w:rFonts w:ascii="Times New Roman" w:eastAsia="Times New Roman" w:hAnsi="Times New Roman" w:cs="Times New Roman"/>
          <w:b/>
          <w:bCs/>
          <w:lang w:val="it-IT"/>
        </w:rPr>
        <w:t>Author names:</w:t>
      </w:r>
      <w:r>
        <w:rPr>
          <w:rFonts w:ascii="Times New Roman" w:eastAsia="Times New Roman" w:hAnsi="Times New Roman" w:cs="Times New Roman"/>
          <w:lang w:val="it-IT"/>
        </w:rPr>
        <w:t xml:space="preserve"> </w:t>
      </w:r>
      <w:r w:rsidRPr="00C01F1D">
        <w:rPr>
          <w:rFonts w:ascii="Times New Roman" w:eastAsia="Times New Roman" w:hAnsi="Times New Roman" w:cs="Times New Roman"/>
          <w:lang w:val="it-IT"/>
        </w:rPr>
        <w:t>Raffaele Dubbioso</w:t>
      </w:r>
      <w:r w:rsidRPr="00C01F1D">
        <w:rPr>
          <w:rFonts w:ascii="Times New Roman" w:eastAsia="Times New Roman" w:hAnsi="Times New Roman" w:cs="Times New Roman"/>
          <w:vertAlign w:val="superscript"/>
          <w:lang w:val="it-IT"/>
        </w:rPr>
        <w:t>1†</w:t>
      </w:r>
      <w:r w:rsidRPr="00C01F1D">
        <w:rPr>
          <w:rFonts w:ascii="Times New Roman" w:eastAsia="Times New Roman" w:hAnsi="Times New Roman" w:cs="Times New Roman"/>
          <w:lang w:val="it-IT"/>
        </w:rPr>
        <w:t>, Fabio Arturo Iannotti</w:t>
      </w:r>
      <w:r w:rsidRPr="00C01F1D">
        <w:rPr>
          <w:rFonts w:ascii="Times New Roman" w:eastAsia="Times New Roman" w:hAnsi="Times New Roman" w:cs="Times New Roman"/>
          <w:vertAlign w:val="superscript"/>
          <w:lang w:val="it-IT"/>
        </w:rPr>
        <w:t>2</w:t>
      </w:r>
      <w:r w:rsidRPr="00C01F1D">
        <w:rPr>
          <w:rFonts w:ascii="Times New Roman" w:eastAsia="Times New Roman" w:hAnsi="Times New Roman" w:cs="Times New Roman"/>
          <w:lang w:val="it-IT"/>
        </w:rPr>
        <w:t>, Gianmaria Senerchia</w:t>
      </w:r>
      <w:r w:rsidRPr="00C01F1D">
        <w:rPr>
          <w:rFonts w:ascii="Times New Roman" w:eastAsia="Times New Roman" w:hAnsi="Times New Roman" w:cs="Times New Roman"/>
          <w:vertAlign w:val="superscript"/>
          <w:lang w:val="it-IT"/>
        </w:rPr>
        <w:t>1</w:t>
      </w:r>
      <w:r w:rsidRPr="00C01F1D">
        <w:rPr>
          <w:rFonts w:ascii="Times New Roman" w:eastAsia="Times New Roman" w:hAnsi="Times New Roman" w:cs="Times New Roman"/>
          <w:lang w:val="it-IT"/>
        </w:rPr>
        <w:t>, Roberta Verde</w:t>
      </w:r>
      <w:r w:rsidRPr="00C01F1D">
        <w:rPr>
          <w:rFonts w:ascii="Times New Roman" w:eastAsia="Times New Roman" w:hAnsi="Times New Roman" w:cs="Times New Roman"/>
          <w:vertAlign w:val="superscript"/>
          <w:lang w:val="it-IT"/>
        </w:rPr>
        <w:t>2</w:t>
      </w:r>
      <w:r w:rsidRPr="00C01F1D">
        <w:rPr>
          <w:rFonts w:ascii="Times New Roman" w:eastAsia="Times New Roman" w:hAnsi="Times New Roman" w:cs="Times New Roman"/>
          <w:lang w:val="it-IT"/>
        </w:rPr>
        <w:t>, Valentina Virginia Iuzzolino</w:t>
      </w:r>
      <w:r w:rsidRPr="00C01F1D">
        <w:rPr>
          <w:rFonts w:ascii="Times New Roman" w:eastAsia="Times New Roman" w:hAnsi="Times New Roman" w:cs="Times New Roman"/>
          <w:vertAlign w:val="superscript"/>
          <w:lang w:val="it-IT"/>
        </w:rPr>
        <w:t>1</w:t>
      </w:r>
      <w:r w:rsidRPr="00C01F1D">
        <w:rPr>
          <w:rFonts w:ascii="Times New Roman" w:eastAsia="Times New Roman" w:hAnsi="Times New Roman" w:cs="Times New Roman"/>
          <w:lang w:val="it-IT"/>
        </w:rPr>
        <w:t>, Myriam Spisto</w:t>
      </w:r>
      <w:r w:rsidRPr="00C01F1D">
        <w:rPr>
          <w:rFonts w:ascii="Times New Roman" w:eastAsia="Times New Roman" w:hAnsi="Times New Roman" w:cs="Times New Roman"/>
          <w:vertAlign w:val="superscript"/>
          <w:lang w:val="it-IT"/>
        </w:rPr>
        <w:t>1</w:t>
      </w:r>
      <w:r w:rsidRPr="00C01F1D">
        <w:rPr>
          <w:rFonts w:ascii="Times New Roman" w:eastAsia="Times New Roman" w:hAnsi="Times New Roman" w:cs="Times New Roman"/>
          <w:lang w:val="it-IT"/>
        </w:rPr>
        <w:t>, Ines Fasolino</w:t>
      </w:r>
      <w:r w:rsidRPr="00C01F1D">
        <w:rPr>
          <w:rFonts w:ascii="Times New Roman" w:eastAsia="Times New Roman" w:hAnsi="Times New Roman" w:cs="Times New Roman"/>
          <w:vertAlign w:val="superscript"/>
          <w:lang w:val="it-IT"/>
        </w:rPr>
        <w:t>3</w:t>
      </w:r>
      <w:r w:rsidRPr="00C01F1D">
        <w:rPr>
          <w:rFonts w:ascii="Times New Roman" w:eastAsia="Times New Roman" w:hAnsi="Times New Roman" w:cs="Times New Roman"/>
          <w:lang w:val="it-IT"/>
        </w:rPr>
        <w:t>, Fiore Manganelli</w:t>
      </w:r>
      <w:r w:rsidRPr="00C01F1D">
        <w:rPr>
          <w:rFonts w:ascii="Times New Roman" w:eastAsia="Times New Roman" w:hAnsi="Times New Roman" w:cs="Times New Roman"/>
          <w:vertAlign w:val="superscript"/>
          <w:lang w:val="it-IT"/>
        </w:rPr>
        <w:t>1</w:t>
      </w:r>
      <w:r w:rsidRPr="00C01F1D">
        <w:rPr>
          <w:rFonts w:ascii="Times New Roman" w:eastAsia="Times New Roman" w:hAnsi="Times New Roman" w:cs="Times New Roman"/>
          <w:lang w:val="it-IT"/>
        </w:rPr>
        <w:t>, Vincenzo Di Marzo</w:t>
      </w:r>
      <w:r w:rsidRPr="00C01F1D">
        <w:rPr>
          <w:rFonts w:ascii="Times New Roman" w:eastAsia="Times New Roman" w:hAnsi="Times New Roman" w:cs="Times New Roman"/>
          <w:vertAlign w:val="superscript"/>
          <w:lang w:val="it-IT"/>
        </w:rPr>
        <w:t>2, 4</w:t>
      </w:r>
      <w:r w:rsidRPr="00C01F1D">
        <w:rPr>
          <w:rFonts w:ascii="Times New Roman" w:eastAsia="Times New Roman" w:hAnsi="Times New Roman" w:cs="Times New Roman"/>
          <w:lang w:val="it-IT"/>
        </w:rPr>
        <w:t>, Fabiana Piscitelli</w:t>
      </w:r>
      <w:r w:rsidRPr="00C01F1D">
        <w:rPr>
          <w:rFonts w:ascii="Times New Roman" w:eastAsia="Times New Roman" w:hAnsi="Times New Roman" w:cs="Times New Roman"/>
          <w:vertAlign w:val="superscript"/>
          <w:lang w:val="it-IT"/>
        </w:rPr>
        <w:t>2†</w:t>
      </w:r>
      <w:r w:rsidRPr="00C01F1D">
        <w:rPr>
          <w:rFonts w:ascii="Times New Roman" w:eastAsia="Times New Roman" w:hAnsi="Times New Roman" w:cs="Times New Roman"/>
          <w:lang w:val="it-IT"/>
        </w:rPr>
        <w:t>.</w:t>
      </w:r>
    </w:p>
    <w:p w14:paraId="2010F599" w14:textId="0C752125" w:rsidR="00C01F1D" w:rsidRPr="00C01F1D" w:rsidRDefault="00C01F1D" w:rsidP="00C01F1D">
      <w:pPr>
        <w:jc w:val="both"/>
        <w:rPr>
          <w:rFonts w:ascii="Times New Roman" w:eastAsia="Times New Roman" w:hAnsi="Times New Roman" w:cs="Times New Roman"/>
          <w:i/>
          <w:iCs/>
        </w:rPr>
      </w:pPr>
      <w:r w:rsidRPr="00C01F1D">
        <w:rPr>
          <w:rFonts w:ascii="Times New Roman" w:eastAsia="Times New Roman" w:hAnsi="Times New Roman" w:cs="Times New Roman"/>
          <w:b/>
          <w:bCs/>
        </w:rPr>
        <w:t>Journal name:</w:t>
      </w:r>
      <w:r w:rsidRPr="00C01F1D">
        <w:rPr>
          <w:rFonts w:ascii="Times New Roman" w:eastAsia="Times New Roman" w:hAnsi="Times New Roman" w:cs="Times New Roman"/>
          <w:i/>
          <w:iCs/>
        </w:rPr>
        <w:t xml:space="preserve"> </w:t>
      </w:r>
      <w:r w:rsidR="006B01A0">
        <w:rPr>
          <w:rFonts w:ascii="Times New Roman" w:eastAsia="Times New Roman" w:hAnsi="Times New Roman" w:cs="Times New Roman"/>
          <w:i/>
          <w:iCs/>
        </w:rPr>
        <w:t xml:space="preserve">European </w:t>
      </w:r>
      <w:r w:rsidRPr="00C01F1D">
        <w:rPr>
          <w:rFonts w:ascii="Times New Roman" w:eastAsia="Times New Roman" w:hAnsi="Times New Roman" w:cs="Times New Roman"/>
          <w:i/>
          <w:iCs/>
        </w:rPr>
        <w:t>Journal of Neurology</w:t>
      </w:r>
    </w:p>
    <w:p w14:paraId="72FEFA86" w14:textId="77777777" w:rsidR="007C2487" w:rsidRPr="00C01F1D" w:rsidRDefault="00C01F1D" w:rsidP="00DF711F">
      <w:pPr>
        <w:spacing w:after="0" w:line="240" w:lineRule="auto"/>
        <w:rPr>
          <w:rFonts w:ascii="Times New Roman" w:eastAsia="Times New Roman" w:hAnsi="Times New Roman" w:cs="Times New Roman"/>
          <w:b/>
        </w:rPr>
      </w:pPr>
      <w:r w:rsidRPr="002A5284">
        <w:rPr>
          <w:rFonts w:ascii="Times New Roman" w:eastAsia="Times New Roman" w:hAnsi="Times New Roman" w:cs="Times New Roman"/>
          <w:vertAlign w:val="superscript"/>
        </w:rPr>
        <w:t>†</w:t>
      </w:r>
      <w:r w:rsidRPr="002A5284">
        <w:rPr>
          <w:rFonts w:ascii="Times New Roman" w:eastAsia="Times New Roman" w:hAnsi="Times New Roman" w:cs="Times New Roman"/>
          <w:b/>
        </w:rPr>
        <w:t>Correspondence to:</w:t>
      </w:r>
      <w:r w:rsidRPr="002A5284">
        <w:rPr>
          <w:rFonts w:ascii="Times New Roman" w:eastAsia="Times New Roman" w:hAnsi="Times New Roman" w:cs="Times New Roman"/>
          <w:b/>
        </w:rPr>
        <w:br/>
      </w:r>
      <w:r w:rsidR="007C2487" w:rsidRPr="00C01F1D">
        <w:rPr>
          <w:rFonts w:ascii="Times New Roman" w:eastAsia="Times New Roman" w:hAnsi="Times New Roman" w:cs="Times New Roman"/>
          <w:b/>
        </w:rPr>
        <w:t>Raffaele Dubbioso</w:t>
      </w:r>
    </w:p>
    <w:p w14:paraId="3ADDE4C9" w14:textId="77777777" w:rsidR="007C2487" w:rsidRPr="00C01F1D" w:rsidRDefault="007C2487" w:rsidP="00DF711F">
      <w:pPr>
        <w:spacing w:after="0" w:line="240" w:lineRule="auto"/>
        <w:rPr>
          <w:rFonts w:ascii="Times New Roman" w:eastAsia="Times New Roman" w:hAnsi="Times New Roman" w:cs="Times New Roman"/>
        </w:rPr>
      </w:pPr>
      <w:r w:rsidRPr="00C01F1D">
        <w:rPr>
          <w:rFonts w:ascii="Times New Roman" w:eastAsia="Times New Roman" w:hAnsi="Times New Roman" w:cs="Times New Roman"/>
        </w:rPr>
        <w:t xml:space="preserve">Department of Neurosciences, Reproductive Sciences and Odontostomatology, University of Naples Federico II, Via Sergio Pansini, 5, 80131 Naples, Italy </w:t>
      </w:r>
    </w:p>
    <w:p w14:paraId="6D9EC178" w14:textId="77777777" w:rsidR="007C2487" w:rsidRPr="00C01F1D" w:rsidRDefault="007C2487" w:rsidP="00DF711F">
      <w:pPr>
        <w:spacing w:after="0" w:line="240" w:lineRule="auto"/>
        <w:rPr>
          <w:rFonts w:ascii="Times New Roman" w:eastAsia="Times New Roman" w:hAnsi="Times New Roman" w:cs="Times New Roman"/>
        </w:rPr>
      </w:pPr>
      <w:r w:rsidRPr="00C01F1D">
        <w:rPr>
          <w:rFonts w:ascii="Times New Roman" w:eastAsia="Times New Roman" w:hAnsi="Times New Roman" w:cs="Times New Roman"/>
        </w:rPr>
        <w:t>Tel: +390817464587</w:t>
      </w:r>
    </w:p>
    <w:p w14:paraId="7E70F93F" w14:textId="77777777" w:rsidR="007C2487" w:rsidRPr="00C01F1D" w:rsidRDefault="007C2487" w:rsidP="00DF711F">
      <w:pPr>
        <w:spacing w:after="0" w:line="240" w:lineRule="auto"/>
        <w:rPr>
          <w:rFonts w:ascii="Times New Roman" w:eastAsia="Times New Roman" w:hAnsi="Times New Roman" w:cs="Times New Roman"/>
        </w:rPr>
      </w:pPr>
      <w:r w:rsidRPr="00C01F1D">
        <w:rPr>
          <w:rFonts w:ascii="Times New Roman" w:eastAsia="Times New Roman" w:hAnsi="Times New Roman" w:cs="Times New Roman"/>
        </w:rPr>
        <w:t xml:space="preserve">Email: </w:t>
      </w:r>
      <w:r w:rsidRPr="00C01F1D">
        <w:rPr>
          <w:rFonts w:ascii="Times New Roman" w:eastAsia="Times New Roman" w:hAnsi="Times New Roman" w:cs="Times New Roman"/>
          <w:color w:val="1155CC"/>
          <w:u w:val="single"/>
        </w:rPr>
        <w:t>raffaele.dubbioso@unina.it</w:t>
      </w:r>
    </w:p>
    <w:p w14:paraId="19F5E5E0" w14:textId="77777777" w:rsidR="007C2487" w:rsidRDefault="007C2487" w:rsidP="00DF711F">
      <w:pPr>
        <w:spacing w:after="0" w:line="240" w:lineRule="auto"/>
        <w:rPr>
          <w:rFonts w:ascii="Times New Roman" w:eastAsia="Times New Roman" w:hAnsi="Times New Roman" w:cs="Times New Roman"/>
          <w:b/>
        </w:rPr>
      </w:pPr>
    </w:p>
    <w:p w14:paraId="7D429495" w14:textId="3E5D3CE5" w:rsidR="00C01F1D" w:rsidRPr="002A5284" w:rsidRDefault="00C01F1D" w:rsidP="00DF711F">
      <w:pPr>
        <w:spacing w:after="0" w:line="240" w:lineRule="auto"/>
        <w:rPr>
          <w:rFonts w:ascii="Times New Roman" w:eastAsia="Times New Roman" w:hAnsi="Times New Roman" w:cs="Times New Roman"/>
          <w:b/>
        </w:rPr>
      </w:pPr>
      <w:r w:rsidRPr="002A5284">
        <w:rPr>
          <w:rFonts w:ascii="Times New Roman" w:eastAsia="Times New Roman" w:hAnsi="Times New Roman" w:cs="Times New Roman"/>
          <w:b/>
        </w:rPr>
        <w:t>Fabiana Piscitelli</w:t>
      </w:r>
    </w:p>
    <w:p w14:paraId="0F2BDDE3" w14:textId="77777777" w:rsidR="00C01F1D" w:rsidRPr="00C01F1D" w:rsidRDefault="00C01F1D" w:rsidP="00DF711F">
      <w:pPr>
        <w:spacing w:after="0" w:line="240" w:lineRule="auto"/>
        <w:rPr>
          <w:rFonts w:ascii="Times New Roman" w:eastAsia="Times New Roman" w:hAnsi="Times New Roman" w:cs="Times New Roman"/>
        </w:rPr>
      </w:pPr>
      <w:r w:rsidRPr="00C01F1D">
        <w:rPr>
          <w:rFonts w:ascii="Times New Roman" w:eastAsia="Times New Roman" w:hAnsi="Times New Roman" w:cs="Times New Roman"/>
        </w:rPr>
        <w:t>Institute of Biomolecular Chemistry - National Research Council (ICB-CNR),Via Campi Flegrei, 34, 80078  Pozzuoli (NA), Italy</w:t>
      </w:r>
    </w:p>
    <w:p w14:paraId="402F488F" w14:textId="3A8B5AEC" w:rsidR="00C01F1D" w:rsidRPr="00C01F1D" w:rsidRDefault="00C01F1D" w:rsidP="00BF6C2A">
      <w:pPr>
        <w:spacing w:after="0" w:line="240" w:lineRule="auto"/>
        <w:rPr>
          <w:rFonts w:ascii="Times New Roman" w:eastAsia="Times New Roman" w:hAnsi="Times New Roman" w:cs="Times New Roman"/>
        </w:rPr>
      </w:pPr>
      <w:r w:rsidRPr="00C01F1D">
        <w:rPr>
          <w:rFonts w:ascii="Times New Roman" w:eastAsia="Times New Roman" w:hAnsi="Times New Roman" w:cs="Times New Roman"/>
        </w:rPr>
        <w:t>Tel: +390818675309</w:t>
      </w:r>
      <w:r w:rsidRPr="00C01F1D">
        <w:rPr>
          <w:rFonts w:ascii="Times New Roman" w:eastAsia="Times New Roman" w:hAnsi="Times New Roman" w:cs="Times New Roman"/>
        </w:rPr>
        <w:br/>
        <w:t xml:space="preserve">Email: </w:t>
      </w:r>
      <w:hyperlink r:id="rId8">
        <w:r w:rsidRPr="00C01F1D">
          <w:rPr>
            <w:rFonts w:ascii="Times New Roman" w:eastAsia="Times New Roman" w:hAnsi="Times New Roman" w:cs="Times New Roman"/>
            <w:color w:val="1155CC"/>
            <w:u w:val="single"/>
          </w:rPr>
          <w:t>fpiscitelli@icb.cnr.it</w:t>
        </w:r>
      </w:hyperlink>
    </w:p>
    <w:p w14:paraId="255A642C" w14:textId="77777777" w:rsidR="00C01F1D" w:rsidRPr="00C01F1D" w:rsidRDefault="00C01F1D" w:rsidP="00C01F1D">
      <w:pPr>
        <w:spacing w:line="240" w:lineRule="auto"/>
        <w:jc w:val="both"/>
        <w:rPr>
          <w:rFonts w:ascii="Times New Roman" w:eastAsia="Times New Roman" w:hAnsi="Times New Roman" w:cs="Times New Roman"/>
          <w:b/>
        </w:rPr>
      </w:pPr>
    </w:p>
    <w:p w14:paraId="5BDCD454" w14:textId="77777777" w:rsidR="00C01F1D" w:rsidRPr="004C2498" w:rsidRDefault="00C01F1D" w:rsidP="00C01F1D">
      <w:pPr>
        <w:jc w:val="both"/>
        <w:rPr>
          <w:rFonts w:ascii="Times New Roman" w:eastAsia="Times New Roman" w:hAnsi="Times New Roman" w:cs="Times New Roman"/>
        </w:rPr>
      </w:pPr>
    </w:p>
    <w:p w14:paraId="190686B1" w14:textId="77777777" w:rsidR="00C01F1D" w:rsidRPr="00C01F1D" w:rsidRDefault="00C01F1D" w:rsidP="00E501F3">
      <w:pPr>
        <w:spacing w:before="240" w:after="240"/>
        <w:jc w:val="both"/>
        <w:rPr>
          <w:rFonts w:ascii="Times New Roman" w:eastAsia="Times New Roman" w:hAnsi="Times New Roman" w:cs="Times New Roman"/>
          <w:b/>
          <w:sz w:val="20"/>
          <w:szCs w:val="20"/>
        </w:rPr>
      </w:pPr>
    </w:p>
    <w:p w14:paraId="3EB38F06" w14:textId="77777777" w:rsidR="00C01F1D" w:rsidRDefault="00C01F1D" w:rsidP="00E501F3">
      <w:pPr>
        <w:spacing w:before="240" w:after="240"/>
        <w:jc w:val="both"/>
        <w:rPr>
          <w:rFonts w:ascii="Times New Roman" w:eastAsia="Times New Roman" w:hAnsi="Times New Roman" w:cs="Times New Roman"/>
          <w:b/>
          <w:sz w:val="20"/>
          <w:szCs w:val="20"/>
        </w:rPr>
      </w:pPr>
    </w:p>
    <w:p w14:paraId="6259809B" w14:textId="77777777" w:rsidR="00C01F1D" w:rsidRDefault="00C01F1D" w:rsidP="00E501F3">
      <w:pPr>
        <w:spacing w:before="240" w:after="240"/>
        <w:jc w:val="both"/>
        <w:rPr>
          <w:rFonts w:ascii="Times New Roman" w:eastAsia="Times New Roman" w:hAnsi="Times New Roman" w:cs="Times New Roman"/>
          <w:b/>
          <w:sz w:val="20"/>
          <w:szCs w:val="20"/>
        </w:rPr>
      </w:pPr>
    </w:p>
    <w:p w14:paraId="22B6B042" w14:textId="77777777" w:rsidR="00C01F1D" w:rsidRDefault="00C01F1D" w:rsidP="00E501F3">
      <w:pPr>
        <w:spacing w:before="240" w:after="240"/>
        <w:jc w:val="both"/>
        <w:rPr>
          <w:rFonts w:ascii="Times New Roman" w:eastAsia="Times New Roman" w:hAnsi="Times New Roman" w:cs="Times New Roman"/>
          <w:b/>
          <w:sz w:val="20"/>
          <w:szCs w:val="20"/>
        </w:rPr>
      </w:pPr>
    </w:p>
    <w:p w14:paraId="3ECC96ED" w14:textId="77777777" w:rsidR="00C01F1D" w:rsidRDefault="00C01F1D" w:rsidP="00E501F3">
      <w:pPr>
        <w:spacing w:before="240" w:after="240"/>
        <w:jc w:val="both"/>
        <w:rPr>
          <w:rFonts w:ascii="Times New Roman" w:eastAsia="Times New Roman" w:hAnsi="Times New Roman" w:cs="Times New Roman"/>
          <w:b/>
          <w:sz w:val="20"/>
          <w:szCs w:val="20"/>
        </w:rPr>
      </w:pPr>
    </w:p>
    <w:p w14:paraId="69B19D3B" w14:textId="77777777" w:rsidR="00C01F1D" w:rsidRDefault="00C01F1D" w:rsidP="00E501F3">
      <w:pPr>
        <w:spacing w:before="240" w:after="240"/>
        <w:jc w:val="both"/>
        <w:rPr>
          <w:rFonts w:ascii="Times New Roman" w:eastAsia="Times New Roman" w:hAnsi="Times New Roman" w:cs="Times New Roman"/>
          <w:b/>
          <w:sz w:val="20"/>
          <w:szCs w:val="20"/>
        </w:rPr>
      </w:pPr>
    </w:p>
    <w:p w14:paraId="708C7CAF" w14:textId="77777777" w:rsidR="00C01F1D" w:rsidRDefault="00C01F1D" w:rsidP="00E501F3">
      <w:pPr>
        <w:spacing w:before="240" w:after="240"/>
        <w:jc w:val="both"/>
        <w:rPr>
          <w:rFonts w:ascii="Times New Roman" w:eastAsia="Times New Roman" w:hAnsi="Times New Roman" w:cs="Times New Roman"/>
          <w:b/>
          <w:sz w:val="20"/>
          <w:szCs w:val="20"/>
        </w:rPr>
      </w:pPr>
    </w:p>
    <w:p w14:paraId="65A84A61" w14:textId="77777777" w:rsidR="00C01F1D" w:rsidRDefault="00C01F1D" w:rsidP="00E501F3">
      <w:pPr>
        <w:spacing w:before="240" w:after="240"/>
        <w:jc w:val="both"/>
        <w:rPr>
          <w:rFonts w:ascii="Times New Roman" w:eastAsia="Times New Roman" w:hAnsi="Times New Roman" w:cs="Times New Roman"/>
          <w:b/>
          <w:sz w:val="20"/>
          <w:szCs w:val="20"/>
        </w:rPr>
      </w:pPr>
    </w:p>
    <w:p w14:paraId="4CF9E519" w14:textId="77777777" w:rsidR="00C01F1D" w:rsidRDefault="00C01F1D" w:rsidP="00E501F3">
      <w:pPr>
        <w:spacing w:before="240" w:after="240"/>
        <w:jc w:val="both"/>
        <w:rPr>
          <w:rFonts w:ascii="Times New Roman" w:eastAsia="Times New Roman" w:hAnsi="Times New Roman" w:cs="Times New Roman"/>
          <w:b/>
          <w:sz w:val="20"/>
          <w:szCs w:val="20"/>
        </w:rPr>
      </w:pPr>
    </w:p>
    <w:p w14:paraId="303E1235" w14:textId="77777777" w:rsidR="00C01F1D" w:rsidRDefault="00C01F1D" w:rsidP="00E501F3">
      <w:pPr>
        <w:spacing w:before="240" w:after="240"/>
        <w:jc w:val="both"/>
        <w:rPr>
          <w:rFonts w:ascii="Times New Roman" w:eastAsia="Times New Roman" w:hAnsi="Times New Roman" w:cs="Times New Roman"/>
          <w:b/>
          <w:sz w:val="20"/>
          <w:szCs w:val="20"/>
        </w:rPr>
      </w:pPr>
    </w:p>
    <w:p w14:paraId="2AB4E0A8" w14:textId="77777777" w:rsidR="00C01F1D" w:rsidRDefault="00C01F1D" w:rsidP="00E501F3">
      <w:pPr>
        <w:spacing w:before="240" w:after="240"/>
        <w:jc w:val="both"/>
        <w:rPr>
          <w:rFonts w:ascii="Times New Roman" w:eastAsia="Times New Roman" w:hAnsi="Times New Roman" w:cs="Times New Roman"/>
          <w:b/>
          <w:sz w:val="20"/>
          <w:szCs w:val="20"/>
        </w:rPr>
      </w:pPr>
    </w:p>
    <w:p w14:paraId="4EB0A5E6" w14:textId="77777777" w:rsidR="00C01F1D" w:rsidRDefault="00C01F1D" w:rsidP="00E501F3">
      <w:pPr>
        <w:spacing w:before="240" w:after="240"/>
        <w:jc w:val="both"/>
        <w:rPr>
          <w:rFonts w:ascii="Times New Roman" w:eastAsia="Times New Roman" w:hAnsi="Times New Roman" w:cs="Times New Roman"/>
          <w:b/>
          <w:sz w:val="20"/>
          <w:szCs w:val="20"/>
        </w:rPr>
      </w:pPr>
    </w:p>
    <w:p w14:paraId="4EEBED54" w14:textId="77777777" w:rsidR="00C01F1D" w:rsidRDefault="00C01F1D" w:rsidP="00E501F3">
      <w:pPr>
        <w:spacing w:before="240" w:after="240"/>
        <w:jc w:val="both"/>
        <w:rPr>
          <w:rFonts w:ascii="Times New Roman" w:eastAsia="Times New Roman" w:hAnsi="Times New Roman" w:cs="Times New Roman"/>
          <w:b/>
          <w:sz w:val="20"/>
          <w:szCs w:val="20"/>
        </w:rPr>
      </w:pPr>
    </w:p>
    <w:p w14:paraId="32EBF132" w14:textId="77777777" w:rsidR="00C01F1D" w:rsidRDefault="00C01F1D" w:rsidP="00E501F3">
      <w:pPr>
        <w:spacing w:before="240" w:after="240"/>
        <w:jc w:val="both"/>
        <w:rPr>
          <w:rFonts w:ascii="Times New Roman" w:eastAsia="Times New Roman" w:hAnsi="Times New Roman" w:cs="Times New Roman"/>
          <w:b/>
          <w:sz w:val="20"/>
          <w:szCs w:val="20"/>
        </w:rPr>
      </w:pPr>
    </w:p>
    <w:p w14:paraId="7118AFC2" w14:textId="77777777" w:rsidR="00C01F1D" w:rsidRDefault="00C01F1D" w:rsidP="00E501F3">
      <w:pPr>
        <w:spacing w:before="240" w:after="240"/>
        <w:jc w:val="both"/>
        <w:rPr>
          <w:rFonts w:ascii="Times New Roman" w:eastAsia="Times New Roman" w:hAnsi="Times New Roman" w:cs="Times New Roman"/>
          <w:b/>
          <w:sz w:val="20"/>
          <w:szCs w:val="20"/>
        </w:rPr>
      </w:pPr>
    </w:p>
    <w:p w14:paraId="2D6FFCDB" w14:textId="77777777" w:rsidR="00C01F1D" w:rsidRDefault="00C01F1D" w:rsidP="00E501F3">
      <w:pPr>
        <w:spacing w:before="240" w:after="240"/>
        <w:jc w:val="both"/>
        <w:rPr>
          <w:rFonts w:ascii="Times New Roman" w:eastAsia="Times New Roman" w:hAnsi="Times New Roman" w:cs="Times New Roman"/>
          <w:b/>
          <w:sz w:val="20"/>
          <w:szCs w:val="20"/>
        </w:rPr>
      </w:pPr>
    </w:p>
    <w:p w14:paraId="509289F4" w14:textId="20C33C4B" w:rsidR="00F84170" w:rsidRPr="00F84170" w:rsidRDefault="002A5284" w:rsidP="00F84170">
      <w:pPr>
        <w:pStyle w:val="Titolo1"/>
        <w:spacing w:after="0"/>
        <w:jc w:val="both"/>
        <w:rPr>
          <w:rFonts w:ascii="Times New Roman" w:eastAsia="Times New Roman" w:hAnsi="Times New Roman" w:cs="Times New Roman"/>
          <w:sz w:val="22"/>
          <w:szCs w:val="22"/>
        </w:rPr>
      </w:pPr>
      <w:r w:rsidRPr="007C2487">
        <w:rPr>
          <w:rFonts w:ascii="Times New Roman" w:eastAsia="Times New Roman" w:hAnsi="Times New Roman" w:cs="Times New Roman"/>
          <w:sz w:val="22"/>
          <w:szCs w:val="22"/>
        </w:rPr>
        <w:lastRenderedPageBreak/>
        <w:t>Material and methods</w:t>
      </w:r>
    </w:p>
    <w:p w14:paraId="22E14D26" w14:textId="77777777" w:rsidR="002A5284" w:rsidRDefault="002A5284" w:rsidP="002A5284">
      <w:pPr>
        <w:jc w:val="both"/>
        <w:rPr>
          <w:rFonts w:ascii="Times New Roman" w:eastAsia="Times New Roman" w:hAnsi="Times New Roman" w:cs="Times New Roman"/>
          <w:b/>
        </w:rPr>
      </w:pPr>
      <w:r>
        <w:rPr>
          <w:rFonts w:ascii="Times New Roman" w:eastAsia="Times New Roman" w:hAnsi="Times New Roman" w:cs="Times New Roman"/>
          <w:b/>
        </w:rPr>
        <w:t>Participants and clinical characterisation</w:t>
      </w:r>
    </w:p>
    <w:p w14:paraId="1F8416EF" w14:textId="2F6D3F25" w:rsidR="002A5284" w:rsidRDefault="002A5284" w:rsidP="00F84170">
      <w:pPr>
        <w:spacing w:after="0"/>
        <w:jc w:val="both"/>
        <w:rPr>
          <w:rFonts w:ascii="Times New Roman" w:eastAsia="Times New Roman" w:hAnsi="Times New Roman" w:cs="Times New Roman"/>
        </w:rPr>
      </w:pPr>
      <w:bookmarkStart w:id="0" w:name="_Hlk166252468"/>
      <w:r>
        <w:rPr>
          <w:rFonts w:ascii="Times New Roman" w:eastAsia="Times New Roman" w:hAnsi="Times New Roman" w:cs="Times New Roman"/>
        </w:rPr>
        <w:t xml:space="preserve">Patients with ALS met a diagnosis of “probable”, “probable laboratory-supported” or “definite” ALS, as per the revised El Escorial criteria </w:t>
      </w:r>
      <w:sdt>
        <w:sdtPr>
          <w:rPr>
            <w:rFonts w:ascii="Times New Roman" w:eastAsia="Times New Roman" w:hAnsi="Times New Roman" w:cs="Times New Roman"/>
            <w:color w:val="000000"/>
          </w:rPr>
          <w:tag w:val="MENDELEY_CITATION_v3_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"/>
          <w:id w:val="-979614193"/>
          <w:placeholder>
            <w:docPart w:val="DefaultPlaceholder_-1854013440"/>
          </w:placeholder>
        </w:sdtPr>
        <w:sdtContent>
          <w:r w:rsidR="0015703F" w:rsidRPr="0015703F">
            <w:rPr>
              <w:rFonts w:ascii="Times New Roman" w:eastAsia="Times New Roman" w:hAnsi="Times New Roman" w:cs="Times New Roman"/>
              <w:color w:val="000000"/>
            </w:rPr>
            <w:t>(Brooks et al., 2000)</w:t>
          </w:r>
        </w:sdtContent>
      </w:sdt>
      <w:r>
        <w:rPr>
          <w:rFonts w:ascii="Times New Roman" w:eastAsia="Times New Roman" w:hAnsi="Times New Roman" w:cs="Times New Roman"/>
        </w:rPr>
        <w:t>.</w:t>
      </w:r>
      <w:r>
        <w:rPr>
          <w:rFonts w:ascii="Times New Roman" w:eastAsia="Times New Roman" w:hAnsi="Times New Roman" w:cs="Times New Roman"/>
          <w:b/>
        </w:rPr>
        <w:t xml:space="preserve"> </w:t>
      </w:r>
      <w:bookmarkEnd w:id="0"/>
      <w:r>
        <w:rPr>
          <w:rFonts w:ascii="Times New Roman" w:eastAsia="Times New Roman" w:hAnsi="Times New Roman" w:cs="Times New Roman"/>
        </w:rPr>
        <w:t xml:space="preserve">Disease severity and clinical staging were assessed by the revised ALS Functional Rating Scale (ALSFRS-R) </w:t>
      </w:r>
      <w:sdt>
        <w:sdtPr>
          <w:rPr>
            <w:rFonts w:ascii="Times New Roman" w:eastAsia="Times New Roman" w:hAnsi="Times New Roman" w:cs="Times New Roman"/>
            <w:color w:val="000000"/>
          </w:rPr>
          <w:tag w:val="MENDELEY_CITATION_v3_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"/>
          <w:id w:val="-1045359176"/>
          <w:placeholder>
            <w:docPart w:val="DefaultPlaceholder_-1854013440"/>
          </w:placeholder>
        </w:sdtPr>
        <w:sdtContent>
          <w:r w:rsidR="0015703F" w:rsidRPr="0015703F">
            <w:rPr>
              <w:rFonts w:ascii="Times New Roman" w:eastAsia="Times New Roman" w:hAnsi="Times New Roman" w:cs="Times New Roman"/>
              <w:color w:val="000000"/>
            </w:rPr>
            <w:t>(Cedarbaum et al., 1999)</w:t>
          </w:r>
        </w:sdtContent>
      </w:sdt>
      <w:r>
        <w:rPr>
          <w:rFonts w:ascii="Times New Roman" w:eastAsia="Times New Roman" w:hAnsi="Times New Roman" w:cs="Times New Roman"/>
        </w:rPr>
        <w:t xml:space="preserve"> and by ALS King’s scale</w:t>
      </w:r>
      <w:r w:rsidR="007C2487">
        <w:rPr>
          <w:rFonts w:ascii="Times New Roman" w:eastAsia="Times New Roman" w:hAnsi="Times New Roman" w:cs="Times New Roman"/>
          <w:color w:val="000000"/>
        </w:rPr>
        <w:t xml:space="preserve"> </w:t>
      </w:r>
      <w:sdt>
        <w:sdtPr>
          <w:rPr>
            <w:rFonts w:ascii="Times New Roman" w:eastAsia="Times New Roman" w:hAnsi="Times New Roman" w:cs="Times New Roman"/>
            <w:color w:val="000000"/>
          </w:rPr>
          <w:tag w:val="MENDELEY_CITATION_v3_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"/>
          <w:id w:val="1625044180"/>
          <w:placeholder>
            <w:docPart w:val="DefaultPlaceholder_-1854013440"/>
          </w:placeholder>
        </w:sdtPr>
        <w:sdtContent>
          <w:r w:rsidR="0015703F" w:rsidRPr="0015703F">
            <w:rPr>
              <w:rFonts w:ascii="Times New Roman" w:eastAsia="Times New Roman" w:hAnsi="Times New Roman" w:cs="Times New Roman"/>
              <w:color w:val="000000"/>
            </w:rPr>
            <w:t>(Roche et al., 2012)</w:t>
          </w:r>
        </w:sdtContent>
      </w:sdt>
      <w:r>
        <w:rPr>
          <w:rFonts w:ascii="Times New Roman" w:eastAsia="Times New Roman" w:hAnsi="Times New Roman" w:cs="Times New Roman"/>
        </w:rPr>
        <w:t xml:space="preserve">, respectively. The ALSFRS-R was also used to compute the disease progression rate </w:t>
      </w:r>
      <w:sdt>
        <w:sdtPr>
          <w:rPr>
            <w:rFonts w:ascii="Times New Roman" w:eastAsia="Times New Roman" w:hAnsi="Times New Roman" w:cs="Times New Roman"/>
            <w:color w:val="000000"/>
          </w:rPr>
          <w:tag w:val="MENDELEY_CITATION_v3_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"/>
          <w:id w:val="1833483460"/>
          <w:placeholder>
            <w:docPart w:val="DefaultPlaceholder_-1854013440"/>
          </w:placeholder>
        </w:sdtPr>
        <w:sdtContent>
          <w:r w:rsidR="0015703F" w:rsidRPr="0015703F">
            <w:rPr>
              <w:rFonts w:ascii="Times New Roman" w:eastAsia="Times New Roman" w:hAnsi="Times New Roman" w:cs="Times New Roman"/>
              <w:color w:val="000000"/>
            </w:rPr>
            <w:t>(Kimura et al., 2006)</w:t>
          </w:r>
        </w:sdtContent>
      </w:sdt>
      <w:r>
        <w:rPr>
          <w:rFonts w:ascii="Times New Roman" w:eastAsia="Times New Roman" w:hAnsi="Times New Roman" w:cs="Times New Roman"/>
        </w:rPr>
        <w:t xml:space="preserve">by applying the following formula: ((ALSFRS-R_rate: (48 - ALSFRS-R at the study inclusion)/(disease duration in months)). In addition, muscle strength was assessed by Medical Research Council (MRC) scale in each body region </w:t>
      </w:r>
      <w:sdt>
        <w:sdtPr>
          <w:rPr>
            <w:rFonts w:ascii="Times New Roman" w:eastAsia="Times New Roman" w:hAnsi="Times New Roman" w:cs="Times New Roman"/>
            <w:color w:val="000000"/>
          </w:rPr>
          <w:tag w:val="MENDELEY_CITATION_v3_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"/>
          <w:id w:val="1303424720"/>
          <w:placeholder>
            <w:docPart w:val="DefaultPlaceholder_-1854013440"/>
          </w:placeholder>
        </w:sdtPr>
        <w:sdtContent>
          <w:r w:rsidR="0015703F" w:rsidRPr="0015703F">
            <w:rPr>
              <w:rFonts w:ascii="Times New Roman" w:eastAsia="Times New Roman" w:hAnsi="Times New Roman" w:cs="Times New Roman"/>
              <w:color w:val="000000"/>
            </w:rPr>
            <w:t>(Dubbioso et al., 2023)</w:t>
          </w:r>
        </w:sdtContent>
      </w:sdt>
      <w:r>
        <w:rPr>
          <w:rFonts w:ascii="Times New Roman" w:eastAsia="Times New Roman" w:hAnsi="Times New Roman" w:cs="Times New Roman"/>
        </w:rPr>
        <w:t xml:space="preserve">; and the upper motor neuron (UMN) burden by means of the Penn Upper Motor Neuron Score (PUMNS) </w:t>
      </w:r>
      <w:sdt>
        <w:sdtPr>
          <w:rPr>
            <w:rFonts w:ascii="Times New Roman" w:eastAsia="Times New Roman" w:hAnsi="Times New Roman" w:cs="Times New Roman"/>
            <w:color w:val="000000"/>
          </w:rPr>
          <w:tag w:val="MENDELEY_CITATION_v3_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"/>
          <w:id w:val="-464668399"/>
          <w:placeholder>
            <w:docPart w:val="DefaultPlaceholder_-1854013440"/>
          </w:placeholder>
        </w:sdtPr>
        <w:sdtContent>
          <w:r w:rsidR="0015703F" w:rsidRPr="0015703F">
            <w:rPr>
              <w:rFonts w:ascii="Times New Roman" w:eastAsia="Times New Roman" w:hAnsi="Times New Roman" w:cs="Times New Roman"/>
              <w:color w:val="000000"/>
            </w:rPr>
            <w:t>(Quinn et al., 2020)</w:t>
          </w:r>
        </w:sdtContent>
      </w:sdt>
      <w:r>
        <w:rPr>
          <w:rFonts w:ascii="Times New Roman" w:eastAsia="Times New Roman" w:hAnsi="Times New Roman" w:cs="Times New Roman"/>
        </w:rPr>
        <w:t>. Height and weight were also measured to calculate the body mass index (BMI).</w:t>
      </w:r>
    </w:p>
    <w:p w14:paraId="29708A78" w14:textId="52449EF8" w:rsidR="002A5284" w:rsidRDefault="002A5284"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Respiratory function was assessed through spirometry with the patient sitting upright. Results for forced vital capacity (FVC) were expressed as a percentage of predicted value, from an average of three trials </w:t>
      </w:r>
      <w:sdt>
        <w:sdtPr>
          <w:rPr>
            <w:rFonts w:ascii="Times New Roman" w:eastAsia="Times New Roman" w:hAnsi="Times New Roman" w:cs="Times New Roman"/>
            <w:color w:val="000000"/>
          </w:rPr>
          <w:tag w:val="MENDELEY_CITATION_v3_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"/>
          <w:id w:val="495932609"/>
          <w:placeholder>
            <w:docPart w:val="DefaultPlaceholder_-1854013440"/>
          </w:placeholder>
        </w:sdtPr>
        <w:sdtContent>
          <w:r w:rsidR="0015703F" w:rsidRPr="0015703F">
            <w:rPr>
              <w:rFonts w:ascii="Times New Roman" w:eastAsia="Times New Roman" w:hAnsi="Times New Roman" w:cs="Times New Roman"/>
              <w:color w:val="000000"/>
            </w:rPr>
            <w:t>(Czaplinski, 2005)</w:t>
          </w:r>
        </w:sdtContent>
      </w:sdt>
      <w:r>
        <w:rPr>
          <w:rFonts w:ascii="Times New Roman" w:eastAsia="Times New Roman" w:hAnsi="Times New Roman" w:cs="Times New Roman"/>
        </w:rPr>
        <w:t>.</w:t>
      </w:r>
    </w:p>
    <w:p w14:paraId="5D7CE78C" w14:textId="21F34981" w:rsidR="002A5284" w:rsidRDefault="002A5284"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Lastly, neuropsychological tests were performed to classify patients according to consensus criteria </w:t>
      </w:r>
      <w:sdt>
        <w:sdtPr>
          <w:rPr>
            <w:rFonts w:ascii="Times New Roman" w:eastAsia="Times New Roman" w:hAnsi="Times New Roman" w:cs="Times New Roman"/>
            <w:color w:val="000000"/>
          </w:rPr>
          <w:tag w:val="MENDELEY_CITATION_v3_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"/>
          <w:id w:val="412588389"/>
          <w:placeholder>
            <w:docPart w:val="DefaultPlaceholder_-1854013440"/>
          </w:placeholder>
        </w:sdtPr>
        <w:sdtContent>
          <w:r w:rsidR="0015703F" w:rsidRPr="0015703F">
            <w:rPr>
              <w:rFonts w:ascii="Times New Roman" w:eastAsia="Times New Roman" w:hAnsi="Times New Roman" w:cs="Times New Roman"/>
              <w:color w:val="000000"/>
            </w:rPr>
            <w:t>(Strong et al., 2017)</w:t>
          </w:r>
        </w:sdtContent>
      </w:sdt>
      <w:r>
        <w:rPr>
          <w:rFonts w:ascii="Times New Roman" w:eastAsia="Times New Roman" w:hAnsi="Times New Roman" w:cs="Times New Roman"/>
        </w:rPr>
        <w:t xml:space="preserve"> as having “normal cognition” (i.e., ALS-nc) or “cognitive and/or behavioural impairment” (i.e., ALS with cognitive impairment, ALS-ci; ALS with combined cognitive and behavioural impairment, ALS-cbi; ALS with behavioural impairment, ALS-bi). A detailed neuropsychological battery has been described elsewhere </w:t>
      </w:r>
      <w:bookmarkStart w:id="1" w:name="_Hlk166252651"/>
      <w:sdt>
        <w:sdtPr>
          <w:rPr>
            <w:rFonts w:ascii="Times New Roman" w:eastAsia="Times New Roman" w:hAnsi="Times New Roman" w:cs="Times New Roman"/>
            <w:color w:val="000000"/>
          </w:rPr>
          <w:tag w:val="MENDELEY_CITATION_v3_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"/>
          <w:id w:val="-639111989"/>
          <w:placeholder>
            <w:docPart w:val="DefaultPlaceholder_-1854013440"/>
          </w:placeholder>
        </w:sdtPr>
        <w:sdtContent>
          <w:r w:rsidR="0015703F" w:rsidRPr="0015703F">
            <w:rPr>
              <w:rFonts w:ascii="Times New Roman" w:eastAsia="Times New Roman" w:hAnsi="Times New Roman" w:cs="Times New Roman"/>
              <w:color w:val="000000"/>
            </w:rPr>
            <w:t>(De Lucia et al., 2020; Moretta et al., 2022)</w:t>
          </w:r>
        </w:sdtContent>
      </w:sdt>
      <w:r>
        <w:rPr>
          <w:rFonts w:ascii="Times New Roman" w:eastAsia="Times New Roman" w:hAnsi="Times New Roman" w:cs="Times New Roman"/>
        </w:rPr>
        <w:t>.</w:t>
      </w:r>
      <w:bookmarkEnd w:id="1"/>
    </w:p>
    <w:p w14:paraId="1BCBCA6A" w14:textId="77777777" w:rsidR="002A5284" w:rsidRDefault="002A5284"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We excluded participants if they had (1) acute or chronic infections or autoimmune disorders; (2) kidney or chronic liver diseases or regular alcohol intake (over 80 g/day for 6 months). </w:t>
      </w:r>
    </w:p>
    <w:p w14:paraId="59854AAD" w14:textId="2220B2C5" w:rsidR="002A5284" w:rsidRDefault="007C2487"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Since circulating eCBs are important regulators of eating behaviours in terms of food intake or satiety, we also classified ALS patients as having or not eating disturbances by using the specific items of the Mild Behavioural Impairment Checklist (MBI-C) </w:t>
      </w:r>
      <w:sdt>
        <w:sdtPr>
          <w:rPr>
            <w:rFonts w:ascii="Times New Roman" w:eastAsia="Times New Roman" w:hAnsi="Times New Roman" w:cs="Times New Roman"/>
            <w:color w:val="000000"/>
          </w:rPr>
          <w:tag w:val="MENDELEY_CITATION_v3_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"/>
          <w:id w:val="-2076813102"/>
          <w:placeholder>
            <w:docPart w:val="DefaultPlaceholder_-1854013440"/>
          </w:placeholder>
        </w:sdtPr>
        <w:sdtContent>
          <w:r w:rsidR="0015703F" w:rsidRPr="0015703F">
            <w:rPr>
              <w:rFonts w:ascii="Times New Roman" w:eastAsia="Times New Roman" w:hAnsi="Times New Roman" w:cs="Times New Roman"/>
              <w:color w:val="000000"/>
            </w:rPr>
            <w:t>(Ferraro et al., 2023)</w:t>
          </w:r>
        </w:sdtContent>
      </w:sdt>
      <w:r>
        <w:rPr>
          <w:rFonts w:ascii="Times New Roman" w:eastAsia="Times New Roman" w:hAnsi="Times New Roman" w:cs="Times New Roman"/>
        </w:rPr>
        <w:t>. Specifically, item 20 is related to changes in eating behavior (e.g. overeating, cramming the mouth), while item 21 is related to loss of appetite, asking whether the patient no longer finds food tasty/ enjoyable or is eating less. For both questions we reported whether the disorder was present or not.</w:t>
      </w:r>
    </w:p>
    <w:p w14:paraId="1243014E" w14:textId="77777777" w:rsidR="0031391C" w:rsidRDefault="0031391C" w:rsidP="00F84170">
      <w:pPr>
        <w:spacing w:after="0"/>
        <w:jc w:val="both"/>
        <w:rPr>
          <w:rFonts w:ascii="Times New Roman" w:eastAsia="Times New Roman" w:hAnsi="Times New Roman" w:cs="Times New Roman"/>
        </w:rPr>
      </w:pPr>
    </w:p>
    <w:p w14:paraId="739A9E68" w14:textId="77777777" w:rsidR="0031391C" w:rsidRPr="00D92EBE" w:rsidRDefault="0031391C" w:rsidP="0031391C">
      <w:pPr>
        <w:jc w:val="both"/>
        <w:rPr>
          <w:rFonts w:ascii="Times New Roman" w:eastAsia="Times New Roman" w:hAnsi="Times New Roman" w:cs="Times New Roman"/>
          <w:b/>
        </w:rPr>
      </w:pPr>
      <w:r w:rsidRPr="00D92EBE">
        <w:rPr>
          <w:rFonts w:ascii="Times New Roman" w:eastAsia="Times New Roman" w:hAnsi="Times New Roman" w:cs="Times New Roman"/>
          <w:b/>
        </w:rPr>
        <w:t>Endocannabinoid and related molecules analysis.</w:t>
      </w:r>
    </w:p>
    <w:p w14:paraId="0DBBF937" w14:textId="7AE7C818" w:rsidR="0031391C" w:rsidRPr="0031391C" w:rsidRDefault="0031391C" w:rsidP="0031391C">
      <w:pPr>
        <w:jc w:val="both"/>
        <w:rPr>
          <w:rFonts w:ascii="Times New Roman" w:eastAsia="Times New Roman" w:hAnsi="Times New Roman" w:cs="Times New Roman"/>
        </w:rPr>
      </w:pPr>
      <w:r w:rsidRPr="0031391C">
        <w:rPr>
          <w:rFonts w:ascii="Times New Roman" w:eastAsia="Times New Roman" w:hAnsi="Times New Roman" w:cs="Times New Roman"/>
        </w:rPr>
        <w:t xml:space="preserve">Serum was collected in 7 mL clot activator tubes (BD Vacutainer®) at inclusion and centrifuged at 1500 g for 10 min at room temperature. Aliquots (from 1 to 2 mL) were stored at −80°C until use. Times between blood collection and centrifugation were always shorter than 30 min. </w:t>
      </w:r>
      <w:r>
        <w:rPr>
          <w:rFonts w:ascii="Times New Roman" w:eastAsia="Times New Roman" w:hAnsi="Times New Roman" w:cs="Times New Roman"/>
        </w:rPr>
        <w:t xml:space="preserve"> </w:t>
      </w:r>
      <w:r w:rsidRPr="00D92EBE">
        <w:rPr>
          <w:rFonts w:ascii="Times New Roman" w:eastAsia="Times New Roman" w:hAnsi="Times New Roman" w:cs="Times New Roman"/>
        </w:rPr>
        <w:t>Serum (200 µl) was sonicated and extracted with chloroform/methanol (2 : 1 , vol/vol) containing internal standards for AEA, 2AG, PEA, OEA, docosahexaenoyl ethanolamide (DHEA), eicosapentaenoyl ethanolamide (EPEA) and 2-docosahexaenoyl glycerol (2-DHG) ([</w:t>
      </w:r>
      <w:r w:rsidRPr="00D92EBE">
        <w:rPr>
          <w:rFonts w:ascii="Times New Roman" w:eastAsia="Times New Roman" w:hAnsi="Times New Roman" w:cs="Times New Roman"/>
          <w:vertAlign w:val="superscript"/>
        </w:rPr>
        <w:t>2</w:t>
      </w:r>
      <w:r w:rsidRPr="00D92EBE">
        <w:rPr>
          <w:rFonts w:ascii="Times New Roman" w:eastAsia="Times New Roman" w:hAnsi="Times New Roman" w:cs="Times New Roman"/>
        </w:rPr>
        <w:t>H]</w:t>
      </w:r>
      <w:r w:rsidRPr="00D92EBE">
        <w:rPr>
          <w:rFonts w:ascii="Times New Roman" w:eastAsia="Times New Roman" w:hAnsi="Times New Roman" w:cs="Times New Roman"/>
          <w:vertAlign w:val="subscript"/>
        </w:rPr>
        <w:t>8</w:t>
      </w:r>
      <w:r w:rsidRPr="00D92EBE">
        <w:rPr>
          <w:rFonts w:ascii="Times New Roman" w:eastAsia="Times New Roman" w:hAnsi="Times New Roman" w:cs="Times New Roman"/>
        </w:rPr>
        <w:t xml:space="preserve"> AEA 5 pmol; [</w:t>
      </w:r>
      <w:r w:rsidRPr="00D92EBE">
        <w:rPr>
          <w:rFonts w:ascii="Times New Roman" w:eastAsia="Times New Roman" w:hAnsi="Times New Roman" w:cs="Times New Roman"/>
          <w:vertAlign w:val="superscript"/>
        </w:rPr>
        <w:t>2</w:t>
      </w:r>
      <w:r w:rsidRPr="00D92EBE">
        <w:rPr>
          <w:rFonts w:ascii="Times New Roman" w:eastAsia="Times New Roman" w:hAnsi="Times New Roman" w:cs="Times New Roman"/>
        </w:rPr>
        <w:t>H]</w:t>
      </w:r>
      <w:r w:rsidRPr="00D92EBE">
        <w:rPr>
          <w:rFonts w:ascii="Times New Roman" w:eastAsia="Times New Roman" w:hAnsi="Times New Roman" w:cs="Times New Roman"/>
          <w:vertAlign w:val="subscript"/>
        </w:rPr>
        <w:t>5</w:t>
      </w:r>
      <w:r w:rsidRPr="00D92EBE">
        <w:rPr>
          <w:rFonts w:ascii="Times New Roman" w:eastAsia="Times New Roman" w:hAnsi="Times New Roman" w:cs="Times New Roman"/>
        </w:rPr>
        <w:t xml:space="preserve"> 2AG, [</w:t>
      </w:r>
      <w:r w:rsidRPr="00D92EBE">
        <w:rPr>
          <w:rFonts w:ascii="Times New Roman" w:eastAsia="Times New Roman" w:hAnsi="Times New Roman" w:cs="Times New Roman"/>
          <w:vertAlign w:val="superscript"/>
        </w:rPr>
        <w:t>2</w:t>
      </w:r>
      <w:r w:rsidRPr="00D92EBE">
        <w:rPr>
          <w:rFonts w:ascii="Times New Roman" w:eastAsia="Times New Roman" w:hAnsi="Times New Roman" w:cs="Times New Roman"/>
        </w:rPr>
        <w:t>H]</w:t>
      </w:r>
      <w:r w:rsidRPr="00D92EBE">
        <w:rPr>
          <w:rFonts w:ascii="Times New Roman" w:eastAsia="Times New Roman" w:hAnsi="Times New Roman" w:cs="Times New Roman"/>
          <w:vertAlign w:val="subscript"/>
        </w:rPr>
        <w:t xml:space="preserve">4 </w:t>
      </w:r>
      <w:r w:rsidRPr="00D92EBE">
        <w:rPr>
          <w:rFonts w:ascii="Times New Roman" w:eastAsia="Times New Roman" w:hAnsi="Times New Roman" w:cs="Times New Roman"/>
        </w:rPr>
        <w:t>PEA, [</w:t>
      </w:r>
      <w:r w:rsidRPr="00D92EBE">
        <w:rPr>
          <w:rFonts w:ascii="Times New Roman" w:eastAsia="Times New Roman" w:hAnsi="Times New Roman" w:cs="Times New Roman"/>
          <w:vertAlign w:val="superscript"/>
        </w:rPr>
        <w:t>2</w:t>
      </w:r>
      <w:r w:rsidRPr="00D92EBE">
        <w:rPr>
          <w:rFonts w:ascii="Times New Roman" w:eastAsia="Times New Roman" w:hAnsi="Times New Roman" w:cs="Times New Roman"/>
        </w:rPr>
        <w:t>H]</w:t>
      </w:r>
      <w:r w:rsidRPr="00D92EBE">
        <w:rPr>
          <w:rFonts w:ascii="Times New Roman" w:eastAsia="Times New Roman" w:hAnsi="Times New Roman" w:cs="Times New Roman"/>
          <w:vertAlign w:val="subscript"/>
        </w:rPr>
        <w:t>2</w:t>
      </w:r>
      <w:r w:rsidRPr="00D92EBE">
        <w:rPr>
          <w:rFonts w:ascii="Times New Roman" w:eastAsia="Times New Roman" w:hAnsi="Times New Roman" w:cs="Times New Roman"/>
        </w:rPr>
        <w:t xml:space="preserve"> OEA, 2-heptadecanoyl glycerol, for 2-DHG quantification, 50 pmol each; [</w:t>
      </w:r>
      <w:r w:rsidRPr="00D92EBE">
        <w:rPr>
          <w:rFonts w:ascii="Times New Roman" w:eastAsia="Times New Roman" w:hAnsi="Times New Roman" w:cs="Times New Roman"/>
          <w:vertAlign w:val="superscript"/>
        </w:rPr>
        <w:t>2</w:t>
      </w:r>
      <w:r w:rsidRPr="00D92EBE">
        <w:rPr>
          <w:rFonts w:ascii="Times New Roman" w:eastAsia="Times New Roman" w:hAnsi="Times New Roman" w:cs="Times New Roman"/>
        </w:rPr>
        <w:t>H]</w:t>
      </w:r>
      <w:r w:rsidRPr="00D92EBE">
        <w:rPr>
          <w:rFonts w:ascii="Times New Roman" w:eastAsia="Times New Roman" w:hAnsi="Times New Roman" w:cs="Times New Roman"/>
          <w:vertAlign w:val="subscript"/>
        </w:rPr>
        <w:t xml:space="preserve">4 </w:t>
      </w:r>
      <w:r w:rsidRPr="00D92EBE">
        <w:rPr>
          <w:rFonts w:ascii="Times New Roman" w:eastAsia="Times New Roman" w:hAnsi="Times New Roman" w:cs="Times New Roman"/>
        </w:rPr>
        <w:t xml:space="preserve">DHEA and </w:t>
      </w:r>
      <w:r w:rsidRPr="00D92EBE">
        <w:rPr>
          <w:rFonts w:ascii="Times New Roman" w:eastAsia="Times New Roman" w:hAnsi="Times New Roman" w:cs="Times New Roman"/>
          <w:vertAlign w:val="subscript"/>
        </w:rPr>
        <w:t xml:space="preserve"> </w:t>
      </w:r>
      <w:r w:rsidRPr="00D92EBE">
        <w:rPr>
          <w:rFonts w:ascii="Times New Roman" w:eastAsia="Times New Roman" w:hAnsi="Times New Roman" w:cs="Times New Roman"/>
        </w:rPr>
        <w:t>[</w:t>
      </w:r>
      <w:r w:rsidRPr="00D92EBE">
        <w:rPr>
          <w:rFonts w:ascii="Times New Roman" w:eastAsia="Times New Roman" w:hAnsi="Times New Roman" w:cs="Times New Roman"/>
          <w:vertAlign w:val="superscript"/>
        </w:rPr>
        <w:t>2</w:t>
      </w:r>
      <w:r w:rsidRPr="00D92EBE">
        <w:rPr>
          <w:rFonts w:ascii="Times New Roman" w:eastAsia="Times New Roman" w:hAnsi="Times New Roman" w:cs="Times New Roman"/>
        </w:rPr>
        <w:t>H]</w:t>
      </w:r>
      <w:r w:rsidRPr="00D92EBE">
        <w:rPr>
          <w:rFonts w:ascii="Times New Roman" w:eastAsia="Times New Roman" w:hAnsi="Times New Roman" w:cs="Times New Roman"/>
          <w:vertAlign w:val="subscript"/>
        </w:rPr>
        <w:t xml:space="preserve">4 </w:t>
      </w:r>
      <w:r w:rsidRPr="00D92EBE">
        <w:rPr>
          <w:rFonts w:ascii="Times New Roman" w:eastAsia="Times New Roman" w:hAnsi="Times New Roman" w:cs="Times New Roman"/>
        </w:rPr>
        <w:t>EPEA 10 pmol each). The lipid-containing organic phase was dried down, weighed, and dissolved in 100 µl of methanol for eCB and related molecules</w:t>
      </w:r>
      <w:r>
        <w:rPr>
          <w:rFonts w:ascii="Times New Roman" w:eastAsia="Times New Roman" w:hAnsi="Times New Roman" w:cs="Times New Roman"/>
        </w:rPr>
        <w:t xml:space="preserve"> quantifi</w:t>
      </w:r>
      <w:r w:rsidR="005113EC">
        <w:rPr>
          <w:rFonts w:ascii="Times New Roman" w:eastAsia="Times New Roman" w:hAnsi="Times New Roman" w:cs="Times New Roman"/>
        </w:rPr>
        <w:t>cation</w:t>
      </w:r>
      <w:r>
        <w:rPr>
          <w:rFonts w:ascii="Times New Roman" w:eastAsia="Times New Roman" w:hAnsi="Times New Roman" w:cs="Times New Roman"/>
        </w:rPr>
        <w:t xml:space="preserve"> </w:t>
      </w:r>
      <w:r w:rsidRPr="00D92EBE">
        <w:rPr>
          <w:rFonts w:ascii="Times New Roman" w:eastAsia="Times New Roman" w:hAnsi="Times New Roman" w:cs="Times New Roman"/>
        </w:rPr>
        <w:t xml:space="preserve">by LC-APCI-MS (LCMS-2020, Shimadzu) as previously reported </w:t>
      </w:r>
      <w:sdt>
        <w:sdtPr>
          <w:rPr>
            <w:rFonts w:ascii="Times New Roman" w:eastAsia="Times New Roman" w:hAnsi="Times New Roman" w:cs="Times New Roman"/>
            <w:color w:val="000000"/>
          </w:rPr>
          <w:tag w:val="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"/>
          <w:id w:val="2079700550"/>
          <w:placeholder>
            <w:docPart w:val="DA6AD72B12C34F7996DDF41BB6A237FD"/>
          </w:placeholder>
        </w:sdtPr>
        <w:sdtContent>
          <w:r w:rsidR="0015703F" w:rsidRPr="0015703F">
            <w:rPr>
              <w:rFonts w:ascii="Times New Roman" w:eastAsia="Times New Roman" w:hAnsi="Times New Roman" w:cs="Times New Roman"/>
              <w:color w:val="000000"/>
            </w:rPr>
            <w:t>(Ferrara et al., 2019; Piscitelli et al., 2020; Zamberletti et al., 2017)</w:t>
          </w:r>
        </w:sdtContent>
      </w:sdt>
      <w:r w:rsidRPr="00D92EBE">
        <w:rPr>
          <w:rFonts w:ascii="Times New Roman" w:eastAsia="Times New Roman" w:hAnsi="Times New Roman" w:cs="Times New Roman"/>
          <w:b/>
        </w:rPr>
        <w:t>.</w:t>
      </w:r>
    </w:p>
    <w:p w14:paraId="4812DE70" w14:textId="77777777" w:rsidR="007C2487" w:rsidRPr="007C2487" w:rsidRDefault="007C2487" w:rsidP="002A5284">
      <w:pPr>
        <w:jc w:val="both"/>
        <w:rPr>
          <w:rFonts w:ascii="Times New Roman" w:eastAsia="Times New Roman" w:hAnsi="Times New Roman" w:cs="Times New Roman"/>
        </w:rPr>
      </w:pPr>
    </w:p>
    <w:p w14:paraId="25F05EC1" w14:textId="116FD3AE" w:rsidR="00F84170" w:rsidRDefault="006B01A0" w:rsidP="00F84170">
      <w:pPr>
        <w:spacing w:after="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Statistical Analysis</w:t>
      </w:r>
    </w:p>
    <w:p w14:paraId="52DEEF36" w14:textId="77777777" w:rsidR="00F84170" w:rsidRDefault="00F84170" w:rsidP="00F84170">
      <w:pPr>
        <w:spacing w:after="0"/>
        <w:jc w:val="both"/>
        <w:rPr>
          <w:rFonts w:ascii="Times New Roman" w:eastAsia="Times New Roman" w:hAnsi="Times New Roman" w:cs="Times New Roman"/>
          <w:b/>
          <w:sz w:val="20"/>
          <w:szCs w:val="20"/>
        </w:rPr>
      </w:pPr>
    </w:p>
    <w:p w14:paraId="772A48C6" w14:textId="77777777" w:rsidR="00F84170" w:rsidRDefault="006B01A0" w:rsidP="00F84170">
      <w:pPr>
        <w:spacing w:after="0"/>
        <w:jc w:val="both"/>
        <w:rPr>
          <w:rFonts w:ascii="Times New Roman" w:eastAsia="Times New Roman" w:hAnsi="Times New Roman" w:cs="Times New Roman"/>
        </w:rPr>
      </w:pPr>
      <w:r>
        <w:rPr>
          <w:rFonts w:ascii="Times New Roman" w:eastAsia="Times New Roman" w:hAnsi="Times New Roman" w:cs="Times New Roman"/>
        </w:rPr>
        <w:t>Specifically, we compared demographic and endocannabinoids levels among the three groups of participants (ALS vs HC vs NALS), between ALS patients with bulbar onset and spinal onset, and across the ALS clinical stages by means of χ</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test (categorical variables) or the Kruskal–Wallis test (continuous variables), the post-hoc comparisons between groups were performed by means of Mann-Whitney U test. </w:t>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p>
    <w:p w14:paraId="2273589D" w14:textId="77777777" w:rsidR="00F84170" w:rsidRDefault="006B01A0"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Univariate and multivariate analysis for survival (calculated from onset to death or censoring date) was performed with the Cox proportional hazards model, and p values were computed using Wald test. In </w:t>
      </w:r>
      <w:r>
        <w:rPr>
          <w:rFonts w:ascii="Times New Roman" w:eastAsia="Times New Roman" w:hAnsi="Times New Roman" w:cs="Times New Roman"/>
        </w:rPr>
        <w:lastRenderedPageBreak/>
        <w:t xml:space="preserve">the Cox model we included the following variables: age, sex, disease onset (spinal vs bulbar), diagnostic delay, disease progression rate (ALSFRS-R_rate), baseline ALSFRS-R, baseline FVC (%), BMI, cognitive and/or behavioural impairment (yes or no), Kings stages, and eCBs levels stratified according to the median value. </w:t>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p>
    <w:p w14:paraId="776B9D35" w14:textId="77777777" w:rsidR="00F84170" w:rsidRDefault="006B01A0"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Survival curves were constructed with the Kaplan–Meier method only for the eCBs covariates that were associated with survival time according to Cox regression analysis, namely EPEA, PEA, OEA, and 2-DHG. Log-rank test was then applied to compute the differences between the curves. </w:t>
      </w:r>
    </w:p>
    <w:p w14:paraId="2A6481AE" w14:textId="04315FAB" w:rsidR="00F84170" w:rsidRDefault="006B01A0" w:rsidP="00F84170">
      <w:pPr>
        <w:spacing w:after="0"/>
        <w:jc w:val="both"/>
        <w:rPr>
          <w:rFonts w:ascii="Times New Roman" w:eastAsia="Times New Roman" w:hAnsi="Times New Roman" w:cs="Times New Roman"/>
        </w:rPr>
      </w:pPr>
      <w:r>
        <w:rPr>
          <w:rFonts w:ascii="Times New Roman" w:eastAsia="Times New Roman" w:hAnsi="Times New Roman" w:cs="Times New Roman"/>
        </w:rPr>
        <w:t xml:space="preserve">Circulating eCBs were also included in the longitudinal analysis, after log transformation of raw values, by applying a three-way repeated measure ANOVA, considering as within-subject factors: </w:t>
      </w:r>
      <w:r>
        <w:rPr>
          <w:rFonts w:ascii="Times New Roman" w:eastAsia="Times New Roman" w:hAnsi="Times New Roman" w:cs="Times New Roman"/>
          <w:i/>
        </w:rPr>
        <w:t xml:space="preserve">time </w:t>
      </w:r>
      <w:r>
        <w:rPr>
          <w:rFonts w:ascii="Times New Roman" w:eastAsia="Times New Roman" w:hAnsi="Times New Roman" w:cs="Times New Roman"/>
        </w:rPr>
        <w:t>(baseline vs Post)</w:t>
      </w:r>
      <w:r>
        <w:rPr>
          <w:rFonts w:ascii="Times New Roman" w:eastAsia="Times New Roman" w:hAnsi="Times New Roman" w:cs="Times New Roman"/>
          <w:i/>
        </w:rPr>
        <w:t xml:space="preserve"> </w:t>
      </w:r>
      <w:r>
        <w:rPr>
          <w:rFonts w:ascii="Times New Roman" w:eastAsia="Times New Roman" w:hAnsi="Times New Roman" w:cs="Times New Roman"/>
        </w:rPr>
        <w:t xml:space="preserve">and </w:t>
      </w:r>
      <w:r>
        <w:rPr>
          <w:rFonts w:ascii="Times New Roman" w:eastAsia="Times New Roman" w:hAnsi="Times New Roman" w:cs="Times New Roman"/>
          <w:i/>
        </w:rPr>
        <w:t xml:space="preserve">eCBs levels </w:t>
      </w:r>
      <w:r>
        <w:rPr>
          <w:rFonts w:ascii="Times New Roman" w:eastAsia="Times New Roman" w:hAnsi="Times New Roman" w:cs="Times New Roman"/>
        </w:rPr>
        <w:t xml:space="preserve">(logAEA, log2AG, logEPEA, logPEA, logOEA, logDHEA, log2-DHG), and between-subject factor </w:t>
      </w:r>
      <w:r>
        <w:rPr>
          <w:rFonts w:ascii="Times New Roman" w:eastAsia="Times New Roman" w:hAnsi="Times New Roman" w:cs="Times New Roman"/>
          <w:i/>
        </w:rPr>
        <w:t>ΔALSFRS-</w:t>
      </w:r>
      <w:r w:rsidRPr="00D6469A">
        <w:rPr>
          <w:rFonts w:ascii="Times New Roman" w:eastAsia="Times New Roman" w:hAnsi="Times New Roman" w:cs="Times New Roman"/>
        </w:rPr>
        <w:t>R (slow progressor vs fast progressor). This last factor was defined by stratifying ALS patients based on the monthly ALSFRS-R points lost during the follow-up time, if it was ≥ 1 the patient was defined as fast progressor, otherwise if it was &lt; 1 as slow progressor.</w:t>
      </w:r>
      <w:r w:rsidR="00B05408">
        <w:rPr>
          <w:rFonts w:ascii="Times New Roman" w:eastAsia="Times New Roman" w:hAnsi="Times New Roman" w:cs="Times New Roman"/>
        </w:rPr>
        <w:t xml:space="preserve">  </w:t>
      </w:r>
      <w:r w:rsidR="00B05408" w:rsidRPr="00B05408">
        <w:rPr>
          <w:rFonts w:ascii="Times New Roman" w:eastAsia="Times New Roman" w:hAnsi="Times New Roman" w:cs="Times New Roman"/>
        </w:rPr>
        <w:t xml:space="preserve">As an additional analysis, we also performed a </w:t>
      </w:r>
      <w:r w:rsidR="00B05408">
        <w:rPr>
          <w:rFonts w:ascii="Times New Roman" w:eastAsia="Times New Roman" w:hAnsi="Times New Roman" w:cs="Times New Roman"/>
        </w:rPr>
        <w:t xml:space="preserve">Pearson </w:t>
      </w:r>
      <w:r w:rsidR="00B05408" w:rsidRPr="00B05408">
        <w:rPr>
          <w:rFonts w:ascii="Times New Roman" w:eastAsia="Times New Roman" w:hAnsi="Times New Roman" w:cs="Times New Roman"/>
        </w:rPr>
        <w:t xml:space="preserve">correlation analysis between the ΔALSFRS-R and the change in </w:t>
      </w:r>
      <w:r w:rsidR="00B05408">
        <w:rPr>
          <w:rFonts w:ascii="Times New Roman" w:eastAsia="Times New Roman" w:hAnsi="Times New Roman" w:cs="Times New Roman"/>
        </w:rPr>
        <w:t xml:space="preserve">each </w:t>
      </w:r>
      <w:r w:rsidR="00BF6C2A" w:rsidRPr="00B05408">
        <w:rPr>
          <w:rFonts w:ascii="Times New Roman" w:eastAsia="Times New Roman" w:hAnsi="Times New Roman" w:cs="Times New Roman"/>
        </w:rPr>
        <w:t>mediator</w:t>
      </w:r>
      <w:r w:rsidR="00B05408" w:rsidRPr="00B05408">
        <w:rPr>
          <w:rFonts w:ascii="Times New Roman" w:eastAsia="Times New Roman" w:hAnsi="Times New Roman" w:cs="Times New Roman"/>
        </w:rPr>
        <w:t xml:space="preserve"> over time expressed as the difference between the follow-up value compared to the baseline value (ΔeCB).</w:t>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r w:rsidR="00F84170">
        <w:rPr>
          <w:rFonts w:ascii="Times New Roman" w:eastAsia="Times New Roman" w:hAnsi="Times New Roman" w:cs="Times New Roman"/>
        </w:rPr>
        <w:tab/>
      </w:r>
    </w:p>
    <w:p w14:paraId="40613E35" w14:textId="65773CCD" w:rsidR="006B01A0" w:rsidRDefault="006B01A0" w:rsidP="00F84170">
      <w:pPr>
        <w:spacing w:after="0"/>
        <w:jc w:val="both"/>
        <w:rPr>
          <w:rFonts w:ascii="Times New Roman" w:eastAsia="Times New Roman" w:hAnsi="Times New Roman" w:cs="Times New Roman"/>
        </w:rPr>
      </w:pPr>
      <w:r>
        <w:rPr>
          <w:rFonts w:ascii="Times New Roman" w:eastAsia="Times New Roman" w:hAnsi="Times New Roman" w:cs="Times New Roman"/>
        </w:rPr>
        <w:t>Finally, the levels of eCB</w:t>
      </w:r>
      <w:r w:rsidR="00B05408">
        <w:rPr>
          <w:rFonts w:ascii="Times New Roman" w:eastAsia="Times New Roman" w:hAnsi="Times New Roman" w:cs="Times New Roman"/>
        </w:rPr>
        <w:t>s</w:t>
      </w:r>
      <w:r>
        <w:rPr>
          <w:rFonts w:ascii="Times New Roman" w:eastAsia="Times New Roman" w:hAnsi="Times New Roman" w:cs="Times New Roman"/>
        </w:rPr>
        <w:t xml:space="preserve"> were included in a 2-step cluster analysis using Likelihood distance measure. The number of clusters was not fixed a priori, and the Bayesian Information Criterion (BIC) was used to determine the number of clusters. Based on cluster membership of individual ALS patients, cluster sizes were determined, and silhouette analyses run using the STATS CLUS SIL extension of SPSS. The hierarchy of input variables was calculated to rank predictor importance, i.e. the levels of which eCBs best segregate the patients. Cluster membership was then visualised by box plots with interquartile intervals along the most relevant eCBs to demonstrate case separation. In post hoc analyses, the clinical profiles of the clusters identified were contrasted.</w:t>
      </w:r>
      <w:r w:rsidR="00F84170">
        <w:rPr>
          <w:rFonts w:ascii="Times New Roman" w:eastAsia="Times New Roman" w:hAnsi="Times New Roman" w:cs="Times New Roman"/>
        </w:rPr>
        <w:t xml:space="preserve"> </w:t>
      </w:r>
      <w:r>
        <w:rPr>
          <w:rFonts w:ascii="Times New Roman" w:eastAsia="Times New Roman" w:hAnsi="Times New Roman" w:cs="Times New Roman"/>
        </w:rPr>
        <w:t>Statistical analyses were carried out using the SPSS 29.0 statistical package (SPSS, Chicago, IL, USA). Alpha inflation due to multiple comparisons was controlled using Bonferroni correction when appropriate.</w:t>
      </w:r>
    </w:p>
    <w:p w14:paraId="2914D85E" w14:textId="77777777" w:rsidR="006B01A0" w:rsidRDefault="006B01A0" w:rsidP="00E501F3">
      <w:pPr>
        <w:spacing w:before="240" w:after="240"/>
        <w:jc w:val="both"/>
        <w:rPr>
          <w:rFonts w:ascii="Times New Roman" w:eastAsia="Times New Roman" w:hAnsi="Times New Roman" w:cs="Times New Roman"/>
          <w:b/>
          <w:sz w:val="20"/>
          <w:szCs w:val="20"/>
        </w:rPr>
      </w:pPr>
    </w:p>
    <w:p w14:paraId="50FAB4B8" w14:textId="77777777" w:rsidR="006B01A0" w:rsidRDefault="006B01A0" w:rsidP="00E501F3">
      <w:pPr>
        <w:spacing w:before="240" w:after="240"/>
        <w:jc w:val="both"/>
        <w:rPr>
          <w:rFonts w:ascii="Times New Roman" w:eastAsia="Times New Roman" w:hAnsi="Times New Roman" w:cs="Times New Roman"/>
          <w:b/>
          <w:sz w:val="20"/>
          <w:szCs w:val="20"/>
        </w:rPr>
      </w:pPr>
    </w:p>
    <w:p w14:paraId="514DE854" w14:textId="77777777" w:rsidR="006B01A0" w:rsidRDefault="006B01A0" w:rsidP="00E501F3">
      <w:pPr>
        <w:spacing w:before="240" w:after="240"/>
        <w:jc w:val="both"/>
        <w:rPr>
          <w:rFonts w:ascii="Times New Roman" w:eastAsia="Times New Roman" w:hAnsi="Times New Roman" w:cs="Times New Roman"/>
          <w:b/>
          <w:sz w:val="20"/>
          <w:szCs w:val="20"/>
        </w:rPr>
      </w:pPr>
    </w:p>
    <w:p w14:paraId="0278A1ED" w14:textId="77777777" w:rsidR="00142582" w:rsidRDefault="00142582" w:rsidP="00E501F3">
      <w:pPr>
        <w:spacing w:before="240" w:after="240"/>
        <w:jc w:val="both"/>
        <w:rPr>
          <w:rFonts w:ascii="Times New Roman" w:eastAsia="Times New Roman" w:hAnsi="Times New Roman" w:cs="Times New Roman"/>
          <w:b/>
          <w:sz w:val="20"/>
          <w:szCs w:val="20"/>
        </w:rPr>
      </w:pPr>
    </w:p>
    <w:p w14:paraId="3FE8F9A8" w14:textId="77777777" w:rsidR="00142582" w:rsidRDefault="00142582" w:rsidP="00E501F3">
      <w:pPr>
        <w:spacing w:before="240" w:after="240"/>
        <w:jc w:val="both"/>
        <w:rPr>
          <w:rFonts w:ascii="Times New Roman" w:eastAsia="Times New Roman" w:hAnsi="Times New Roman" w:cs="Times New Roman"/>
          <w:b/>
          <w:sz w:val="20"/>
          <w:szCs w:val="20"/>
        </w:rPr>
      </w:pPr>
    </w:p>
    <w:p w14:paraId="1385D5F6" w14:textId="77777777" w:rsidR="00142582" w:rsidRDefault="00142582" w:rsidP="00E501F3">
      <w:pPr>
        <w:spacing w:before="240" w:after="240"/>
        <w:jc w:val="both"/>
        <w:rPr>
          <w:rFonts w:ascii="Times New Roman" w:eastAsia="Times New Roman" w:hAnsi="Times New Roman" w:cs="Times New Roman"/>
          <w:b/>
          <w:sz w:val="20"/>
          <w:szCs w:val="20"/>
        </w:rPr>
      </w:pPr>
    </w:p>
    <w:p w14:paraId="648D8105" w14:textId="77777777" w:rsidR="00142582" w:rsidRDefault="00142582" w:rsidP="00E501F3">
      <w:pPr>
        <w:spacing w:before="240" w:after="240"/>
        <w:jc w:val="both"/>
        <w:rPr>
          <w:rFonts w:ascii="Times New Roman" w:eastAsia="Times New Roman" w:hAnsi="Times New Roman" w:cs="Times New Roman"/>
          <w:b/>
          <w:sz w:val="20"/>
          <w:szCs w:val="20"/>
        </w:rPr>
      </w:pPr>
    </w:p>
    <w:p w14:paraId="1F5A4EBD" w14:textId="77777777" w:rsidR="00142582" w:rsidRDefault="00142582" w:rsidP="00E501F3">
      <w:pPr>
        <w:spacing w:before="240" w:after="240"/>
        <w:jc w:val="both"/>
        <w:rPr>
          <w:rFonts w:ascii="Times New Roman" w:eastAsia="Times New Roman" w:hAnsi="Times New Roman" w:cs="Times New Roman"/>
          <w:b/>
          <w:sz w:val="20"/>
          <w:szCs w:val="20"/>
        </w:rPr>
      </w:pPr>
    </w:p>
    <w:p w14:paraId="0D93A2C9" w14:textId="77777777" w:rsidR="00142582" w:rsidRDefault="00142582" w:rsidP="00E501F3">
      <w:pPr>
        <w:spacing w:before="240" w:after="240"/>
        <w:jc w:val="both"/>
        <w:rPr>
          <w:rFonts w:ascii="Times New Roman" w:eastAsia="Times New Roman" w:hAnsi="Times New Roman" w:cs="Times New Roman"/>
          <w:b/>
          <w:sz w:val="20"/>
          <w:szCs w:val="20"/>
        </w:rPr>
      </w:pPr>
    </w:p>
    <w:p w14:paraId="58C0686E" w14:textId="77777777" w:rsidR="00142582" w:rsidRDefault="00142582" w:rsidP="00E501F3">
      <w:pPr>
        <w:spacing w:before="240" w:after="240"/>
        <w:jc w:val="both"/>
        <w:rPr>
          <w:rFonts w:ascii="Times New Roman" w:eastAsia="Times New Roman" w:hAnsi="Times New Roman" w:cs="Times New Roman"/>
          <w:b/>
          <w:sz w:val="20"/>
          <w:szCs w:val="20"/>
        </w:rPr>
      </w:pPr>
    </w:p>
    <w:p w14:paraId="65A4EE03" w14:textId="77777777" w:rsidR="00F84170" w:rsidRDefault="00F84170" w:rsidP="00E501F3">
      <w:pPr>
        <w:spacing w:before="240" w:after="240"/>
        <w:jc w:val="both"/>
        <w:rPr>
          <w:rFonts w:ascii="Times New Roman" w:eastAsia="Times New Roman" w:hAnsi="Times New Roman" w:cs="Times New Roman"/>
          <w:b/>
          <w:sz w:val="20"/>
          <w:szCs w:val="20"/>
        </w:rPr>
      </w:pPr>
    </w:p>
    <w:p w14:paraId="28F26298" w14:textId="77777777" w:rsidR="0031391C" w:rsidRDefault="0031391C" w:rsidP="00E501F3">
      <w:pPr>
        <w:spacing w:before="240" w:after="240"/>
        <w:jc w:val="both"/>
        <w:rPr>
          <w:rFonts w:ascii="Times New Roman" w:eastAsia="Times New Roman" w:hAnsi="Times New Roman" w:cs="Times New Roman"/>
          <w:b/>
          <w:sz w:val="20"/>
          <w:szCs w:val="20"/>
        </w:rPr>
      </w:pPr>
    </w:p>
    <w:p w14:paraId="63819E73" w14:textId="77777777" w:rsidR="0031391C" w:rsidRDefault="0031391C" w:rsidP="00E501F3">
      <w:pPr>
        <w:spacing w:before="240" w:after="240"/>
        <w:jc w:val="both"/>
        <w:rPr>
          <w:rFonts w:ascii="Times New Roman" w:eastAsia="Times New Roman" w:hAnsi="Times New Roman" w:cs="Times New Roman"/>
          <w:b/>
          <w:sz w:val="20"/>
          <w:szCs w:val="20"/>
        </w:rPr>
      </w:pPr>
    </w:p>
    <w:p w14:paraId="220B1D85" w14:textId="77777777" w:rsidR="0031391C" w:rsidRDefault="0031391C" w:rsidP="00E501F3">
      <w:pPr>
        <w:spacing w:before="240" w:after="240"/>
        <w:jc w:val="both"/>
        <w:rPr>
          <w:rFonts w:ascii="Times New Roman" w:eastAsia="Times New Roman" w:hAnsi="Times New Roman" w:cs="Times New Roman"/>
          <w:b/>
          <w:sz w:val="20"/>
          <w:szCs w:val="20"/>
        </w:rPr>
      </w:pPr>
    </w:p>
    <w:p w14:paraId="2007FA1D" w14:textId="185A949A" w:rsidR="00142582" w:rsidRDefault="007C2487" w:rsidP="00E501F3">
      <w:pPr>
        <w:spacing w:before="240" w:after="240"/>
        <w:jc w:val="both"/>
        <w:rPr>
          <w:rFonts w:ascii="Times New Roman" w:eastAsia="Times New Roman" w:hAnsi="Times New Roman" w:cs="Times New Roman"/>
          <w:b/>
          <w:sz w:val="20"/>
          <w:szCs w:val="20"/>
        </w:rPr>
      </w:pPr>
      <w:r w:rsidRPr="00F84170">
        <w:rPr>
          <w:rFonts w:ascii="Times New Roman" w:eastAsia="Times New Roman" w:hAnsi="Times New Roman" w:cs="Times New Roman"/>
          <w:b/>
          <w:sz w:val="20"/>
          <w:szCs w:val="20"/>
        </w:rPr>
        <w:lastRenderedPageBreak/>
        <w:t>References</w:t>
      </w:r>
    </w:p>
    <w:sdt>
      <w:sdtPr>
        <w:rPr>
          <w:rFonts w:ascii="Times New Roman" w:eastAsia="Times New Roman" w:hAnsi="Times New Roman" w:cs="Times New Roman"/>
          <w:b/>
          <w:sz w:val="20"/>
          <w:szCs w:val="20"/>
        </w:rPr>
        <w:tag w:val="MENDELEY_BIBLIOGRAPHY"/>
        <w:id w:val="-1759428585"/>
        <w:placeholder>
          <w:docPart w:val="DefaultPlaceholder_-1854013440"/>
        </w:placeholder>
      </w:sdtPr>
      <w:sdtContent>
        <w:p w14:paraId="18359B0A" w14:textId="77777777" w:rsidR="0015703F" w:rsidRDefault="0015703F">
          <w:pPr>
            <w:autoSpaceDE w:val="0"/>
            <w:autoSpaceDN w:val="0"/>
            <w:ind w:hanging="480"/>
            <w:divId w:val="1490556473"/>
            <w:rPr>
              <w:rFonts w:eastAsia="Times New Roman"/>
              <w:sz w:val="24"/>
              <w:szCs w:val="24"/>
            </w:rPr>
          </w:pPr>
          <w:r>
            <w:rPr>
              <w:rFonts w:eastAsia="Times New Roman"/>
            </w:rPr>
            <w:t xml:space="preserve">Brooks, B. R., Miller, R. G., Swash, M., &amp; Munsat, T. L. (2000). El Escorial revisited: revised criteria for the diagnosis of ALS. </w:t>
          </w:r>
          <w:r>
            <w:rPr>
              <w:rFonts w:eastAsia="Times New Roman"/>
              <w:i/>
              <w:iCs/>
            </w:rPr>
            <w:t>Amyotrophic Lateral Sclerosis and Other Motor Neuron Disorders : Official Publication of the World Federation of Neurology, Research Group on Motor Neuron Diseases</w:t>
          </w:r>
          <w:r>
            <w:rPr>
              <w:rFonts w:eastAsia="Times New Roman"/>
            </w:rPr>
            <w:t xml:space="preserve">, </w:t>
          </w:r>
          <w:r>
            <w:rPr>
              <w:rFonts w:eastAsia="Times New Roman"/>
              <w:i/>
              <w:iCs/>
            </w:rPr>
            <w:t>1</w:t>
          </w:r>
          <w:r>
            <w:rPr>
              <w:rFonts w:eastAsia="Times New Roman"/>
            </w:rPr>
            <w:t>(5), 293–299. http://www.ncbi.nlm.nih.gov/pubmed/11464847</w:t>
          </w:r>
        </w:p>
        <w:p w14:paraId="5B898508" w14:textId="77777777" w:rsidR="0015703F" w:rsidRDefault="0015703F">
          <w:pPr>
            <w:autoSpaceDE w:val="0"/>
            <w:autoSpaceDN w:val="0"/>
            <w:ind w:hanging="480"/>
            <w:divId w:val="464588841"/>
            <w:rPr>
              <w:rFonts w:eastAsia="Times New Roman"/>
            </w:rPr>
          </w:pPr>
          <w:r>
            <w:rPr>
              <w:rFonts w:eastAsia="Times New Roman"/>
            </w:rPr>
            <w:t xml:space="preserve">Cedarbaum, J. M., Stambler, N., Malta, E., Fuller, C., Hilt, D., Thurmond, B., &amp; Nakanishi, A. (1999). The ALSFRS-R: a revised ALS functional rating scale that incorporates assessments of respiratory function. </w:t>
          </w:r>
          <w:r>
            <w:rPr>
              <w:rFonts w:eastAsia="Times New Roman"/>
              <w:i/>
              <w:iCs/>
            </w:rPr>
            <w:t>Journal of the Neurological Sciences</w:t>
          </w:r>
          <w:r>
            <w:rPr>
              <w:rFonts w:eastAsia="Times New Roman"/>
            </w:rPr>
            <w:t xml:space="preserve">, </w:t>
          </w:r>
          <w:r>
            <w:rPr>
              <w:rFonts w:eastAsia="Times New Roman"/>
              <w:i/>
              <w:iCs/>
            </w:rPr>
            <w:t>169</w:t>
          </w:r>
          <w:r>
            <w:rPr>
              <w:rFonts w:eastAsia="Times New Roman"/>
            </w:rPr>
            <w:t>(1–2), 13–21. https://doi.org/10.1016/S0022-510X(99)00210-5</w:t>
          </w:r>
        </w:p>
        <w:p w14:paraId="45C158CD" w14:textId="77777777" w:rsidR="0015703F" w:rsidRPr="0015703F" w:rsidRDefault="0015703F">
          <w:pPr>
            <w:autoSpaceDE w:val="0"/>
            <w:autoSpaceDN w:val="0"/>
            <w:ind w:hanging="480"/>
            <w:divId w:val="2043745686"/>
            <w:rPr>
              <w:rFonts w:eastAsia="Times New Roman"/>
              <w:lang w:val="it-IT"/>
            </w:rPr>
          </w:pPr>
          <w:r>
            <w:rPr>
              <w:rFonts w:eastAsia="Times New Roman"/>
            </w:rPr>
            <w:t xml:space="preserve">Czaplinski, A. (2005). Forced vital capacity (FVC) as an indicator of survival and disease progression in an ALS clinic population. </w:t>
          </w:r>
          <w:r w:rsidRPr="0015703F">
            <w:rPr>
              <w:rFonts w:eastAsia="Times New Roman"/>
              <w:i/>
              <w:iCs/>
              <w:lang w:val="it-IT"/>
            </w:rPr>
            <w:t>Journal of Neurology, Neurosurgery &amp; Psychiatry</w:t>
          </w:r>
          <w:r w:rsidRPr="0015703F">
            <w:rPr>
              <w:rFonts w:eastAsia="Times New Roman"/>
              <w:lang w:val="it-IT"/>
            </w:rPr>
            <w:t xml:space="preserve">, </w:t>
          </w:r>
          <w:r w:rsidRPr="0015703F">
            <w:rPr>
              <w:rFonts w:eastAsia="Times New Roman"/>
              <w:i/>
              <w:iCs/>
              <w:lang w:val="it-IT"/>
            </w:rPr>
            <w:t>77</w:t>
          </w:r>
          <w:r w:rsidRPr="0015703F">
            <w:rPr>
              <w:rFonts w:eastAsia="Times New Roman"/>
              <w:lang w:val="it-IT"/>
            </w:rPr>
            <w:t>(3), 390–392. https://doi.org/10.1136/jnnp.2005.072660</w:t>
          </w:r>
        </w:p>
        <w:p w14:paraId="25788299" w14:textId="77777777" w:rsidR="0015703F" w:rsidRPr="0015703F" w:rsidRDefault="0015703F">
          <w:pPr>
            <w:autoSpaceDE w:val="0"/>
            <w:autoSpaceDN w:val="0"/>
            <w:ind w:hanging="480"/>
            <w:divId w:val="941567331"/>
            <w:rPr>
              <w:rFonts w:eastAsia="Times New Roman"/>
              <w:lang w:val="it-IT"/>
            </w:rPr>
          </w:pPr>
          <w:r w:rsidRPr="0015703F">
            <w:rPr>
              <w:rFonts w:eastAsia="Times New Roman"/>
              <w:lang w:val="it-IT"/>
            </w:rPr>
            <w:t xml:space="preserve">De Lucia, N., Ausiello, F. P., Spisto, M., Manganelli, F., Salvatore, E., &amp; Dubbioso, R. (2020). </w:t>
          </w:r>
          <w:r>
            <w:rPr>
              <w:rFonts w:eastAsia="Times New Roman"/>
            </w:rPr>
            <w:t xml:space="preserve">The emotional impact of COVID-19 outbreak in amyotrophic lateral sclerosis patients: evaluation of depression, anxiety and interoceptive awareness. </w:t>
          </w:r>
          <w:r w:rsidRPr="0015703F">
            <w:rPr>
              <w:rFonts w:eastAsia="Times New Roman"/>
              <w:i/>
              <w:iCs/>
              <w:lang w:val="it-IT"/>
            </w:rPr>
            <w:t>Neurological Sciences</w:t>
          </w:r>
          <w:r w:rsidRPr="0015703F">
            <w:rPr>
              <w:rFonts w:eastAsia="Times New Roman"/>
              <w:lang w:val="it-IT"/>
            </w:rPr>
            <w:t xml:space="preserve">, </w:t>
          </w:r>
          <w:r w:rsidRPr="0015703F">
            <w:rPr>
              <w:rFonts w:eastAsia="Times New Roman"/>
              <w:i/>
              <w:iCs/>
              <w:lang w:val="it-IT"/>
            </w:rPr>
            <w:t>41</w:t>
          </w:r>
          <w:r w:rsidRPr="0015703F">
            <w:rPr>
              <w:rFonts w:eastAsia="Times New Roman"/>
              <w:lang w:val="it-IT"/>
            </w:rPr>
            <w:t>(9), 2339–2341. https://doi.org/10.1007/s10072-020-04592-2</w:t>
          </w:r>
        </w:p>
        <w:p w14:paraId="1B36DE0F" w14:textId="77777777" w:rsidR="0015703F" w:rsidRPr="0015703F" w:rsidRDefault="0015703F">
          <w:pPr>
            <w:autoSpaceDE w:val="0"/>
            <w:autoSpaceDN w:val="0"/>
            <w:ind w:hanging="480"/>
            <w:divId w:val="1001392849"/>
            <w:rPr>
              <w:rFonts w:eastAsia="Times New Roman"/>
              <w:lang w:val="it-IT"/>
            </w:rPr>
          </w:pPr>
          <w:r w:rsidRPr="0015703F">
            <w:rPr>
              <w:rFonts w:eastAsia="Times New Roman"/>
              <w:lang w:val="it-IT"/>
            </w:rPr>
            <w:t xml:space="preserve">Dubbioso, R., Spisto, M., Hausdorff, J. M., Aceto, G., Iuzzolino, V. V., Senerchia, G., De Marco, S., Marcuccio, L., Femiano, C., Iodice, R., Salvatore, E., Santangelo, G., Trojano, L., &amp; Moretta, P. (2023). </w:t>
          </w:r>
          <w:r>
            <w:rPr>
              <w:rFonts w:eastAsia="Times New Roman"/>
            </w:rPr>
            <w:t xml:space="preserve">Cognitive impairment is associated with gait variability and fall risk in amyotrophic lateral sclerosis. </w:t>
          </w:r>
          <w:r w:rsidRPr="0015703F">
            <w:rPr>
              <w:rFonts w:eastAsia="Times New Roman"/>
              <w:i/>
              <w:iCs/>
              <w:lang w:val="it-IT"/>
            </w:rPr>
            <w:t>European Journal of Neurology</w:t>
          </w:r>
          <w:r w:rsidRPr="0015703F">
            <w:rPr>
              <w:rFonts w:eastAsia="Times New Roman"/>
              <w:lang w:val="it-IT"/>
            </w:rPr>
            <w:t xml:space="preserve">, </w:t>
          </w:r>
          <w:r w:rsidRPr="0015703F">
            <w:rPr>
              <w:rFonts w:eastAsia="Times New Roman"/>
              <w:i/>
              <w:iCs/>
              <w:lang w:val="it-IT"/>
            </w:rPr>
            <w:t>30</w:t>
          </w:r>
          <w:r w:rsidRPr="0015703F">
            <w:rPr>
              <w:rFonts w:eastAsia="Times New Roman"/>
              <w:lang w:val="it-IT"/>
            </w:rPr>
            <w:t>(10), 3056–3067. https://doi.org/10.1111/ene.15936</w:t>
          </w:r>
        </w:p>
        <w:p w14:paraId="22F19AF3" w14:textId="77777777" w:rsidR="0015703F" w:rsidRPr="0015703F" w:rsidRDefault="0015703F">
          <w:pPr>
            <w:autoSpaceDE w:val="0"/>
            <w:autoSpaceDN w:val="0"/>
            <w:ind w:hanging="480"/>
            <w:divId w:val="1685859383"/>
            <w:rPr>
              <w:rFonts w:eastAsia="Times New Roman"/>
              <w:lang w:val="it-IT"/>
            </w:rPr>
          </w:pPr>
          <w:r w:rsidRPr="0015703F">
            <w:rPr>
              <w:rFonts w:eastAsia="Times New Roman"/>
              <w:lang w:val="it-IT"/>
            </w:rPr>
            <w:t xml:space="preserve">Ferrara, A. L., Piscitelli, F., Petraroli, A., Parente, R., Galdiero, M. R., Varricchi, G., Marone, G., Triggiani, M., Di Marzo, V., &amp; Loffredo, S. (2019). </w:t>
          </w:r>
          <w:r>
            <w:rPr>
              <w:rFonts w:eastAsia="Times New Roman"/>
            </w:rPr>
            <w:t xml:space="preserve">Altered Metabolism of Phospholipases, Diacylglycerols, Endocannabinoids, and </w:t>
          </w:r>
          <w:r>
            <w:rPr>
              <w:rFonts w:eastAsia="Times New Roman"/>
              <w:i/>
              <w:iCs/>
            </w:rPr>
            <w:t>N</w:t>
          </w:r>
          <w:r>
            <w:rPr>
              <w:rFonts w:eastAsia="Times New Roman"/>
            </w:rPr>
            <w:t xml:space="preserve"> -Acylethanolamines in Patients with Mastocytosis. </w:t>
          </w:r>
          <w:r w:rsidRPr="0015703F">
            <w:rPr>
              <w:rFonts w:eastAsia="Times New Roman"/>
              <w:i/>
              <w:iCs/>
              <w:lang w:val="it-IT"/>
            </w:rPr>
            <w:t>Journal of Immunology Research</w:t>
          </w:r>
          <w:r w:rsidRPr="0015703F">
            <w:rPr>
              <w:rFonts w:eastAsia="Times New Roman"/>
              <w:lang w:val="it-IT"/>
            </w:rPr>
            <w:t xml:space="preserve">, </w:t>
          </w:r>
          <w:r w:rsidRPr="0015703F">
            <w:rPr>
              <w:rFonts w:eastAsia="Times New Roman"/>
              <w:i/>
              <w:iCs/>
              <w:lang w:val="it-IT"/>
            </w:rPr>
            <w:t>2019</w:t>
          </w:r>
          <w:r w:rsidRPr="0015703F">
            <w:rPr>
              <w:rFonts w:eastAsia="Times New Roman"/>
              <w:lang w:val="it-IT"/>
            </w:rPr>
            <w:t>, 1–14. https://doi.org/10.1155/2019/5836476</w:t>
          </w:r>
        </w:p>
        <w:p w14:paraId="29D22A48" w14:textId="77777777" w:rsidR="0015703F" w:rsidRDefault="0015703F">
          <w:pPr>
            <w:autoSpaceDE w:val="0"/>
            <w:autoSpaceDN w:val="0"/>
            <w:ind w:hanging="480"/>
            <w:divId w:val="1798789736"/>
            <w:rPr>
              <w:rFonts w:eastAsia="Times New Roman"/>
            </w:rPr>
          </w:pPr>
          <w:r w:rsidRPr="0015703F">
            <w:rPr>
              <w:rFonts w:eastAsia="Times New Roman"/>
              <w:lang w:val="it-IT"/>
            </w:rPr>
            <w:t xml:space="preserve">Ferraro, P. M., Gervino, E., De Maria, E., Meo, G., Ponzano, M., Pardini, M., Signori, A., Schenone, A., Roccatagliata, L., &amp; Caponnetto, C. (2023). </w:t>
          </w:r>
          <w:r>
            <w:rPr>
              <w:rFonts w:eastAsia="Times New Roman"/>
            </w:rPr>
            <w:t xml:space="preserve">Mild behavioral impairment as a potential marker of predementia risk states in motor neuron diseases. </w:t>
          </w:r>
          <w:r>
            <w:rPr>
              <w:rFonts w:eastAsia="Times New Roman"/>
              <w:i/>
              <w:iCs/>
            </w:rPr>
            <w:t>European Journal of Neurology</w:t>
          </w:r>
          <w:r>
            <w:rPr>
              <w:rFonts w:eastAsia="Times New Roman"/>
            </w:rPr>
            <w:t xml:space="preserve">, </w:t>
          </w:r>
          <w:r>
            <w:rPr>
              <w:rFonts w:eastAsia="Times New Roman"/>
              <w:i/>
              <w:iCs/>
            </w:rPr>
            <w:t>30</w:t>
          </w:r>
          <w:r>
            <w:rPr>
              <w:rFonts w:eastAsia="Times New Roman"/>
            </w:rPr>
            <w:t>(1), 47–56. https://doi.org/10.1111/ene.15570</w:t>
          </w:r>
        </w:p>
        <w:p w14:paraId="7EACC300" w14:textId="77777777" w:rsidR="0015703F" w:rsidRPr="0015703F" w:rsidRDefault="0015703F">
          <w:pPr>
            <w:autoSpaceDE w:val="0"/>
            <w:autoSpaceDN w:val="0"/>
            <w:ind w:hanging="480"/>
            <w:divId w:val="1589075706"/>
            <w:rPr>
              <w:rFonts w:eastAsia="Times New Roman"/>
              <w:lang w:val="it-IT"/>
            </w:rPr>
          </w:pPr>
          <w:r>
            <w:rPr>
              <w:rFonts w:eastAsia="Times New Roman"/>
            </w:rPr>
            <w:t xml:space="preserve">Kimura, F., Fujimura, C., Ishida, S., Nakajima, H., Furutama, D., Uehara, H., Shinoda, K., Sugino, M., &amp; Hanafusa, T. (2006). Progression rate of ALSFRS-R at time of diagnosis predicts survival time in ALS. </w:t>
          </w:r>
          <w:r w:rsidRPr="0015703F">
            <w:rPr>
              <w:rFonts w:eastAsia="Times New Roman"/>
              <w:i/>
              <w:iCs/>
              <w:lang w:val="it-IT"/>
            </w:rPr>
            <w:t>Neurology</w:t>
          </w:r>
          <w:r w:rsidRPr="0015703F">
            <w:rPr>
              <w:rFonts w:eastAsia="Times New Roman"/>
              <w:lang w:val="it-IT"/>
            </w:rPr>
            <w:t xml:space="preserve">, </w:t>
          </w:r>
          <w:r w:rsidRPr="0015703F">
            <w:rPr>
              <w:rFonts w:eastAsia="Times New Roman"/>
              <w:i/>
              <w:iCs/>
              <w:lang w:val="it-IT"/>
            </w:rPr>
            <w:t>66</w:t>
          </w:r>
          <w:r w:rsidRPr="0015703F">
            <w:rPr>
              <w:rFonts w:eastAsia="Times New Roman"/>
              <w:lang w:val="it-IT"/>
            </w:rPr>
            <w:t>(2), 265–267. https://doi.org/10.1212/01.wnl.0000194316.91908.8a</w:t>
          </w:r>
        </w:p>
        <w:p w14:paraId="44C1D5B4" w14:textId="77777777" w:rsidR="0015703F" w:rsidRPr="0015703F" w:rsidRDefault="0015703F">
          <w:pPr>
            <w:autoSpaceDE w:val="0"/>
            <w:autoSpaceDN w:val="0"/>
            <w:ind w:hanging="480"/>
            <w:divId w:val="537623066"/>
            <w:rPr>
              <w:rFonts w:eastAsia="Times New Roman"/>
              <w:lang w:val="it-IT"/>
            </w:rPr>
          </w:pPr>
          <w:r w:rsidRPr="0015703F">
            <w:rPr>
              <w:rFonts w:eastAsia="Times New Roman"/>
              <w:lang w:val="it-IT"/>
            </w:rPr>
            <w:t xml:space="preserve">Moretta, P., Spisto, M., Ausiello, F. P., Iodice, R., De Lucia, N., Santangelo, G., Trojano, L., Salvatore, E., &amp; Dubbioso, R. (2022). </w:t>
          </w:r>
          <w:r>
            <w:rPr>
              <w:rFonts w:eastAsia="Times New Roman"/>
            </w:rPr>
            <w:t xml:space="preserve">Alteration of interoceptive sensitivity: expanding the spectrum of behavioural disorders in amyotrophic lateral sclerosis. </w:t>
          </w:r>
          <w:r w:rsidRPr="0015703F">
            <w:rPr>
              <w:rFonts w:eastAsia="Times New Roman"/>
              <w:i/>
              <w:iCs/>
              <w:lang w:val="it-IT"/>
            </w:rPr>
            <w:t>Neurological Sciences</w:t>
          </w:r>
          <w:r w:rsidRPr="0015703F">
            <w:rPr>
              <w:rFonts w:eastAsia="Times New Roman"/>
              <w:lang w:val="it-IT"/>
            </w:rPr>
            <w:t xml:space="preserve">, </w:t>
          </w:r>
          <w:r w:rsidRPr="0015703F">
            <w:rPr>
              <w:rFonts w:eastAsia="Times New Roman"/>
              <w:i/>
              <w:iCs/>
              <w:lang w:val="it-IT"/>
            </w:rPr>
            <w:t>43</w:t>
          </w:r>
          <w:r w:rsidRPr="0015703F">
            <w:rPr>
              <w:rFonts w:eastAsia="Times New Roman"/>
              <w:lang w:val="it-IT"/>
            </w:rPr>
            <w:t>(9), 5403–5410. https://doi.org/10.1007/s10072-022-06231-4</w:t>
          </w:r>
        </w:p>
        <w:p w14:paraId="5B303A39" w14:textId="77777777" w:rsidR="0015703F" w:rsidRDefault="0015703F">
          <w:pPr>
            <w:autoSpaceDE w:val="0"/>
            <w:autoSpaceDN w:val="0"/>
            <w:ind w:hanging="480"/>
            <w:divId w:val="1480655613"/>
            <w:rPr>
              <w:rFonts w:eastAsia="Times New Roman"/>
            </w:rPr>
          </w:pPr>
          <w:r w:rsidRPr="0015703F">
            <w:rPr>
              <w:rFonts w:eastAsia="Times New Roman"/>
              <w:lang w:val="it-IT"/>
            </w:rPr>
            <w:t xml:space="preserve">Piscitelli, F., Guida, F., Luongo, L., Iannotti, F. A., Boccella, S., Verde, R., Lauritano, A., Imperatore, R., Smoum, R., Cristino, L., Lichtman, A. H., Parker, L. A., Mechoulam, R., Maione, S., &amp; Di Marzo, V. (2020). </w:t>
          </w:r>
          <w:r>
            <w:rPr>
              <w:rFonts w:eastAsia="Times New Roman"/>
            </w:rPr>
            <w:t xml:space="preserve">Protective Effects of </w:t>
          </w:r>
          <w:r>
            <w:rPr>
              <w:rFonts w:eastAsia="Times New Roman"/>
              <w:i/>
              <w:iCs/>
            </w:rPr>
            <w:t>N</w:t>
          </w:r>
          <w:r>
            <w:rPr>
              <w:rFonts w:eastAsia="Times New Roman"/>
            </w:rPr>
            <w:t xml:space="preserve"> -Oleoylglycine in a Mouse Model of Mild Traumatic Brain Injury. </w:t>
          </w:r>
          <w:r>
            <w:rPr>
              <w:rFonts w:eastAsia="Times New Roman"/>
              <w:i/>
              <w:iCs/>
            </w:rPr>
            <w:t>ACS Chemical Neuroscience</w:t>
          </w:r>
          <w:r>
            <w:rPr>
              <w:rFonts w:eastAsia="Times New Roman"/>
            </w:rPr>
            <w:t xml:space="preserve">, </w:t>
          </w:r>
          <w:r>
            <w:rPr>
              <w:rFonts w:eastAsia="Times New Roman"/>
              <w:i/>
              <w:iCs/>
            </w:rPr>
            <w:t>11</w:t>
          </w:r>
          <w:r>
            <w:rPr>
              <w:rFonts w:eastAsia="Times New Roman"/>
            </w:rPr>
            <w:t>(8), 1117–1128. https://doi.org/10.1021/acschemneuro.9b00633</w:t>
          </w:r>
        </w:p>
        <w:p w14:paraId="643682C2" w14:textId="77777777" w:rsidR="0015703F" w:rsidRDefault="0015703F">
          <w:pPr>
            <w:autoSpaceDE w:val="0"/>
            <w:autoSpaceDN w:val="0"/>
            <w:ind w:hanging="480"/>
            <w:divId w:val="1144814126"/>
            <w:rPr>
              <w:rFonts w:eastAsia="Times New Roman"/>
            </w:rPr>
          </w:pPr>
          <w:r>
            <w:rPr>
              <w:rFonts w:eastAsia="Times New Roman"/>
            </w:rPr>
            <w:lastRenderedPageBreak/>
            <w:t xml:space="preserve">Quinn, C., Edmundson, C., Dahodwala, N., &amp; Elman, L. (2020). Reliable and efficient scale to assess upper motor neuron disease burden in amyotrophic lateral sclerosis. </w:t>
          </w:r>
          <w:r>
            <w:rPr>
              <w:rFonts w:eastAsia="Times New Roman"/>
              <w:i/>
              <w:iCs/>
            </w:rPr>
            <w:t>Muscle and Nerve</w:t>
          </w:r>
          <w:r>
            <w:rPr>
              <w:rFonts w:eastAsia="Times New Roman"/>
            </w:rPr>
            <w:t xml:space="preserve">, </w:t>
          </w:r>
          <w:r>
            <w:rPr>
              <w:rFonts w:eastAsia="Times New Roman"/>
              <w:i/>
              <w:iCs/>
            </w:rPr>
            <w:t>61</w:t>
          </w:r>
          <w:r>
            <w:rPr>
              <w:rFonts w:eastAsia="Times New Roman"/>
            </w:rPr>
            <w:t>(4), 508–511. https://doi.org/10.1002/mus.26764</w:t>
          </w:r>
        </w:p>
        <w:p w14:paraId="1A433574" w14:textId="77777777" w:rsidR="0015703F" w:rsidRDefault="0015703F">
          <w:pPr>
            <w:autoSpaceDE w:val="0"/>
            <w:autoSpaceDN w:val="0"/>
            <w:ind w:hanging="480"/>
            <w:divId w:val="1058284772"/>
            <w:rPr>
              <w:rFonts w:eastAsia="Times New Roman"/>
            </w:rPr>
          </w:pPr>
          <w:r>
            <w:rPr>
              <w:rFonts w:eastAsia="Times New Roman"/>
            </w:rPr>
            <w:t xml:space="preserve">Roche, J. C., Rojas-Garcia, R., Scott, K. M., Scotton, W., Ellis, C. E., Burman, R., Wijesekera, L., Turner, M. R., Leigh, P. N., Shaw, C. E., &amp; Al-Chalabi, A. (2012). A proposed staging system for amyotrophic lateral sclerosis. </w:t>
          </w:r>
          <w:r>
            <w:rPr>
              <w:rFonts w:eastAsia="Times New Roman"/>
              <w:i/>
              <w:iCs/>
            </w:rPr>
            <w:t>Brain</w:t>
          </w:r>
          <w:r>
            <w:rPr>
              <w:rFonts w:eastAsia="Times New Roman"/>
            </w:rPr>
            <w:t xml:space="preserve">, </w:t>
          </w:r>
          <w:r>
            <w:rPr>
              <w:rFonts w:eastAsia="Times New Roman"/>
              <w:i/>
              <w:iCs/>
            </w:rPr>
            <w:t>135</w:t>
          </w:r>
          <w:r>
            <w:rPr>
              <w:rFonts w:eastAsia="Times New Roman"/>
            </w:rPr>
            <w:t>(3), 847–852. https://doi.org/10.1093/brain/awr351</w:t>
          </w:r>
        </w:p>
        <w:p w14:paraId="1F6668FA" w14:textId="77777777" w:rsidR="0015703F" w:rsidRPr="0015703F" w:rsidRDefault="0015703F">
          <w:pPr>
            <w:autoSpaceDE w:val="0"/>
            <w:autoSpaceDN w:val="0"/>
            <w:ind w:hanging="480"/>
            <w:divId w:val="1864435963"/>
            <w:rPr>
              <w:rFonts w:eastAsia="Times New Roman"/>
              <w:lang w:val="it-IT"/>
            </w:rPr>
          </w:pPr>
          <w:r>
            <w:rPr>
              <w:rFonts w:eastAsia="Times New Roman"/>
            </w:rPr>
            <w:t xml:space="preserve">Strong, M. J., Abrahams, S., Goldstein, L. H., Woolley, S., Mclaughlin, P., Snowden, J., Mioshi, E., Roberts-South, A., Benatar, M., HortobáGyi, T., Rosenfeld, J., Silani, V., Ince, P. G., &amp; Turner, M. R. (2017). Amyotrophic lateral sclerosis - frontotemporal spectrum disorder (ALS-FTSD): Revised diagnostic criteria. </w:t>
          </w:r>
          <w:r w:rsidRPr="0015703F">
            <w:rPr>
              <w:rFonts w:eastAsia="Times New Roman"/>
              <w:i/>
              <w:iCs/>
              <w:lang w:val="it-IT"/>
            </w:rPr>
            <w:t>Amyotrophic Lateral Sclerosis and Frontotemporal Degeneration</w:t>
          </w:r>
          <w:r w:rsidRPr="0015703F">
            <w:rPr>
              <w:rFonts w:eastAsia="Times New Roman"/>
              <w:lang w:val="it-IT"/>
            </w:rPr>
            <w:t xml:space="preserve">, </w:t>
          </w:r>
          <w:r w:rsidRPr="0015703F">
            <w:rPr>
              <w:rFonts w:eastAsia="Times New Roman"/>
              <w:i/>
              <w:iCs/>
              <w:lang w:val="it-IT"/>
            </w:rPr>
            <w:t>18</w:t>
          </w:r>
          <w:r w:rsidRPr="0015703F">
            <w:rPr>
              <w:rFonts w:eastAsia="Times New Roman"/>
              <w:lang w:val="it-IT"/>
            </w:rPr>
            <w:t>(3–4), 153–174. https://doi.org/10.1080/21678421.2016.1267768</w:t>
          </w:r>
        </w:p>
        <w:p w14:paraId="36D5FD63" w14:textId="77777777" w:rsidR="0015703F" w:rsidRDefault="0015703F">
          <w:pPr>
            <w:autoSpaceDE w:val="0"/>
            <w:autoSpaceDN w:val="0"/>
            <w:ind w:hanging="480"/>
            <w:divId w:val="1337266482"/>
            <w:rPr>
              <w:rFonts w:eastAsia="Times New Roman"/>
            </w:rPr>
          </w:pPr>
          <w:r w:rsidRPr="0015703F">
            <w:rPr>
              <w:rFonts w:eastAsia="Times New Roman"/>
              <w:lang w:val="it-IT"/>
            </w:rPr>
            <w:t xml:space="preserve">Zamberletti, E., Piscitelli, F., De Castro, V., Murru, E., Gabaglio, M., Colucci, P., Fanali, C., Prini, P., Bisogno, T., Maccarrone, M., Campolongo, P., Banni, S., Rubino, T., &amp; Parolaro, D. (2017). </w:t>
          </w:r>
          <w:r>
            <w:rPr>
              <w:rFonts w:eastAsia="Times New Roman"/>
            </w:rPr>
            <w:t xml:space="preserve">Lifelong imbalanced LA/ALA intake impairs emotional and cognitive behavior via changes in brain endocannabinoid system. </w:t>
          </w:r>
          <w:r>
            <w:rPr>
              <w:rFonts w:eastAsia="Times New Roman"/>
              <w:i/>
              <w:iCs/>
            </w:rPr>
            <w:t>Journal of Lipid Research</w:t>
          </w:r>
          <w:r>
            <w:rPr>
              <w:rFonts w:eastAsia="Times New Roman"/>
            </w:rPr>
            <w:t xml:space="preserve">, </w:t>
          </w:r>
          <w:r>
            <w:rPr>
              <w:rFonts w:eastAsia="Times New Roman"/>
              <w:i/>
              <w:iCs/>
            </w:rPr>
            <w:t>58</w:t>
          </w:r>
          <w:r>
            <w:rPr>
              <w:rFonts w:eastAsia="Times New Roman"/>
            </w:rPr>
            <w:t>(2), 301–316. https://doi.org/10.1194/jlr.M068387</w:t>
          </w:r>
        </w:p>
        <w:p w14:paraId="593CE3A3" w14:textId="4A668C24" w:rsidR="0031391C" w:rsidRPr="00F84170" w:rsidRDefault="0015703F" w:rsidP="00E501F3">
          <w:pPr>
            <w:spacing w:before="240" w:after="240"/>
            <w:jc w:val="both"/>
            <w:rPr>
              <w:rFonts w:ascii="Times New Roman" w:eastAsia="Times New Roman" w:hAnsi="Times New Roman" w:cs="Times New Roman"/>
              <w:b/>
              <w:sz w:val="20"/>
              <w:szCs w:val="20"/>
            </w:rPr>
          </w:pPr>
          <w:r>
            <w:rPr>
              <w:rFonts w:eastAsia="Times New Roman"/>
            </w:rPr>
            <w:t> </w:t>
          </w:r>
        </w:p>
      </w:sdtContent>
    </w:sdt>
    <w:p w14:paraId="336424C0" w14:textId="13C122D9" w:rsidR="007C2487" w:rsidRPr="007C2487" w:rsidRDefault="007C2487" w:rsidP="00E501F3">
      <w:pPr>
        <w:spacing w:before="240" w:after="240"/>
        <w:jc w:val="both"/>
        <w:rPr>
          <w:rFonts w:ascii="Times New Roman" w:eastAsia="Times New Roman" w:hAnsi="Times New Roman" w:cs="Times New Roman"/>
          <w:b/>
          <w:color w:val="FF0000"/>
          <w:sz w:val="20"/>
          <w:szCs w:val="20"/>
        </w:rPr>
      </w:pPr>
    </w:p>
    <w:p w14:paraId="0D0ECEE3" w14:textId="77777777" w:rsidR="00142582" w:rsidRDefault="00142582" w:rsidP="00E501F3">
      <w:pPr>
        <w:spacing w:before="240" w:after="240"/>
        <w:jc w:val="both"/>
        <w:rPr>
          <w:rFonts w:ascii="Times New Roman" w:eastAsia="Times New Roman" w:hAnsi="Times New Roman" w:cs="Times New Roman"/>
          <w:b/>
          <w:sz w:val="20"/>
          <w:szCs w:val="20"/>
        </w:rPr>
      </w:pPr>
    </w:p>
    <w:p w14:paraId="4C7ED769" w14:textId="77777777" w:rsidR="00142582" w:rsidRDefault="00142582" w:rsidP="00E501F3">
      <w:pPr>
        <w:spacing w:before="240" w:after="240"/>
        <w:jc w:val="both"/>
        <w:rPr>
          <w:rFonts w:ascii="Times New Roman" w:eastAsia="Times New Roman" w:hAnsi="Times New Roman" w:cs="Times New Roman"/>
          <w:b/>
          <w:sz w:val="20"/>
          <w:szCs w:val="20"/>
        </w:rPr>
      </w:pPr>
    </w:p>
    <w:p w14:paraId="716EB2E5" w14:textId="77777777" w:rsidR="00F84170" w:rsidRDefault="00F84170" w:rsidP="00E501F3">
      <w:pPr>
        <w:spacing w:before="240" w:after="240"/>
        <w:jc w:val="both"/>
        <w:rPr>
          <w:rFonts w:ascii="Times New Roman" w:eastAsia="Times New Roman" w:hAnsi="Times New Roman" w:cs="Times New Roman"/>
          <w:b/>
          <w:sz w:val="20"/>
          <w:szCs w:val="20"/>
        </w:rPr>
      </w:pPr>
    </w:p>
    <w:p w14:paraId="159E065C" w14:textId="77777777" w:rsidR="00F84170" w:rsidRDefault="00F84170" w:rsidP="00E501F3">
      <w:pPr>
        <w:spacing w:before="240" w:after="240"/>
        <w:jc w:val="both"/>
        <w:rPr>
          <w:rFonts w:ascii="Times New Roman" w:eastAsia="Times New Roman" w:hAnsi="Times New Roman" w:cs="Times New Roman"/>
          <w:b/>
          <w:sz w:val="20"/>
          <w:szCs w:val="20"/>
        </w:rPr>
      </w:pPr>
    </w:p>
    <w:p w14:paraId="00B6DFB9" w14:textId="77777777" w:rsidR="00F84170" w:rsidRDefault="00F84170" w:rsidP="00E501F3">
      <w:pPr>
        <w:spacing w:before="240" w:after="240"/>
        <w:jc w:val="both"/>
        <w:rPr>
          <w:rFonts w:ascii="Times New Roman" w:eastAsia="Times New Roman" w:hAnsi="Times New Roman" w:cs="Times New Roman"/>
          <w:b/>
          <w:sz w:val="20"/>
          <w:szCs w:val="20"/>
        </w:rPr>
      </w:pPr>
    </w:p>
    <w:p w14:paraId="68CC2423" w14:textId="77777777" w:rsidR="00F84170" w:rsidRDefault="00F84170" w:rsidP="00E501F3">
      <w:pPr>
        <w:spacing w:before="240" w:after="240"/>
        <w:jc w:val="both"/>
        <w:rPr>
          <w:rFonts w:ascii="Times New Roman" w:eastAsia="Times New Roman" w:hAnsi="Times New Roman" w:cs="Times New Roman"/>
          <w:b/>
          <w:sz w:val="20"/>
          <w:szCs w:val="20"/>
        </w:rPr>
      </w:pPr>
    </w:p>
    <w:p w14:paraId="7F837BC9" w14:textId="77777777" w:rsidR="00F84170" w:rsidRDefault="00F84170" w:rsidP="00E501F3">
      <w:pPr>
        <w:spacing w:before="240" w:after="240"/>
        <w:jc w:val="both"/>
        <w:rPr>
          <w:rFonts w:ascii="Times New Roman" w:eastAsia="Times New Roman" w:hAnsi="Times New Roman" w:cs="Times New Roman"/>
          <w:b/>
          <w:sz w:val="20"/>
          <w:szCs w:val="20"/>
        </w:rPr>
      </w:pPr>
    </w:p>
    <w:p w14:paraId="57809A24" w14:textId="77777777" w:rsidR="00F84170" w:rsidRDefault="00F84170" w:rsidP="00E501F3">
      <w:pPr>
        <w:spacing w:before="240" w:after="240"/>
        <w:jc w:val="both"/>
        <w:rPr>
          <w:rFonts w:ascii="Times New Roman" w:eastAsia="Times New Roman" w:hAnsi="Times New Roman" w:cs="Times New Roman"/>
          <w:b/>
          <w:sz w:val="20"/>
          <w:szCs w:val="20"/>
        </w:rPr>
      </w:pPr>
    </w:p>
    <w:p w14:paraId="318CFA99" w14:textId="77777777" w:rsidR="00F84170" w:rsidRDefault="00F84170" w:rsidP="00E501F3">
      <w:pPr>
        <w:spacing w:before="240" w:after="240"/>
        <w:jc w:val="both"/>
        <w:rPr>
          <w:rFonts w:ascii="Times New Roman" w:eastAsia="Times New Roman" w:hAnsi="Times New Roman" w:cs="Times New Roman"/>
          <w:b/>
          <w:sz w:val="20"/>
          <w:szCs w:val="20"/>
        </w:rPr>
      </w:pPr>
    </w:p>
    <w:p w14:paraId="44C6C580" w14:textId="77777777" w:rsidR="00F84170" w:rsidRDefault="00F84170" w:rsidP="00E501F3">
      <w:pPr>
        <w:spacing w:before="240" w:after="240"/>
        <w:jc w:val="both"/>
        <w:rPr>
          <w:rFonts w:ascii="Times New Roman" w:eastAsia="Times New Roman" w:hAnsi="Times New Roman" w:cs="Times New Roman"/>
          <w:b/>
          <w:sz w:val="20"/>
          <w:szCs w:val="20"/>
        </w:rPr>
      </w:pPr>
    </w:p>
    <w:p w14:paraId="6EAB5017" w14:textId="77777777" w:rsidR="00F84170" w:rsidRDefault="00F84170" w:rsidP="00E501F3">
      <w:pPr>
        <w:spacing w:before="240" w:after="240"/>
        <w:jc w:val="both"/>
        <w:rPr>
          <w:rFonts w:ascii="Times New Roman" w:eastAsia="Times New Roman" w:hAnsi="Times New Roman" w:cs="Times New Roman"/>
          <w:b/>
          <w:sz w:val="20"/>
          <w:szCs w:val="20"/>
        </w:rPr>
      </w:pPr>
    </w:p>
    <w:p w14:paraId="6C3B207E" w14:textId="77777777" w:rsidR="00F84170" w:rsidRDefault="00F84170" w:rsidP="00E501F3">
      <w:pPr>
        <w:spacing w:before="240" w:after="240"/>
        <w:jc w:val="both"/>
        <w:rPr>
          <w:rFonts w:ascii="Times New Roman" w:eastAsia="Times New Roman" w:hAnsi="Times New Roman" w:cs="Times New Roman"/>
          <w:b/>
          <w:sz w:val="20"/>
          <w:szCs w:val="20"/>
        </w:rPr>
      </w:pPr>
    </w:p>
    <w:p w14:paraId="2EC0ED9B" w14:textId="77777777" w:rsidR="00F84170" w:rsidRDefault="00F84170" w:rsidP="00E501F3">
      <w:pPr>
        <w:spacing w:before="240" w:after="240"/>
        <w:jc w:val="both"/>
        <w:rPr>
          <w:rFonts w:ascii="Times New Roman" w:eastAsia="Times New Roman" w:hAnsi="Times New Roman" w:cs="Times New Roman"/>
          <w:b/>
          <w:sz w:val="20"/>
          <w:szCs w:val="20"/>
        </w:rPr>
      </w:pPr>
    </w:p>
    <w:p w14:paraId="46FB1A9C" w14:textId="77777777" w:rsidR="00F84170" w:rsidRDefault="00F84170" w:rsidP="00E501F3">
      <w:pPr>
        <w:spacing w:before="240" w:after="240"/>
        <w:jc w:val="both"/>
        <w:rPr>
          <w:rFonts w:ascii="Times New Roman" w:eastAsia="Times New Roman" w:hAnsi="Times New Roman" w:cs="Times New Roman"/>
          <w:b/>
          <w:sz w:val="20"/>
          <w:szCs w:val="20"/>
        </w:rPr>
      </w:pPr>
    </w:p>
    <w:p w14:paraId="6ECEF243" w14:textId="77777777" w:rsidR="00F84170" w:rsidRDefault="00F84170" w:rsidP="00E501F3">
      <w:pPr>
        <w:spacing w:before="240" w:after="240"/>
        <w:jc w:val="both"/>
        <w:rPr>
          <w:rFonts w:ascii="Times New Roman" w:eastAsia="Times New Roman" w:hAnsi="Times New Roman" w:cs="Times New Roman"/>
          <w:b/>
          <w:sz w:val="20"/>
          <w:szCs w:val="20"/>
        </w:rPr>
      </w:pPr>
    </w:p>
    <w:p w14:paraId="3C9FDF6B" w14:textId="77777777" w:rsidR="00E11299" w:rsidRDefault="00E11299" w:rsidP="00E501F3">
      <w:pPr>
        <w:spacing w:before="240" w:after="240"/>
        <w:jc w:val="both"/>
        <w:rPr>
          <w:rFonts w:ascii="Times New Roman" w:eastAsia="Times New Roman" w:hAnsi="Times New Roman" w:cs="Times New Roman"/>
          <w:b/>
          <w:sz w:val="20"/>
          <w:szCs w:val="20"/>
        </w:rPr>
      </w:pPr>
    </w:p>
    <w:p w14:paraId="74AD86B2" w14:textId="407E88AB" w:rsidR="000B4A27" w:rsidRPr="00C01F1D" w:rsidRDefault="00E501F3" w:rsidP="00E501F3">
      <w:pPr>
        <w:spacing w:before="240" w:after="240"/>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lastRenderedPageBreak/>
        <w:t xml:space="preserve">Table </w:t>
      </w:r>
      <w:r w:rsidR="0029197D" w:rsidRPr="00C01F1D">
        <w:rPr>
          <w:rFonts w:ascii="Times New Roman" w:eastAsia="Times New Roman" w:hAnsi="Times New Roman" w:cs="Times New Roman"/>
          <w:b/>
          <w:sz w:val="20"/>
          <w:szCs w:val="20"/>
        </w:rPr>
        <w:t>S</w:t>
      </w:r>
      <w:r w:rsidRPr="00C01F1D">
        <w:rPr>
          <w:rFonts w:ascii="Times New Roman" w:eastAsia="Times New Roman" w:hAnsi="Times New Roman" w:cs="Times New Roman"/>
          <w:b/>
          <w:sz w:val="20"/>
          <w:szCs w:val="20"/>
        </w:rPr>
        <w:t>1</w:t>
      </w:r>
    </w:p>
    <w:p w14:paraId="6FABF560" w14:textId="2C8B3CF0" w:rsidR="00E17BEC" w:rsidRPr="00C01F1D" w:rsidRDefault="00E501F3" w:rsidP="00E501F3">
      <w:pPr>
        <w:spacing w:before="240" w:after="240"/>
        <w:jc w:val="both"/>
        <w:rPr>
          <w:rFonts w:ascii="Times New Roman" w:eastAsia="Times New Roman" w:hAnsi="Times New Roman" w:cs="Times New Roman"/>
          <w:sz w:val="20"/>
          <w:szCs w:val="20"/>
        </w:rPr>
      </w:pPr>
      <w:r w:rsidRPr="00C01F1D">
        <w:rPr>
          <w:rFonts w:ascii="Times New Roman" w:eastAsia="Times New Roman" w:hAnsi="Times New Roman" w:cs="Times New Roman"/>
          <w:b/>
          <w:sz w:val="20"/>
          <w:szCs w:val="20"/>
        </w:rPr>
        <w:t>Demographic data of neurological disease controls (NALS</w:t>
      </w:r>
      <w:r w:rsidR="000B4A27" w:rsidRPr="00C01F1D">
        <w:rPr>
          <w:rFonts w:ascii="Times New Roman" w:eastAsia="Times New Roman" w:hAnsi="Times New Roman" w:cs="Times New Roman"/>
          <w:b/>
          <w:sz w:val="20"/>
          <w:szCs w:val="20"/>
        </w:rPr>
        <w:t>) group</w:t>
      </w:r>
    </w:p>
    <w:tbl>
      <w:tblPr>
        <w:tblStyle w:val="a"/>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656"/>
        <w:gridCol w:w="1395"/>
        <w:gridCol w:w="1323"/>
      </w:tblGrid>
      <w:tr w:rsidR="00E17BEC" w:rsidRPr="00C01F1D" w14:paraId="410AB4C9" w14:textId="77777777" w:rsidTr="00C01F1D">
        <w:trPr>
          <w:trHeight w:val="290"/>
        </w:trPr>
        <w:tc>
          <w:tcPr>
            <w:tcW w:w="5098" w:type="dxa"/>
            <w:vAlign w:val="center"/>
          </w:tcPr>
          <w:p w14:paraId="32F159E3" w14:textId="77777777" w:rsidR="00E17BEC" w:rsidRPr="00C01F1D" w:rsidRDefault="00000000" w:rsidP="00C01F1D">
            <w:pPr>
              <w:rPr>
                <w:rFonts w:ascii="Times New Roman" w:eastAsia="Times New Roman" w:hAnsi="Times New Roman" w:cs="Times New Roman"/>
                <w:b/>
                <w:color w:val="000000"/>
                <w:sz w:val="20"/>
                <w:szCs w:val="20"/>
              </w:rPr>
            </w:pPr>
            <w:r w:rsidRPr="00C01F1D">
              <w:rPr>
                <w:rFonts w:ascii="Times New Roman" w:eastAsia="Times New Roman" w:hAnsi="Times New Roman" w:cs="Times New Roman"/>
                <w:b/>
                <w:color w:val="000000"/>
                <w:sz w:val="20"/>
                <w:szCs w:val="20"/>
              </w:rPr>
              <w:t>Diagnosis</w:t>
            </w:r>
          </w:p>
        </w:tc>
        <w:tc>
          <w:tcPr>
            <w:tcW w:w="656" w:type="dxa"/>
            <w:vAlign w:val="center"/>
          </w:tcPr>
          <w:p w14:paraId="70123699" w14:textId="77777777" w:rsidR="00E17BEC" w:rsidRPr="00C01F1D" w:rsidRDefault="00000000" w:rsidP="00C01F1D">
            <w:pPr>
              <w:jc w:val="center"/>
              <w:rPr>
                <w:rFonts w:ascii="Times New Roman" w:eastAsia="Times New Roman" w:hAnsi="Times New Roman" w:cs="Times New Roman"/>
                <w:b/>
                <w:color w:val="000000"/>
                <w:sz w:val="20"/>
                <w:szCs w:val="20"/>
              </w:rPr>
            </w:pPr>
            <w:r w:rsidRPr="00C01F1D">
              <w:rPr>
                <w:rFonts w:ascii="Times New Roman" w:eastAsia="Times New Roman" w:hAnsi="Times New Roman" w:cs="Times New Roman"/>
                <w:b/>
                <w:color w:val="000000"/>
                <w:sz w:val="20"/>
                <w:szCs w:val="20"/>
              </w:rPr>
              <w:t>Sex</w:t>
            </w:r>
          </w:p>
        </w:tc>
        <w:tc>
          <w:tcPr>
            <w:tcW w:w="1395" w:type="dxa"/>
            <w:vAlign w:val="center"/>
          </w:tcPr>
          <w:p w14:paraId="05C58352" w14:textId="77777777" w:rsidR="00E17BEC" w:rsidRPr="00C01F1D" w:rsidRDefault="00000000" w:rsidP="00C01F1D">
            <w:pPr>
              <w:jc w:val="center"/>
              <w:rPr>
                <w:rFonts w:ascii="Times New Roman" w:eastAsia="Times New Roman" w:hAnsi="Times New Roman" w:cs="Times New Roman"/>
                <w:b/>
                <w:color w:val="000000"/>
                <w:sz w:val="20"/>
                <w:szCs w:val="20"/>
              </w:rPr>
            </w:pPr>
            <w:r w:rsidRPr="00C01F1D">
              <w:rPr>
                <w:rFonts w:ascii="Times New Roman" w:eastAsia="Times New Roman" w:hAnsi="Times New Roman" w:cs="Times New Roman"/>
                <w:b/>
                <w:color w:val="000000"/>
                <w:sz w:val="20"/>
                <w:szCs w:val="20"/>
              </w:rPr>
              <w:t>Age (years)</w:t>
            </w:r>
          </w:p>
        </w:tc>
        <w:tc>
          <w:tcPr>
            <w:tcW w:w="1323" w:type="dxa"/>
            <w:vAlign w:val="center"/>
          </w:tcPr>
          <w:p w14:paraId="054B9E75" w14:textId="77777777" w:rsidR="00E17BEC" w:rsidRPr="00C01F1D" w:rsidRDefault="00000000" w:rsidP="00C01F1D">
            <w:pPr>
              <w:jc w:val="center"/>
              <w:rPr>
                <w:rFonts w:ascii="Times New Roman" w:eastAsia="Times New Roman" w:hAnsi="Times New Roman" w:cs="Times New Roman"/>
                <w:b/>
                <w:color w:val="000000"/>
                <w:sz w:val="20"/>
                <w:szCs w:val="20"/>
              </w:rPr>
            </w:pPr>
            <w:r w:rsidRPr="00C01F1D">
              <w:rPr>
                <w:rFonts w:ascii="Times New Roman" w:eastAsia="Times New Roman" w:hAnsi="Times New Roman" w:cs="Times New Roman"/>
                <w:b/>
                <w:color w:val="000000"/>
                <w:sz w:val="20"/>
                <w:szCs w:val="20"/>
              </w:rPr>
              <w:t>disease duration (months)</w:t>
            </w:r>
          </w:p>
        </w:tc>
      </w:tr>
      <w:tr w:rsidR="00E17BEC" w:rsidRPr="00C01F1D" w14:paraId="3305D80B" w14:textId="77777777" w:rsidTr="00C01F1D">
        <w:trPr>
          <w:trHeight w:val="290"/>
        </w:trPr>
        <w:tc>
          <w:tcPr>
            <w:tcW w:w="5098" w:type="dxa"/>
          </w:tcPr>
          <w:p w14:paraId="52C66B65"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 xml:space="preserve">Hereditary motor neuropathy </w:t>
            </w:r>
          </w:p>
        </w:tc>
        <w:tc>
          <w:tcPr>
            <w:tcW w:w="656" w:type="dxa"/>
            <w:vAlign w:val="center"/>
          </w:tcPr>
          <w:p w14:paraId="2112DC82"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6BA22065"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50</w:t>
            </w:r>
          </w:p>
        </w:tc>
        <w:tc>
          <w:tcPr>
            <w:tcW w:w="1323" w:type="dxa"/>
            <w:vAlign w:val="center"/>
          </w:tcPr>
          <w:p w14:paraId="45C1B33C"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132</w:t>
            </w:r>
          </w:p>
        </w:tc>
      </w:tr>
      <w:tr w:rsidR="00E17BEC" w:rsidRPr="00C01F1D" w14:paraId="3F603E96" w14:textId="77777777" w:rsidTr="00C01F1D">
        <w:trPr>
          <w:trHeight w:val="290"/>
        </w:trPr>
        <w:tc>
          <w:tcPr>
            <w:tcW w:w="5098" w:type="dxa"/>
          </w:tcPr>
          <w:p w14:paraId="023DF045"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Lower limb weakness without evidence of MND</w:t>
            </w:r>
          </w:p>
        </w:tc>
        <w:tc>
          <w:tcPr>
            <w:tcW w:w="656" w:type="dxa"/>
            <w:vAlign w:val="center"/>
          </w:tcPr>
          <w:p w14:paraId="1D374B7A"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6D575AF1"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53</w:t>
            </w:r>
          </w:p>
        </w:tc>
        <w:tc>
          <w:tcPr>
            <w:tcW w:w="1323" w:type="dxa"/>
            <w:vAlign w:val="center"/>
          </w:tcPr>
          <w:p w14:paraId="4B48B54E"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60</w:t>
            </w:r>
          </w:p>
        </w:tc>
      </w:tr>
      <w:tr w:rsidR="00E17BEC" w:rsidRPr="00C01F1D" w14:paraId="4330B162" w14:textId="77777777" w:rsidTr="00C01F1D">
        <w:trPr>
          <w:trHeight w:val="290"/>
        </w:trPr>
        <w:tc>
          <w:tcPr>
            <w:tcW w:w="5098" w:type="dxa"/>
          </w:tcPr>
          <w:p w14:paraId="6A4DE4BE"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 xml:space="preserve">Parkinson's Disease </w:t>
            </w:r>
          </w:p>
        </w:tc>
        <w:tc>
          <w:tcPr>
            <w:tcW w:w="656" w:type="dxa"/>
            <w:vAlign w:val="center"/>
          </w:tcPr>
          <w:p w14:paraId="494D4E93"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35CC396A"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64</w:t>
            </w:r>
          </w:p>
        </w:tc>
        <w:tc>
          <w:tcPr>
            <w:tcW w:w="1323" w:type="dxa"/>
            <w:vAlign w:val="center"/>
          </w:tcPr>
          <w:p w14:paraId="76C37371"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180</w:t>
            </w:r>
          </w:p>
        </w:tc>
      </w:tr>
      <w:tr w:rsidR="00E17BEC" w:rsidRPr="00C01F1D" w14:paraId="63C51CFF" w14:textId="77777777" w:rsidTr="00C01F1D">
        <w:trPr>
          <w:trHeight w:val="290"/>
        </w:trPr>
        <w:tc>
          <w:tcPr>
            <w:tcW w:w="5098" w:type="dxa"/>
          </w:tcPr>
          <w:p w14:paraId="3E11D5D7"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Vascular Dementia</w:t>
            </w:r>
          </w:p>
        </w:tc>
        <w:tc>
          <w:tcPr>
            <w:tcW w:w="656" w:type="dxa"/>
            <w:vAlign w:val="center"/>
          </w:tcPr>
          <w:p w14:paraId="4D457FC2"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7E430978"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79</w:t>
            </w:r>
          </w:p>
        </w:tc>
        <w:tc>
          <w:tcPr>
            <w:tcW w:w="1323" w:type="dxa"/>
            <w:vAlign w:val="center"/>
          </w:tcPr>
          <w:p w14:paraId="6CCF322F"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36</w:t>
            </w:r>
          </w:p>
        </w:tc>
      </w:tr>
      <w:tr w:rsidR="00E17BEC" w:rsidRPr="00C01F1D" w14:paraId="3084956B" w14:textId="77777777" w:rsidTr="00C01F1D">
        <w:trPr>
          <w:trHeight w:val="290"/>
        </w:trPr>
        <w:tc>
          <w:tcPr>
            <w:tcW w:w="5098" w:type="dxa"/>
          </w:tcPr>
          <w:p w14:paraId="1BF66072"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Conus Myelitis</w:t>
            </w:r>
          </w:p>
        </w:tc>
        <w:tc>
          <w:tcPr>
            <w:tcW w:w="656" w:type="dxa"/>
            <w:vAlign w:val="center"/>
          </w:tcPr>
          <w:p w14:paraId="55DEA7EA"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59DCA62E"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55</w:t>
            </w:r>
          </w:p>
        </w:tc>
        <w:tc>
          <w:tcPr>
            <w:tcW w:w="1323" w:type="dxa"/>
            <w:vAlign w:val="center"/>
          </w:tcPr>
          <w:p w14:paraId="00E01B51"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25</w:t>
            </w:r>
          </w:p>
        </w:tc>
      </w:tr>
      <w:tr w:rsidR="00E17BEC" w:rsidRPr="00C01F1D" w14:paraId="5584FC83" w14:textId="77777777" w:rsidTr="00C01F1D">
        <w:trPr>
          <w:trHeight w:val="290"/>
        </w:trPr>
        <w:tc>
          <w:tcPr>
            <w:tcW w:w="5098" w:type="dxa"/>
          </w:tcPr>
          <w:p w14:paraId="6964FD0A"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 xml:space="preserve">Mitochondrial myopathy </w:t>
            </w:r>
          </w:p>
        </w:tc>
        <w:tc>
          <w:tcPr>
            <w:tcW w:w="656" w:type="dxa"/>
            <w:vAlign w:val="center"/>
          </w:tcPr>
          <w:p w14:paraId="624C65CC"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27EA40B1"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53</w:t>
            </w:r>
          </w:p>
        </w:tc>
        <w:tc>
          <w:tcPr>
            <w:tcW w:w="1323" w:type="dxa"/>
            <w:vAlign w:val="center"/>
          </w:tcPr>
          <w:p w14:paraId="60C08A42"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3</w:t>
            </w:r>
          </w:p>
        </w:tc>
      </w:tr>
      <w:tr w:rsidR="00E17BEC" w:rsidRPr="00C01F1D" w14:paraId="1FC8BEA9" w14:textId="77777777" w:rsidTr="00C01F1D">
        <w:trPr>
          <w:trHeight w:val="290"/>
        </w:trPr>
        <w:tc>
          <w:tcPr>
            <w:tcW w:w="5098" w:type="dxa"/>
          </w:tcPr>
          <w:p w14:paraId="69D81510"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Inclusion body myopathy (IBM) and fronto-temporal dementia (FTD)</w:t>
            </w:r>
          </w:p>
        </w:tc>
        <w:tc>
          <w:tcPr>
            <w:tcW w:w="656" w:type="dxa"/>
            <w:vAlign w:val="center"/>
          </w:tcPr>
          <w:p w14:paraId="21AD0119"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050FE058"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76</w:t>
            </w:r>
          </w:p>
        </w:tc>
        <w:tc>
          <w:tcPr>
            <w:tcW w:w="1323" w:type="dxa"/>
            <w:vAlign w:val="center"/>
          </w:tcPr>
          <w:p w14:paraId="4D1E55A7"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13</w:t>
            </w:r>
          </w:p>
        </w:tc>
      </w:tr>
      <w:tr w:rsidR="00E17BEC" w:rsidRPr="00C01F1D" w14:paraId="6FC70DCD" w14:textId="77777777" w:rsidTr="00C01F1D">
        <w:trPr>
          <w:trHeight w:val="290"/>
        </w:trPr>
        <w:tc>
          <w:tcPr>
            <w:tcW w:w="5098" w:type="dxa"/>
          </w:tcPr>
          <w:p w14:paraId="73472ECF"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Myalgia-cramp-fasciculation syndrome</w:t>
            </w:r>
          </w:p>
        </w:tc>
        <w:tc>
          <w:tcPr>
            <w:tcW w:w="656" w:type="dxa"/>
            <w:vAlign w:val="center"/>
          </w:tcPr>
          <w:p w14:paraId="0CDBBE1A"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6518AB82"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88</w:t>
            </w:r>
          </w:p>
        </w:tc>
        <w:tc>
          <w:tcPr>
            <w:tcW w:w="1323" w:type="dxa"/>
            <w:vAlign w:val="center"/>
          </w:tcPr>
          <w:p w14:paraId="7E787FAD"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w:t>
            </w:r>
          </w:p>
        </w:tc>
      </w:tr>
      <w:tr w:rsidR="00E17BEC" w:rsidRPr="00C01F1D" w14:paraId="4C36AD7E" w14:textId="77777777" w:rsidTr="00C01F1D">
        <w:trPr>
          <w:trHeight w:val="290"/>
        </w:trPr>
        <w:tc>
          <w:tcPr>
            <w:tcW w:w="5098" w:type="dxa"/>
          </w:tcPr>
          <w:p w14:paraId="42695859"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Cerebrovascular disease with pseudobulbar syndrome without evidence of MND</w:t>
            </w:r>
          </w:p>
        </w:tc>
        <w:tc>
          <w:tcPr>
            <w:tcW w:w="656" w:type="dxa"/>
            <w:vAlign w:val="center"/>
          </w:tcPr>
          <w:p w14:paraId="5E6F374E"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F</w:t>
            </w:r>
          </w:p>
        </w:tc>
        <w:tc>
          <w:tcPr>
            <w:tcW w:w="1395" w:type="dxa"/>
            <w:vAlign w:val="center"/>
          </w:tcPr>
          <w:p w14:paraId="6BA99788"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44</w:t>
            </w:r>
          </w:p>
        </w:tc>
        <w:tc>
          <w:tcPr>
            <w:tcW w:w="1323" w:type="dxa"/>
            <w:vAlign w:val="center"/>
          </w:tcPr>
          <w:p w14:paraId="64272155"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w:t>
            </w:r>
          </w:p>
        </w:tc>
      </w:tr>
      <w:tr w:rsidR="00E17BEC" w:rsidRPr="00C01F1D" w14:paraId="68D7BE29" w14:textId="77777777" w:rsidTr="00C01F1D">
        <w:trPr>
          <w:trHeight w:val="290"/>
        </w:trPr>
        <w:tc>
          <w:tcPr>
            <w:tcW w:w="5098" w:type="dxa"/>
          </w:tcPr>
          <w:p w14:paraId="68AA9F06"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Primary Lateral Sclerosis</w:t>
            </w:r>
          </w:p>
        </w:tc>
        <w:tc>
          <w:tcPr>
            <w:tcW w:w="656" w:type="dxa"/>
            <w:vAlign w:val="center"/>
          </w:tcPr>
          <w:p w14:paraId="74A3AABA"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F</w:t>
            </w:r>
          </w:p>
        </w:tc>
        <w:tc>
          <w:tcPr>
            <w:tcW w:w="1395" w:type="dxa"/>
            <w:vAlign w:val="center"/>
          </w:tcPr>
          <w:p w14:paraId="45D9A3F2"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71</w:t>
            </w:r>
          </w:p>
        </w:tc>
        <w:tc>
          <w:tcPr>
            <w:tcW w:w="1323" w:type="dxa"/>
            <w:vAlign w:val="center"/>
          </w:tcPr>
          <w:p w14:paraId="497356DA"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60</w:t>
            </w:r>
          </w:p>
        </w:tc>
      </w:tr>
      <w:tr w:rsidR="00E17BEC" w:rsidRPr="00C01F1D" w14:paraId="577D236B" w14:textId="77777777" w:rsidTr="00C01F1D">
        <w:trPr>
          <w:trHeight w:val="290"/>
        </w:trPr>
        <w:tc>
          <w:tcPr>
            <w:tcW w:w="5098" w:type="dxa"/>
          </w:tcPr>
          <w:p w14:paraId="37A72A59"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Progressive external ophthalmoplegia (PEO)</w:t>
            </w:r>
          </w:p>
        </w:tc>
        <w:tc>
          <w:tcPr>
            <w:tcW w:w="656" w:type="dxa"/>
            <w:vAlign w:val="center"/>
          </w:tcPr>
          <w:p w14:paraId="2310710D"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F</w:t>
            </w:r>
          </w:p>
        </w:tc>
        <w:tc>
          <w:tcPr>
            <w:tcW w:w="1395" w:type="dxa"/>
            <w:vAlign w:val="center"/>
          </w:tcPr>
          <w:p w14:paraId="48CDB599"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68</w:t>
            </w:r>
          </w:p>
        </w:tc>
        <w:tc>
          <w:tcPr>
            <w:tcW w:w="1323" w:type="dxa"/>
            <w:vAlign w:val="center"/>
          </w:tcPr>
          <w:p w14:paraId="16BC7910"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11</w:t>
            </w:r>
          </w:p>
        </w:tc>
      </w:tr>
      <w:tr w:rsidR="00E17BEC" w:rsidRPr="00C01F1D" w14:paraId="61DB84E3" w14:textId="77777777" w:rsidTr="00C01F1D">
        <w:trPr>
          <w:trHeight w:val="290"/>
        </w:trPr>
        <w:tc>
          <w:tcPr>
            <w:tcW w:w="5098" w:type="dxa"/>
          </w:tcPr>
          <w:p w14:paraId="76C49A15"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Anterior spinal artery syndrome</w:t>
            </w:r>
          </w:p>
        </w:tc>
        <w:tc>
          <w:tcPr>
            <w:tcW w:w="656" w:type="dxa"/>
            <w:vAlign w:val="center"/>
          </w:tcPr>
          <w:p w14:paraId="6F580C24"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F</w:t>
            </w:r>
          </w:p>
        </w:tc>
        <w:tc>
          <w:tcPr>
            <w:tcW w:w="1395" w:type="dxa"/>
            <w:vAlign w:val="center"/>
          </w:tcPr>
          <w:p w14:paraId="1FD6AC4E"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75</w:t>
            </w:r>
          </w:p>
        </w:tc>
        <w:tc>
          <w:tcPr>
            <w:tcW w:w="1323" w:type="dxa"/>
            <w:vAlign w:val="center"/>
          </w:tcPr>
          <w:p w14:paraId="099CDD1E"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w:t>
            </w:r>
          </w:p>
        </w:tc>
      </w:tr>
      <w:tr w:rsidR="00E17BEC" w:rsidRPr="00C01F1D" w14:paraId="4A22DDFF" w14:textId="77777777" w:rsidTr="00C01F1D">
        <w:trPr>
          <w:trHeight w:val="290"/>
        </w:trPr>
        <w:tc>
          <w:tcPr>
            <w:tcW w:w="5098" w:type="dxa"/>
          </w:tcPr>
          <w:p w14:paraId="3D85F31F"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Ischemic stroke with dysarthria and pseudobulbar syndrome without evidence of MND</w:t>
            </w:r>
          </w:p>
        </w:tc>
        <w:tc>
          <w:tcPr>
            <w:tcW w:w="656" w:type="dxa"/>
            <w:vAlign w:val="center"/>
          </w:tcPr>
          <w:p w14:paraId="56CCD35D"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F</w:t>
            </w:r>
          </w:p>
        </w:tc>
        <w:tc>
          <w:tcPr>
            <w:tcW w:w="1395" w:type="dxa"/>
            <w:vAlign w:val="center"/>
          </w:tcPr>
          <w:p w14:paraId="0AD56E3B"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66</w:t>
            </w:r>
          </w:p>
        </w:tc>
        <w:tc>
          <w:tcPr>
            <w:tcW w:w="1323" w:type="dxa"/>
            <w:vAlign w:val="center"/>
          </w:tcPr>
          <w:p w14:paraId="38F27FF0"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w:t>
            </w:r>
          </w:p>
        </w:tc>
      </w:tr>
      <w:tr w:rsidR="00E17BEC" w:rsidRPr="00C01F1D" w14:paraId="293E2CFE" w14:textId="77777777" w:rsidTr="00C01F1D">
        <w:trPr>
          <w:trHeight w:val="290"/>
        </w:trPr>
        <w:tc>
          <w:tcPr>
            <w:tcW w:w="5098" w:type="dxa"/>
          </w:tcPr>
          <w:p w14:paraId="36AB683D"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Spinocerebellar ataxia (SCA)</w:t>
            </w:r>
          </w:p>
        </w:tc>
        <w:tc>
          <w:tcPr>
            <w:tcW w:w="656" w:type="dxa"/>
            <w:vAlign w:val="center"/>
          </w:tcPr>
          <w:p w14:paraId="68CAB583"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F</w:t>
            </w:r>
          </w:p>
        </w:tc>
        <w:tc>
          <w:tcPr>
            <w:tcW w:w="1395" w:type="dxa"/>
            <w:vAlign w:val="center"/>
          </w:tcPr>
          <w:p w14:paraId="43A25C20"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69</w:t>
            </w:r>
          </w:p>
        </w:tc>
        <w:tc>
          <w:tcPr>
            <w:tcW w:w="1323" w:type="dxa"/>
            <w:vAlign w:val="center"/>
          </w:tcPr>
          <w:p w14:paraId="46B502EE"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72</w:t>
            </w:r>
          </w:p>
        </w:tc>
      </w:tr>
      <w:tr w:rsidR="00E17BEC" w:rsidRPr="00C01F1D" w14:paraId="52CBCEE7" w14:textId="77777777" w:rsidTr="00C01F1D">
        <w:trPr>
          <w:trHeight w:val="290"/>
        </w:trPr>
        <w:tc>
          <w:tcPr>
            <w:tcW w:w="5098" w:type="dxa"/>
          </w:tcPr>
          <w:p w14:paraId="5150DF85"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Poliomyelitis</w:t>
            </w:r>
          </w:p>
        </w:tc>
        <w:tc>
          <w:tcPr>
            <w:tcW w:w="656" w:type="dxa"/>
            <w:vAlign w:val="center"/>
          </w:tcPr>
          <w:p w14:paraId="269BC397"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40AB3C44"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73</w:t>
            </w:r>
          </w:p>
        </w:tc>
        <w:tc>
          <w:tcPr>
            <w:tcW w:w="1323" w:type="dxa"/>
            <w:vAlign w:val="center"/>
          </w:tcPr>
          <w:p w14:paraId="0433D054"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840</w:t>
            </w:r>
          </w:p>
        </w:tc>
      </w:tr>
      <w:tr w:rsidR="00E17BEC" w:rsidRPr="00C01F1D" w14:paraId="73F708E3" w14:textId="77777777" w:rsidTr="00C01F1D">
        <w:trPr>
          <w:trHeight w:val="290"/>
        </w:trPr>
        <w:tc>
          <w:tcPr>
            <w:tcW w:w="5098" w:type="dxa"/>
          </w:tcPr>
          <w:p w14:paraId="6FCD4A15" w14:textId="77777777" w:rsidR="00E17BEC" w:rsidRPr="00C01F1D" w:rsidRDefault="00000000" w:rsidP="00C01F1D">
            <w:pP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Pseudobulbar and cerebellar syndrome without evidence of MND</w:t>
            </w:r>
          </w:p>
        </w:tc>
        <w:tc>
          <w:tcPr>
            <w:tcW w:w="656" w:type="dxa"/>
            <w:vAlign w:val="center"/>
          </w:tcPr>
          <w:p w14:paraId="31A0037D"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M</w:t>
            </w:r>
          </w:p>
        </w:tc>
        <w:tc>
          <w:tcPr>
            <w:tcW w:w="1395" w:type="dxa"/>
            <w:vAlign w:val="center"/>
          </w:tcPr>
          <w:p w14:paraId="62B28FA0"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70</w:t>
            </w:r>
          </w:p>
        </w:tc>
        <w:tc>
          <w:tcPr>
            <w:tcW w:w="1323" w:type="dxa"/>
            <w:vAlign w:val="center"/>
          </w:tcPr>
          <w:p w14:paraId="773CD652" w14:textId="77777777" w:rsidR="00E17BEC" w:rsidRPr="00C01F1D" w:rsidRDefault="00000000" w:rsidP="00C01F1D">
            <w:pPr>
              <w:jc w:val="center"/>
              <w:rPr>
                <w:rFonts w:ascii="Times New Roman" w:eastAsia="Times New Roman" w:hAnsi="Times New Roman" w:cs="Times New Roman"/>
                <w:color w:val="000000"/>
                <w:sz w:val="20"/>
                <w:szCs w:val="20"/>
              </w:rPr>
            </w:pPr>
            <w:r w:rsidRPr="00C01F1D">
              <w:rPr>
                <w:rFonts w:ascii="Times New Roman" w:eastAsia="Times New Roman" w:hAnsi="Times New Roman" w:cs="Times New Roman"/>
                <w:color w:val="000000"/>
                <w:sz w:val="20"/>
                <w:szCs w:val="20"/>
              </w:rPr>
              <w:t>1</w:t>
            </w:r>
          </w:p>
        </w:tc>
      </w:tr>
    </w:tbl>
    <w:p w14:paraId="5B822FF0" w14:textId="77777777" w:rsidR="00E17BEC" w:rsidRPr="00C01F1D" w:rsidRDefault="00E17BEC">
      <w:pPr>
        <w:rPr>
          <w:rFonts w:ascii="Times New Roman" w:eastAsia="Times New Roman" w:hAnsi="Times New Roman" w:cs="Times New Roman"/>
          <w:b/>
          <w:sz w:val="20"/>
          <w:szCs w:val="20"/>
        </w:rPr>
      </w:pPr>
    </w:p>
    <w:p w14:paraId="2C75DFC2" w14:textId="77777777" w:rsidR="00E17BEC" w:rsidRPr="00C01F1D" w:rsidRDefault="00E17BEC">
      <w:pPr>
        <w:rPr>
          <w:rFonts w:ascii="Times New Roman" w:eastAsia="Times New Roman" w:hAnsi="Times New Roman" w:cs="Times New Roman"/>
          <w:b/>
          <w:sz w:val="20"/>
          <w:szCs w:val="20"/>
        </w:rPr>
      </w:pPr>
    </w:p>
    <w:p w14:paraId="4115D996" w14:textId="77777777" w:rsidR="00E17BEC" w:rsidRPr="00C01F1D" w:rsidRDefault="00E17BEC">
      <w:pPr>
        <w:rPr>
          <w:rFonts w:ascii="Times New Roman" w:eastAsia="Times New Roman" w:hAnsi="Times New Roman" w:cs="Times New Roman"/>
          <w:b/>
          <w:sz w:val="20"/>
          <w:szCs w:val="20"/>
        </w:rPr>
      </w:pPr>
    </w:p>
    <w:p w14:paraId="682C92E9" w14:textId="77777777" w:rsidR="00C01F1D" w:rsidRDefault="00C01F1D">
      <w:pPr>
        <w:spacing w:before="240" w:after="240"/>
        <w:jc w:val="both"/>
        <w:rPr>
          <w:rFonts w:ascii="Times New Roman" w:eastAsia="Times New Roman" w:hAnsi="Times New Roman" w:cs="Times New Roman"/>
          <w:b/>
          <w:sz w:val="20"/>
          <w:szCs w:val="20"/>
        </w:rPr>
      </w:pPr>
    </w:p>
    <w:p w14:paraId="247A9128" w14:textId="77777777" w:rsidR="00142582" w:rsidRDefault="00142582">
      <w:pPr>
        <w:spacing w:before="240" w:after="240"/>
        <w:jc w:val="both"/>
        <w:rPr>
          <w:rFonts w:ascii="Times New Roman" w:eastAsia="Times New Roman" w:hAnsi="Times New Roman" w:cs="Times New Roman"/>
          <w:b/>
          <w:sz w:val="20"/>
          <w:szCs w:val="20"/>
        </w:rPr>
      </w:pPr>
    </w:p>
    <w:p w14:paraId="0D18A184" w14:textId="77777777" w:rsidR="00142582" w:rsidRDefault="00142582">
      <w:pPr>
        <w:spacing w:before="240" w:after="240"/>
        <w:jc w:val="both"/>
        <w:rPr>
          <w:rFonts w:ascii="Times New Roman" w:eastAsia="Times New Roman" w:hAnsi="Times New Roman" w:cs="Times New Roman"/>
          <w:b/>
          <w:sz w:val="20"/>
          <w:szCs w:val="20"/>
        </w:rPr>
      </w:pPr>
    </w:p>
    <w:p w14:paraId="5DEC6ACE" w14:textId="77777777" w:rsidR="00142582" w:rsidRDefault="00142582">
      <w:pPr>
        <w:spacing w:before="240" w:after="240"/>
        <w:jc w:val="both"/>
        <w:rPr>
          <w:rFonts w:ascii="Times New Roman" w:eastAsia="Times New Roman" w:hAnsi="Times New Roman" w:cs="Times New Roman"/>
          <w:b/>
          <w:sz w:val="20"/>
          <w:szCs w:val="20"/>
        </w:rPr>
      </w:pPr>
    </w:p>
    <w:p w14:paraId="57DD7DA3" w14:textId="77777777" w:rsidR="00142582" w:rsidRDefault="00142582">
      <w:pPr>
        <w:spacing w:before="240" w:after="240"/>
        <w:jc w:val="both"/>
        <w:rPr>
          <w:rFonts w:ascii="Times New Roman" w:eastAsia="Times New Roman" w:hAnsi="Times New Roman" w:cs="Times New Roman"/>
          <w:b/>
          <w:sz w:val="20"/>
          <w:szCs w:val="20"/>
        </w:rPr>
      </w:pPr>
    </w:p>
    <w:p w14:paraId="405868EB" w14:textId="77777777" w:rsidR="00E11299" w:rsidRDefault="00E11299">
      <w:pPr>
        <w:spacing w:before="240" w:after="240"/>
        <w:jc w:val="both"/>
        <w:rPr>
          <w:rFonts w:ascii="Times New Roman" w:eastAsia="Times New Roman" w:hAnsi="Times New Roman" w:cs="Times New Roman"/>
          <w:b/>
          <w:sz w:val="20"/>
          <w:szCs w:val="20"/>
        </w:rPr>
      </w:pPr>
    </w:p>
    <w:p w14:paraId="00CF97F5" w14:textId="77777777" w:rsidR="00E11299" w:rsidRDefault="00E11299">
      <w:pPr>
        <w:spacing w:before="240" w:after="240"/>
        <w:jc w:val="both"/>
        <w:rPr>
          <w:rFonts w:ascii="Times New Roman" w:eastAsia="Times New Roman" w:hAnsi="Times New Roman" w:cs="Times New Roman"/>
          <w:b/>
          <w:sz w:val="20"/>
          <w:szCs w:val="20"/>
        </w:rPr>
      </w:pPr>
    </w:p>
    <w:p w14:paraId="5EB20397" w14:textId="77777777" w:rsidR="00E11299" w:rsidRDefault="00E11299">
      <w:pPr>
        <w:spacing w:before="240" w:after="240"/>
        <w:jc w:val="both"/>
        <w:rPr>
          <w:rFonts w:ascii="Times New Roman" w:eastAsia="Times New Roman" w:hAnsi="Times New Roman" w:cs="Times New Roman"/>
          <w:b/>
          <w:sz w:val="20"/>
          <w:szCs w:val="20"/>
        </w:rPr>
      </w:pPr>
    </w:p>
    <w:p w14:paraId="40A04EA0" w14:textId="77777777" w:rsidR="00E11299" w:rsidRDefault="00E11299">
      <w:pPr>
        <w:spacing w:before="240" w:after="240"/>
        <w:jc w:val="both"/>
        <w:rPr>
          <w:rFonts w:ascii="Times New Roman" w:eastAsia="Times New Roman" w:hAnsi="Times New Roman" w:cs="Times New Roman"/>
          <w:b/>
          <w:sz w:val="20"/>
          <w:szCs w:val="20"/>
        </w:rPr>
      </w:pPr>
    </w:p>
    <w:p w14:paraId="3926B117" w14:textId="77777777" w:rsidR="00E11299" w:rsidRDefault="00E11299">
      <w:pPr>
        <w:spacing w:before="240" w:after="240"/>
        <w:jc w:val="both"/>
        <w:rPr>
          <w:rFonts w:ascii="Times New Roman" w:eastAsia="Times New Roman" w:hAnsi="Times New Roman" w:cs="Times New Roman"/>
          <w:b/>
          <w:sz w:val="20"/>
          <w:szCs w:val="20"/>
        </w:rPr>
      </w:pPr>
    </w:p>
    <w:p w14:paraId="309EBE3C" w14:textId="77777777" w:rsidR="00F84170" w:rsidRDefault="00F84170">
      <w:pPr>
        <w:spacing w:before="240" w:after="240"/>
        <w:jc w:val="both"/>
        <w:rPr>
          <w:rFonts w:ascii="Times New Roman" w:eastAsia="Times New Roman" w:hAnsi="Times New Roman" w:cs="Times New Roman"/>
          <w:b/>
          <w:sz w:val="20"/>
          <w:szCs w:val="20"/>
        </w:rPr>
      </w:pPr>
    </w:p>
    <w:p w14:paraId="19925AC0" w14:textId="172E5982" w:rsidR="00E501F3" w:rsidRPr="00C01F1D" w:rsidRDefault="00000000">
      <w:pPr>
        <w:spacing w:before="240" w:after="240"/>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lastRenderedPageBreak/>
        <w:t xml:space="preserve">Table </w:t>
      </w:r>
      <w:r w:rsidR="0029197D" w:rsidRPr="00C01F1D">
        <w:rPr>
          <w:rFonts w:ascii="Times New Roman" w:eastAsia="Times New Roman" w:hAnsi="Times New Roman" w:cs="Times New Roman"/>
          <w:b/>
          <w:sz w:val="20"/>
          <w:szCs w:val="20"/>
        </w:rPr>
        <w:t>S</w:t>
      </w:r>
      <w:r w:rsidRPr="00C01F1D">
        <w:rPr>
          <w:rFonts w:ascii="Times New Roman" w:eastAsia="Times New Roman" w:hAnsi="Times New Roman" w:cs="Times New Roman"/>
          <w:b/>
          <w:sz w:val="20"/>
          <w:szCs w:val="20"/>
        </w:rPr>
        <w:t xml:space="preserve">2. </w:t>
      </w:r>
    </w:p>
    <w:p w14:paraId="2170F728" w14:textId="3C4E0E96" w:rsidR="00E17BEC" w:rsidRPr="00C01F1D" w:rsidRDefault="00000000">
      <w:pPr>
        <w:spacing w:before="240" w:after="240"/>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Demographic and clinical data of ALS patients stratified according to cluster analysis.</w:t>
      </w:r>
    </w:p>
    <w:tbl>
      <w:tblPr>
        <w:tblStyle w:val="a0"/>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44"/>
        <w:gridCol w:w="1860"/>
        <w:gridCol w:w="1860"/>
        <w:gridCol w:w="1260"/>
      </w:tblGrid>
      <w:tr w:rsidR="00E17BEC" w:rsidRPr="00C01F1D" w14:paraId="24B8E3FB" w14:textId="77777777" w:rsidTr="00142582">
        <w:trPr>
          <w:trHeight w:val="300"/>
        </w:trPr>
        <w:tc>
          <w:tcPr>
            <w:tcW w:w="4144" w:type="dxa"/>
            <w:tcMar>
              <w:top w:w="0" w:type="dxa"/>
              <w:left w:w="100" w:type="dxa"/>
              <w:bottom w:w="0" w:type="dxa"/>
              <w:right w:w="100" w:type="dxa"/>
            </w:tcMar>
          </w:tcPr>
          <w:p w14:paraId="05C68A62"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 xml:space="preserve"> </w:t>
            </w:r>
          </w:p>
        </w:tc>
        <w:tc>
          <w:tcPr>
            <w:tcW w:w="1860" w:type="dxa"/>
            <w:tcMar>
              <w:top w:w="0" w:type="dxa"/>
              <w:left w:w="100" w:type="dxa"/>
              <w:bottom w:w="0" w:type="dxa"/>
              <w:right w:w="100" w:type="dxa"/>
            </w:tcMar>
          </w:tcPr>
          <w:p w14:paraId="2CB784B4"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CLUSTER 1</w:t>
            </w:r>
          </w:p>
        </w:tc>
        <w:tc>
          <w:tcPr>
            <w:tcW w:w="1860" w:type="dxa"/>
            <w:tcMar>
              <w:top w:w="0" w:type="dxa"/>
              <w:left w:w="100" w:type="dxa"/>
              <w:bottom w:w="0" w:type="dxa"/>
              <w:right w:w="100" w:type="dxa"/>
            </w:tcMar>
          </w:tcPr>
          <w:p w14:paraId="176AC296"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CLUSTER 2</w:t>
            </w:r>
          </w:p>
        </w:tc>
        <w:tc>
          <w:tcPr>
            <w:tcW w:w="1260" w:type="dxa"/>
            <w:tcMar>
              <w:top w:w="0" w:type="dxa"/>
              <w:left w:w="100" w:type="dxa"/>
              <w:bottom w:w="0" w:type="dxa"/>
              <w:right w:w="100" w:type="dxa"/>
            </w:tcMar>
          </w:tcPr>
          <w:p w14:paraId="75B7BC1F"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i/>
                <w:sz w:val="20"/>
                <w:szCs w:val="20"/>
              </w:rPr>
              <w:t>P</w:t>
            </w:r>
            <w:r w:rsidRPr="00C01F1D">
              <w:rPr>
                <w:rFonts w:ascii="Times New Roman" w:eastAsia="Times New Roman" w:hAnsi="Times New Roman" w:cs="Times New Roman"/>
                <w:b/>
                <w:sz w:val="20"/>
                <w:szCs w:val="20"/>
              </w:rPr>
              <w:t xml:space="preserve"> value</w:t>
            </w:r>
          </w:p>
        </w:tc>
      </w:tr>
      <w:tr w:rsidR="00E17BEC" w:rsidRPr="00C01F1D" w14:paraId="2282B062" w14:textId="77777777" w:rsidTr="00142582">
        <w:trPr>
          <w:trHeight w:val="345"/>
        </w:trPr>
        <w:tc>
          <w:tcPr>
            <w:tcW w:w="4144" w:type="dxa"/>
            <w:tcMar>
              <w:top w:w="0" w:type="dxa"/>
              <w:left w:w="100" w:type="dxa"/>
              <w:bottom w:w="0" w:type="dxa"/>
              <w:right w:w="100" w:type="dxa"/>
            </w:tcMar>
          </w:tcPr>
          <w:p w14:paraId="640ECB41"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Age at testing, years</w:t>
            </w:r>
          </w:p>
        </w:tc>
        <w:tc>
          <w:tcPr>
            <w:tcW w:w="1860" w:type="dxa"/>
            <w:tcMar>
              <w:top w:w="0" w:type="dxa"/>
              <w:left w:w="100" w:type="dxa"/>
              <w:bottom w:w="0" w:type="dxa"/>
              <w:right w:w="100" w:type="dxa"/>
            </w:tcMar>
          </w:tcPr>
          <w:p w14:paraId="269869DC"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63.5 (14.5)</w:t>
            </w:r>
          </w:p>
        </w:tc>
        <w:tc>
          <w:tcPr>
            <w:tcW w:w="1860" w:type="dxa"/>
            <w:tcMar>
              <w:top w:w="0" w:type="dxa"/>
              <w:left w:w="100" w:type="dxa"/>
              <w:bottom w:w="0" w:type="dxa"/>
              <w:right w:w="100" w:type="dxa"/>
            </w:tcMar>
          </w:tcPr>
          <w:p w14:paraId="4021F051"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70 (23.5)</w:t>
            </w:r>
          </w:p>
        </w:tc>
        <w:tc>
          <w:tcPr>
            <w:tcW w:w="1260" w:type="dxa"/>
            <w:tcMar>
              <w:top w:w="0" w:type="dxa"/>
              <w:left w:w="100" w:type="dxa"/>
              <w:bottom w:w="0" w:type="dxa"/>
              <w:right w:w="100" w:type="dxa"/>
            </w:tcMar>
          </w:tcPr>
          <w:p w14:paraId="710D33A2"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0.486</w:t>
            </w:r>
          </w:p>
        </w:tc>
      </w:tr>
      <w:tr w:rsidR="00E17BEC" w:rsidRPr="00C01F1D" w14:paraId="03BF3842" w14:textId="77777777" w:rsidTr="00142582">
        <w:trPr>
          <w:trHeight w:val="345"/>
        </w:trPr>
        <w:tc>
          <w:tcPr>
            <w:tcW w:w="4144" w:type="dxa"/>
            <w:tcMar>
              <w:top w:w="0" w:type="dxa"/>
              <w:left w:w="100" w:type="dxa"/>
              <w:bottom w:w="0" w:type="dxa"/>
              <w:right w:w="100" w:type="dxa"/>
            </w:tcMar>
          </w:tcPr>
          <w:p w14:paraId="0AB5740D"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Sex (M/F)</w:t>
            </w:r>
          </w:p>
        </w:tc>
        <w:tc>
          <w:tcPr>
            <w:tcW w:w="1860" w:type="dxa"/>
            <w:tcMar>
              <w:top w:w="0" w:type="dxa"/>
              <w:left w:w="100" w:type="dxa"/>
              <w:bottom w:w="0" w:type="dxa"/>
              <w:right w:w="100" w:type="dxa"/>
            </w:tcMar>
          </w:tcPr>
          <w:p w14:paraId="6E31BF08"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20/14</w:t>
            </w:r>
          </w:p>
        </w:tc>
        <w:tc>
          <w:tcPr>
            <w:tcW w:w="1860" w:type="dxa"/>
            <w:tcMar>
              <w:top w:w="0" w:type="dxa"/>
              <w:left w:w="100" w:type="dxa"/>
              <w:bottom w:w="0" w:type="dxa"/>
              <w:right w:w="100" w:type="dxa"/>
            </w:tcMar>
          </w:tcPr>
          <w:p w14:paraId="057A8B79"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21/10</w:t>
            </w:r>
          </w:p>
        </w:tc>
        <w:tc>
          <w:tcPr>
            <w:tcW w:w="1260" w:type="dxa"/>
            <w:tcMar>
              <w:top w:w="0" w:type="dxa"/>
              <w:left w:w="100" w:type="dxa"/>
              <w:bottom w:w="0" w:type="dxa"/>
              <w:right w:w="100" w:type="dxa"/>
            </w:tcMar>
          </w:tcPr>
          <w:p w14:paraId="49455448"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0.457</w:t>
            </w:r>
          </w:p>
        </w:tc>
      </w:tr>
      <w:tr w:rsidR="00E17BEC" w:rsidRPr="00C01F1D" w14:paraId="03B3F6C8" w14:textId="77777777" w:rsidTr="00142582">
        <w:trPr>
          <w:trHeight w:val="345"/>
        </w:trPr>
        <w:tc>
          <w:tcPr>
            <w:tcW w:w="4144" w:type="dxa"/>
            <w:tcMar>
              <w:top w:w="0" w:type="dxa"/>
              <w:left w:w="100" w:type="dxa"/>
              <w:bottom w:w="0" w:type="dxa"/>
              <w:right w:w="100" w:type="dxa"/>
            </w:tcMar>
          </w:tcPr>
          <w:p w14:paraId="59DDF73E"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Disease duration since onset, months</w:t>
            </w:r>
          </w:p>
        </w:tc>
        <w:tc>
          <w:tcPr>
            <w:tcW w:w="1860" w:type="dxa"/>
            <w:tcMar>
              <w:top w:w="0" w:type="dxa"/>
              <w:left w:w="100" w:type="dxa"/>
              <w:bottom w:w="0" w:type="dxa"/>
              <w:right w:w="100" w:type="dxa"/>
            </w:tcMar>
          </w:tcPr>
          <w:p w14:paraId="3362F95D"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27.5 (32.3)</w:t>
            </w:r>
          </w:p>
        </w:tc>
        <w:tc>
          <w:tcPr>
            <w:tcW w:w="1860" w:type="dxa"/>
            <w:tcMar>
              <w:top w:w="0" w:type="dxa"/>
              <w:left w:w="100" w:type="dxa"/>
              <w:bottom w:w="0" w:type="dxa"/>
              <w:right w:w="100" w:type="dxa"/>
            </w:tcMar>
          </w:tcPr>
          <w:p w14:paraId="77053794"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27 (24)</w:t>
            </w:r>
          </w:p>
        </w:tc>
        <w:tc>
          <w:tcPr>
            <w:tcW w:w="1260" w:type="dxa"/>
            <w:tcMar>
              <w:top w:w="0" w:type="dxa"/>
              <w:left w:w="100" w:type="dxa"/>
              <w:bottom w:w="0" w:type="dxa"/>
              <w:right w:w="100" w:type="dxa"/>
            </w:tcMar>
          </w:tcPr>
          <w:p w14:paraId="1E321DF5"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0.642</w:t>
            </w:r>
          </w:p>
        </w:tc>
      </w:tr>
      <w:tr w:rsidR="00E17BEC" w:rsidRPr="00C01F1D" w14:paraId="1BF031C4" w14:textId="77777777" w:rsidTr="00142582">
        <w:trPr>
          <w:trHeight w:val="345"/>
        </w:trPr>
        <w:tc>
          <w:tcPr>
            <w:tcW w:w="4144" w:type="dxa"/>
            <w:tcMar>
              <w:top w:w="0" w:type="dxa"/>
              <w:left w:w="100" w:type="dxa"/>
              <w:bottom w:w="0" w:type="dxa"/>
              <w:right w:w="100" w:type="dxa"/>
            </w:tcMar>
          </w:tcPr>
          <w:p w14:paraId="2A0F01AB"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ALSFRS-R score</w:t>
            </w:r>
          </w:p>
        </w:tc>
        <w:tc>
          <w:tcPr>
            <w:tcW w:w="1860" w:type="dxa"/>
            <w:tcMar>
              <w:top w:w="0" w:type="dxa"/>
              <w:left w:w="100" w:type="dxa"/>
              <w:bottom w:w="0" w:type="dxa"/>
              <w:right w:w="100" w:type="dxa"/>
            </w:tcMar>
          </w:tcPr>
          <w:p w14:paraId="1CBFBAA4"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33.5 (19)</w:t>
            </w:r>
          </w:p>
        </w:tc>
        <w:tc>
          <w:tcPr>
            <w:tcW w:w="1860" w:type="dxa"/>
            <w:tcMar>
              <w:top w:w="0" w:type="dxa"/>
              <w:left w:w="100" w:type="dxa"/>
              <w:bottom w:w="0" w:type="dxa"/>
              <w:right w:w="100" w:type="dxa"/>
            </w:tcMar>
          </w:tcPr>
          <w:p w14:paraId="0267DDEE"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24 (13)</w:t>
            </w:r>
          </w:p>
        </w:tc>
        <w:tc>
          <w:tcPr>
            <w:tcW w:w="1260" w:type="dxa"/>
            <w:tcMar>
              <w:top w:w="0" w:type="dxa"/>
              <w:left w:w="100" w:type="dxa"/>
              <w:bottom w:w="0" w:type="dxa"/>
              <w:right w:w="100" w:type="dxa"/>
            </w:tcMar>
          </w:tcPr>
          <w:p w14:paraId="65B9975A"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0.003</w:t>
            </w:r>
          </w:p>
        </w:tc>
      </w:tr>
      <w:tr w:rsidR="00E17BEC" w:rsidRPr="00C01F1D" w14:paraId="5F4D7BD6" w14:textId="77777777" w:rsidTr="00142582">
        <w:trPr>
          <w:trHeight w:val="405"/>
        </w:trPr>
        <w:tc>
          <w:tcPr>
            <w:tcW w:w="4144" w:type="dxa"/>
            <w:tcMar>
              <w:top w:w="0" w:type="dxa"/>
              <w:left w:w="100" w:type="dxa"/>
              <w:bottom w:w="0" w:type="dxa"/>
              <w:right w:w="100" w:type="dxa"/>
            </w:tcMar>
          </w:tcPr>
          <w:p w14:paraId="68B1DD0E"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Disease progression rate (ALSFRS-R points lost/month)</w:t>
            </w:r>
          </w:p>
        </w:tc>
        <w:tc>
          <w:tcPr>
            <w:tcW w:w="1860" w:type="dxa"/>
            <w:tcMar>
              <w:top w:w="0" w:type="dxa"/>
              <w:left w:w="100" w:type="dxa"/>
              <w:bottom w:w="0" w:type="dxa"/>
              <w:right w:w="100" w:type="dxa"/>
            </w:tcMar>
          </w:tcPr>
          <w:p w14:paraId="0A7A4C6A"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0.6 (0.6)</w:t>
            </w:r>
          </w:p>
        </w:tc>
        <w:tc>
          <w:tcPr>
            <w:tcW w:w="1860" w:type="dxa"/>
            <w:tcMar>
              <w:top w:w="0" w:type="dxa"/>
              <w:left w:w="100" w:type="dxa"/>
              <w:bottom w:w="0" w:type="dxa"/>
              <w:right w:w="100" w:type="dxa"/>
            </w:tcMar>
          </w:tcPr>
          <w:p w14:paraId="10D22852"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1.2 (1.6)</w:t>
            </w:r>
          </w:p>
        </w:tc>
        <w:tc>
          <w:tcPr>
            <w:tcW w:w="1260" w:type="dxa"/>
            <w:tcMar>
              <w:top w:w="0" w:type="dxa"/>
              <w:left w:w="100" w:type="dxa"/>
              <w:bottom w:w="0" w:type="dxa"/>
              <w:right w:w="100" w:type="dxa"/>
            </w:tcMar>
          </w:tcPr>
          <w:p w14:paraId="696192E6"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0.003</w:t>
            </w:r>
          </w:p>
        </w:tc>
      </w:tr>
      <w:tr w:rsidR="00E17BEC" w:rsidRPr="00C01F1D" w14:paraId="1FB7C7DF" w14:textId="77777777" w:rsidTr="00142582">
        <w:trPr>
          <w:trHeight w:val="405"/>
        </w:trPr>
        <w:tc>
          <w:tcPr>
            <w:tcW w:w="4144" w:type="dxa"/>
            <w:tcMar>
              <w:top w:w="0" w:type="dxa"/>
              <w:left w:w="100" w:type="dxa"/>
              <w:bottom w:w="0" w:type="dxa"/>
              <w:right w:w="100" w:type="dxa"/>
            </w:tcMar>
          </w:tcPr>
          <w:p w14:paraId="3A94AB5E"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of patients belonging to King's stages 3 and 4 (advanced stages)</w:t>
            </w:r>
          </w:p>
        </w:tc>
        <w:tc>
          <w:tcPr>
            <w:tcW w:w="1860" w:type="dxa"/>
            <w:tcMar>
              <w:top w:w="0" w:type="dxa"/>
              <w:left w:w="100" w:type="dxa"/>
              <w:bottom w:w="0" w:type="dxa"/>
              <w:right w:w="100" w:type="dxa"/>
            </w:tcMar>
          </w:tcPr>
          <w:p w14:paraId="747EFAD4"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35% (12/34)</w:t>
            </w:r>
          </w:p>
        </w:tc>
        <w:tc>
          <w:tcPr>
            <w:tcW w:w="1860" w:type="dxa"/>
            <w:tcMar>
              <w:top w:w="0" w:type="dxa"/>
              <w:left w:w="100" w:type="dxa"/>
              <w:bottom w:w="0" w:type="dxa"/>
              <w:right w:w="100" w:type="dxa"/>
            </w:tcMar>
          </w:tcPr>
          <w:p w14:paraId="4669945F"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90% (28/31)</w:t>
            </w:r>
          </w:p>
        </w:tc>
        <w:tc>
          <w:tcPr>
            <w:tcW w:w="1260" w:type="dxa"/>
            <w:tcMar>
              <w:top w:w="0" w:type="dxa"/>
              <w:left w:w="100" w:type="dxa"/>
              <w:bottom w:w="0" w:type="dxa"/>
              <w:right w:w="100" w:type="dxa"/>
            </w:tcMar>
          </w:tcPr>
          <w:p w14:paraId="5B6DD601"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&lt;0.001</w:t>
            </w:r>
          </w:p>
        </w:tc>
      </w:tr>
      <w:tr w:rsidR="00E17BEC" w:rsidRPr="00C01F1D" w14:paraId="2104F214" w14:textId="77777777" w:rsidTr="00142582">
        <w:trPr>
          <w:trHeight w:val="580"/>
        </w:trPr>
        <w:tc>
          <w:tcPr>
            <w:tcW w:w="4144" w:type="dxa"/>
            <w:tcMar>
              <w:top w:w="0" w:type="dxa"/>
              <w:left w:w="100" w:type="dxa"/>
              <w:bottom w:w="0" w:type="dxa"/>
              <w:right w:w="100" w:type="dxa"/>
            </w:tcMar>
          </w:tcPr>
          <w:p w14:paraId="687B71E1"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Onset (spinal/bulbar)</w:t>
            </w:r>
          </w:p>
        </w:tc>
        <w:tc>
          <w:tcPr>
            <w:tcW w:w="1860" w:type="dxa"/>
            <w:tcMar>
              <w:top w:w="0" w:type="dxa"/>
              <w:left w:w="100" w:type="dxa"/>
              <w:bottom w:w="0" w:type="dxa"/>
              <w:right w:w="100" w:type="dxa"/>
            </w:tcMar>
          </w:tcPr>
          <w:p w14:paraId="62CCA398"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29/5</w:t>
            </w:r>
          </w:p>
        </w:tc>
        <w:tc>
          <w:tcPr>
            <w:tcW w:w="1860" w:type="dxa"/>
            <w:tcMar>
              <w:top w:w="0" w:type="dxa"/>
              <w:left w:w="100" w:type="dxa"/>
              <w:bottom w:w="0" w:type="dxa"/>
              <w:right w:w="100" w:type="dxa"/>
            </w:tcMar>
          </w:tcPr>
          <w:p w14:paraId="5FACFCC5"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23/8</w:t>
            </w:r>
          </w:p>
        </w:tc>
        <w:tc>
          <w:tcPr>
            <w:tcW w:w="1260" w:type="dxa"/>
            <w:tcMar>
              <w:top w:w="0" w:type="dxa"/>
              <w:left w:w="100" w:type="dxa"/>
              <w:bottom w:w="0" w:type="dxa"/>
              <w:right w:w="100" w:type="dxa"/>
            </w:tcMar>
          </w:tcPr>
          <w:p w14:paraId="0A6A09C1"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0.264</w:t>
            </w:r>
          </w:p>
        </w:tc>
      </w:tr>
      <w:tr w:rsidR="00E17BEC" w:rsidRPr="00C01F1D" w14:paraId="244B83F5" w14:textId="77777777" w:rsidTr="00142582">
        <w:trPr>
          <w:trHeight w:val="405"/>
        </w:trPr>
        <w:tc>
          <w:tcPr>
            <w:tcW w:w="4144" w:type="dxa"/>
            <w:tcMar>
              <w:top w:w="0" w:type="dxa"/>
              <w:left w:w="100" w:type="dxa"/>
              <w:bottom w:w="0" w:type="dxa"/>
              <w:right w:w="100" w:type="dxa"/>
            </w:tcMar>
          </w:tcPr>
          <w:p w14:paraId="55C7AF3F"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of patients with Cognitive and/or behavioural Impairment</w:t>
            </w:r>
          </w:p>
        </w:tc>
        <w:tc>
          <w:tcPr>
            <w:tcW w:w="1860" w:type="dxa"/>
            <w:tcMar>
              <w:top w:w="0" w:type="dxa"/>
              <w:left w:w="100" w:type="dxa"/>
              <w:bottom w:w="0" w:type="dxa"/>
              <w:right w:w="100" w:type="dxa"/>
            </w:tcMar>
          </w:tcPr>
          <w:p w14:paraId="689AF6C0"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41% (14/34)</w:t>
            </w:r>
          </w:p>
        </w:tc>
        <w:tc>
          <w:tcPr>
            <w:tcW w:w="1860" w:type="dxa"/>
            <w:tcMar>
              <w:top w:w="0" w:type="dxa"/>
              <w:left w:w="100" w:type="dxa"/>
              <w:bottom w:w="0" w:type="dxa"/>
              <w:right w:w="100" w:type="dxa"/>
            </w:tcMar>
          </w:tcPr>
          <w:p w14:paraId="1BF90F0D"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58% (18/31)</w:t>
            </w:r>
          </w:p>
        </w:tc>
        <w:tc>
          <w:tcPr>
            <w:tcW w:w="1260" w:type="dxa"/>
            <w:tcMar>
              <w:top w:w="0" w:type="dxa"/>
              <w:left w:w="100" w:type="dxa"/>
              <w:bottom w:w="0" w:type="dxa"/>
              <w:right w:w="100" w:type="dxa"/>
            </w:tcMar>
          </w:tcPr>
          <w:p w14:paraId="3CC31D65"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0.174</w:t>
            </w:r>
          </w:p>
        </w:tc>
      </w:tr>
      <w:tr w:rsidR="00E17BEC" w:rsidRPr="00C01F1D" w14:paraId="496E1F57" w14:textId="77777777" w:rsidTr="00142582">
        <w:trPr>
          <w:trHeight w:val="345"/>
        </w:trPr>
        <w:tc>
          <w:tcPr>
            <w:tcW w:w="4144" w:type="dxa"/>
            <w:tcMar>
              <w:top w:w="0" w:type="dxa"/>
              <w:left w:w="100" w:type="dxa"/>
              <w:bottom w:w="0" w:type="dxa"/>
              <w:right w:w="100" w:type="dxa"/>
            </w:tcMar>
          </w:tcPr>
          <w:p w14:paraId="001226CC"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FVC (%)</w:t>
            </w:r>
          </w:p>
        </w:tc>
        <w:tc>
          <w:tcPr>
            <w:tcW w:w="1860" w:type="dxa"/>
            <w:tcMar>
              <w:top w:w="0" w:type="dxa"/>
              <w:left w:w="100" w:type="dxa"/>
              <w:bottom w:w="0" w:type="dxa"/>
              <w:right w:w="100" w:type="dxa"/>
            </w:tcMar>
          </w:tcPr>
          <w:p w14:paraId="53671CF3"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85.5 (43.8)</w:t>
            </w:r>
          </w:p>
        </w:tc>
        <w:tc>
          <w:tcPr>
            <w:tcW w:w="1860" w:type="dxa"/>
            <w:tcMar>
              <w:top w:w="0" w:type="dxa"/>
              <w:left w:w="100" w:type="dxa"/>
              <w:bottom w:w="0" w:type="dxa"/>
              <w:right w:w="100" w:type="dxa"/>
            </w:tcMar>
          </w:tcPr>
          <w:p w14:paraId="35CE8300"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49 (45)</w:t>
            </w:r>
          </w:p>
        </w:tc>
        <w:tc>
          <w:tcPr>
            <w:tcW w:w="1260" w:type="dxa"/>
            <w:tcMar>
              <w:top w:w="0" w:type="dxa"/>
              <w:left w:w="100" w:type="dxa"/>
              <w:bottom w:w="0" w:type="dxa"/>
              <w:right w:w="100" w:type="dxa"/>
            </w:tcMar>
          </w:tcPr>
          <w:p w14:paraId="4E846D9E"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0.006</w:t>
            </w:r>
          </w:p>
        </w:tc>
      </w:tr>
      <w:tr w:rsidR="00E17BEC" w:rsidRPr="00C01F1D" w14:paraId="39A7769A" w14:textId="77777777" w:rsidTr="00142582">
        <w:trPr>
          <w:trHeight w:val="345"/>
        </w:trPr>
        <w:tc>
          <w:tcPr>
            <w:tcW w:w="4144" w:type="dxa"/>
            <w:tcMar>
              <w:top w:w="0" w:type="dxa"/>
              <w:left w:w="100" w:type="dxa"/>
              <w:bottom w:w="0" w:type="dxa"/>
              <w:right w:w="100" w:type="dxa"/>
            </w:tcMar>
          </w:tcPr>
          <w:p w14:paraId="20B51763"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BMI (kg/m</w:t>
            </w:r>
            <w:r w:rsidRPr="00C01F1D">
              <w:rPr>
                <w:rFonts w:ascii="Times New Roman" w:eastAsia="Times New Roman" w:hAnsi="Times New Roman" w:cs="Times New Roman"/>
                <w:b/>
                <w:sz w:val="20"/>
                <w:szCs w:val="20"/>
                <w:vertAlign w:val="superscript"/>
              </w:rPr>
              <w:t>2</w:t>
            </w:r>
            <w:r w:rsidRPr="00C01F1D">
              <w:rPr>
                <w:rFonts w:ascii="Times New Roman" w:eastAsia="Times New Roman" w:hAnsi="Times New Roman" w:cs="Times New Roman"/>
                <w:b/>
                <w:sz w:val="20"/>
                <w:szCs w:val="20"/>
              </w:rPr>
              <w:t>)</w:t>
            </w:r>
          </w:p>
        </w:tc>
        <w:tc>
          <w:tcPr>
            <w:tcW w:w="1860" w:type="dxa"/>
            <w:tcMar>
              <w:top w:w="0" w:type="dxa"/>
              <w:left w:w="100" w:type="dxa"/>
              <w:bottom w:w="0" w:type="dxa"/>
              <w:right w:w="100" w:type="dxa"/>
            </w:tcMar>
          </w:tcPr>
          <w:p w14:paraId="5E4EEF14"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23.4 (5.8)</w:t>
            </w:r>
          </w:p>
        </w:tc>
        <w:tc>
          <w:tcPr>
            <w:tcW w:w="1860" w:type="dxa"/>
            <w:tcMar>
              <w:top w:w="0" w:type="dxa"/>
              <w:left w:w="100" w:type="dxa"/>
              <w:bottom w:w="0" w:type="dxa"/>
              <w:right w:w="100" w:type="dxa"/>
            </w:tcMar>
          </w:tcPr>
          <w:p w14:paraId="1536C25C"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23.3 (4.3)</w:t>
            </w:r>
          </w:p>
        </w:tc>
        <w:tc>
          <w:tcPr>
            <w:tcW w:w="1260" w:type="dxa"/>
            <w:tcMar>
              <w:top w:w="0" w:type="dxa"/>
              <w:left w:w="100" w:type="dxa"/>
              <w:bottom w:w="0" w:type="dxa"/>
              <w:right w:w="100" w:type="dxa"/>
            </w:tcMar>
          </w:tcPr>
          <w:p w14:paraId="70CB1311"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0.58</w:t>
            </w:r>
          </w:p>
        </w:tc>
      </w:tr>
      <w:tr w:rsidR="00E17BEC" w:rsidRPr="00C01F1D" w14:paraId="7979ED84" w14:textId="77777777" w:rsidTr="00142582">
        <w:trPr>
          <w:trHeight w:val="345"/>
        </w:trPr>
        <w:tc>
          <w:tcPr>
            <w:tcW w:w="4144" w:type="dxa"/>
            <w:tcMar>
              <w:top w:w="0" w:type="dxa"/>
              <w:left w:w="100" w:type="dxa"/>
              <w:bottom w:w="0" w:type="dxa"/>
              <w:right w:w="100" w:type="dxa"/>
            </w:tcMar>
          </w:tcPr>
          <w:p w14:paraId="687DBC7F"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PUMNS total score (max 32)</w:t>
            </w:r>
          </w:p>
        </w:tc>
        <w:tc>
          <w:tcPr>
            <w:tcW w:w="1860" w:type="dxa"/>
            <w:tcMar>
              <w:top w:w="0" w:type="dxa"/>
              <w:left w:w="100" w:type="dxa"/>
              <w:bottom w:w="0" w:type="dxa"/>
              <w:right w:w="100" w:type="dxa"/>
            </w:tcMar>
          </w:tcPr>
          <w:p w14:paraId="3AB54A13"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13.5 (8.8)</w:t>
            </w:r>
          </w:p>
        </w:tc>
        <w:tc>
          <w:tcPr>
            <w:tcW w:w="1860" w:type="dxa"/>
            <w:tcMar>
              <w:top w:w="0" w:type="dxa"/>
              <w:left w:w="100" w:type="dxa"/>
              <w:bottom w:w="0" w:type="dxa"/>
              <w:right w:w="100" w:type="dxa"/>
            </w:tcMar>
          </w:tcPr>
          <w:p w14:paraId="57E790FE"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15 (11)</w:t>
            </w:r>
          </w:p>
        </w:tc>
        <w:tc>
          <w:tcPr>
            <w:tcW w:w="1260" w:type="dxa"/>
            <w:tcMar>
              <w:top w:w="0" w:type="dxa"/>
              <w:left w:w="100" w:type="dxa"/>
              <w:bottom w:w="0" w:type="dxa"/>
              <w:right w:w="100" w:type="dxa"/>
            </w:tcMar>
          </w:tcPr>
          <w:p w14:paraId="69B25529"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0.09</w:t>
            </w:r>
          </w:p>
        </w:tc>
      </w:tr>
      <w:tr w:rsidR="00E17BEC" w:rsidRPr="00C01F1D" w14:paraId="315EDD3F" w14:textId="77777777" w:rsidTr="00142582">
        <w:trPr>
          <w:trHeight w:val="345"/>
        </w:trPr>
        <w:tc>
          <w:tcPr>
            <w:tcW w:w="4144" w:type="dxa"/>
            <w:tcMar>
              <w:top w:w="0" w:type="dxa"/>
              <w:left w:w="100" w:type="dxa"/>
              <w:bottom w:w="0" w:type="dxa"/>
              <w:right w:w="100" w:type="dxa"/>
            </w:tcMar>
          </w:tcPr>
          <w:p w14:paraId="5599E92C"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MRC total score (max 130)</w:t>
            </w:r>
          </w:p>
        </w:tc>
        <w:tc>
          <w:tcPr>
            <w:tcW w:w="1860" w:type="dxa"/>
            <w:tcMar>
              <w:top w:w="0" w:type="dxa"/>
              <w:left w:w="100" w:type="dxa"/>
              <w:bottom w:w="0" w:type="dxa"/>
              <w:right w:w="100" w:type="dxa"/>
            </w:tcMar>
          </w:tcPr>
          <w:p w14:paraId="0C931F85"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101 (45.3)</w:t>
            </w:r>
          </w:p>
        </w:tc>
        <w:tc>
          <w:tcPr>
            <w:tcW w:w="1860" w:type="dxa"/>
            <w:tcMar>
              <w:top w:w="0" w:type="dxa"/>
              <w:left w:w="100" w:type="dxa"/>
              <w:bottom w:w="0" w:type="dxa"/>
              <w:right w:w="100" w:type="dxa"/>
            </w:tcMar>
          </w:tcPr>
          <w:p w14:paraId="032CDF54"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74 (59.5)</w:t>
            </w:r>
          </w:p>
        </w:tc>
        <w:tc>
          <w:tcPr>
            <w:tcW w:w="1260" w:type="dxa"/>
            <w:tcMar>
              <w:top w:w="0" w:type="dxa"/>
              <w:left w:w="100" w:type="dxa"/>
              <w:bottom w:w="0" w:type="dxa"/>
              <w:right w:w="100" w:type="dxa"/>
            </w:tcMar>
          </w:tcPr>
          <w:p w14:paraId="6B803ADB"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0.009</w:t>
            </w:r>
          </w:p>
        </w:tc>
      </w:tr>
      <w:tr w:rsidR="00E17BEC" w:rsidRPr="00C01F1D" w14:paraId="71C74531" w14:textId="77777777" w:rsidTr="00142582">
        <w:trPr>
          <w:trHeight w:val="345"/>
        </w:trPr>
        <w:tc>
          <w:tcPr>
            <w:tcW w:w="4144" w:type="dxa"/>
            <w:tcMar>
              <w:top w:w="0" w:type="dxa"/>
              <w:left w:w="100" w:type="dxa"/>
              <w:bottom w:w="0" w:type="dxa"/>
              <w:right w:w="100" w:type="dxa"/>
            </w:tcMar>
          </w:tcPr>
          <w:p w14:paraId="1F5A83D8"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of patients with loss of appetite</w:t>
            </w:r>
          </w:p>
        </w:tc>
        <w:tc>
          <w:tcPr>
            <w:tcW w:w="1860" w:type="dxa"/>
            <w:tcMar>
              <w:top w:w="0" w:type="dxa"/>
              <w:left w:w="100" w:type="dxa"/>
              <w:bottom w:w="0" w:type="dxa"/>
              <w:right w:w="100" w:type="dxa"/>
            </w:tcMar>
          </w:tcPr>
          <w:p w14:paraId="6E80B3A8"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29% (10/34)</w:t>
            </w:r>
          </w:p>
        </w:tc>
        <w:tc>
          <w:tcPr>
            <w:tcW w:w="1860" w:type="dxa"/>
            <w:tcMar>
              <w:top w:w="0" w:type="dxa"/>
              <w:left w:w="100" w:type="dxa"/>
              <w:bottom w:w="0" w:type="dxa"/>
              <w:right w:w="100" w:type="dxa"/>
            </w:tcMar>
          </w:tcPr>
          <w:p w14:paraId="5A792B17"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58% (18/31)</w:t>
            </w:r>
          </w:p>
        </w:tc>
        <w:tc>
          <w:tcPr>
            <w:tcW w:w="1260" w:type="dxa"/>
            <w:tcMar>
              <w:top w:w="0" w:type="dxa"/>
              <w:left w:w="100" w:type="dxa"/>
              <w:bottom w:w="0" w:type="dxa"/>
              <w:right w:w="100" w:type="dxa"/>
            </w:tcMar>
          </w:tcPr>
          <w:p w14:paraId="75770352"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0.02</w:t>
            </w:r>
          </w:p>
        </w:tc>
      </w:tr>
      <w:tr w:rsidR="00E17BEC" w:rsidRPr="00C01F1D" w14:paraId="1FE8A212" w14:textId="77777777" w:rsidTr="00142582">
        <w:trPr>
          <w:trHeight w:val="345"/>
        </w:trPr>
        <w:tc>
          <w:tcPr>
            <w:tcW w:w="4144" w:type="dxa"/>
            <w:tcMar>
              <w:top w:w="0" w:type="dxa"/>
              <w:left w:w="100" w:type="dxa"/>
              <w:bottom w:w="0" w:type="dxa"/>
              <w:right w:w="100" w:type="dxa"/>
            </w:tcMar>
          </w:tcPr>
          <w:p w14:paraId="04B651EE"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of patients with overeating</w:t>
            </w:r>
          </w:p>
        </w:tc>
        <w:tc>
          <w:tcPr>
            <w:tcW w:w="1860" w:type="dxa"/>
            <w:tcMar>
              <w:top w:w="0" w:type="dxa"/>
              <w:left w:w="100" w:type="dxa"/>
              <w:bottom w:w="0" w:type="dxa"/>
              <w:right w:w="100" w:type="dxa"/>
            </w:tcMar>
          </w:tcPr>
          <w:p w14:paraId="6171C4F1" w14:textId="20F6EBCB"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w:t>
            </w:r>
            <w:r w:rsidR="005C74CC" w:rsidRPr="00C01F1D">
              <w:rPr>
                <w:rFonts w:ascii="Times New Roman" w:eastAsia="Times New Roman" w:hAnsi="Times New Roman" w:cs="Times New Roman"/>
                <w:sz w:val="20"/>
                <w:szCs w:val="20"/>
              </w:rPr>
              <w:t>4</w:t>
            </w:r>
            <w:r w:rsidRPr="00C01F1D">
              <w:rPr>
                <w:rFonts w:ascii="Times New Roman" w:eastAsia="Times New Roman" w:hAnsi="Times New Roman" w:cs="Times New Roman"/>
                <w:sz w:val="20"/>
                <w:szCs w:val="20"/>
              </w:rPr>
              <w:t>% (</w:t>
            </w:r>
            <w:r w:rsidR="005C74CC" w:rsidRPr="00C01F1D">
              <w:rPr>
                <w:rFonts w:ascii="Times New Roman" w:eastAsia="Times New Roman" w:hAnsi="Times New Roman" w:cs="Times New Roman"/>
                <w:sz w:val="20"/>
                <w:szCs w:val="20"/>
              </w:rPr>
              <w:t>8</w:t>
            </w:r>
            <w:r w:rsidRPr="00C01F1D">
              <w:rPr>
                <w:rFonts w:ascii="Times New Roman" w:eastAsia="Times New Roman" w:hAnsi="Times New Roman" w:cs="Times New Roman"/>
                <w:sz w:val="20"/>
                <w:szCs w:val="20"/>
              </w:rPr>
              <w:t>/34)</w:t>
            </w:r>
          </w:p>
        </w:tc>
        <w:tc>
          <w:tcPr>
            <w:tcW w:w="1860" w:type="dxa"/>
            <w:tcMar>
              <w:top w:w="0" w:type="dxa"/>
              <w:left w:w="100" w:type="dxa"/>
              <w:bottom w:w="0" w:type="dxa"/>
              <w:right w:w="100" w:type="dxa"/>
            </w:tcMar>
          </w:tcPr>
          <w:p w14:paraId="649D3534" w14:textId="51AC2B41" w:rsidR="00E17BEC" w:rsidRPr="00C01F1D" w:rsidRDefault="005C74CC">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36% (11/31)</w:t>
            </w:r>
          </w:p>
        </w:tc>
        <w:tc>
          <w:tcPr>
            <w:tcW w:w="1260" w:type="dxa"/>
            <w:tcMar>
              <w:top w:w="0" w:type="dxa"/>
              <w:left w:w="100" w:type="dxa"/>
              <w:bottom w:w="0" w:type="dxa"/>
              <w:right w:w="100" w:type="dxa"/>
            </w:tcMar>
          </w:tcPr>
          <w:p w14:paraId="7E0EFC0E" w14:textId="3BC33FD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w:t>
            </w:r>
            <w:r w:rsidR="005C74CC" w:rsidRPr="00C01F1D">
              <w:rPr>
                <w:rFonts w:ascii="Times New Roman" w:eastAsia="Times New Roman" w:hAnsi="Times New Roman" w:cs="Times New Roman"/>
                <w:sz w:val="20"/>
                <w:szCs w:val="20"/>
              </w:rPr>
              <w:t>290</w:t>
            </w:r>
          </w:p>
        </w:tc>
      </w:tr>
      <w:tr w:rsidR="00E17BEC" w:rsidRPr="00C01F1D" w14:paraId="3A3E1589" w14:textId="77777777" w:rsidTr="00142582">
        <w:trPr>
          <w:trHeight w:val="345"/>
        </w:trPr>
        <w:tc>
          <w:tcPr>
            <w:tcW w:w="4144" w:type="dxa"/>
            <w:tcMar>
              <w:top w:w="0" w:type="dxa"/>
              <w:left w:w="100" w:type="dxa"/>
              <w:bottom w:w="0" w:type="dxa"/>
              <w:right w:w="100" w:type="dxa"/>
            </w:tcMar>
          </w:tcPr>
          <w:p w14:paraId="3A9E3F1E" w14:textId="77777777" w:rsidR="00E17BEC" w:rsidRPr="00C01F1D" w:rsidRDefault="00000000">
            <w:pPr>
              <w:spacing w:before="240" w:line="276"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of deceased patients</w:t>
            </w:r>
          </w:p>
        </w:tc>
        <w:tc>
          <w:tcPr>
            <w:tcW w:w="1860" w:type="dxa"/>
            <w:tcMar>
              <w:top w:w="0" w:type="dxa"/>
              <w:left w:w="100" w:type="dxa"/>
              <w:bottom w:w="0" w:type="dxa"/>
              <w:right w:w="100" w:type="dxa"/>
            </w:tcMar>
          </w:tcPr>
          <w:p w14:paraId="63E82CAD"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9% (3/34)</w:t>
            </w:r>
          </w:p>
        </w:tc>
        <w:tc>
          <w:tcPr>
            <w:tcW w:w="1860" w:type="dxa"/>
            <w:tcMar>
              <w:top w:w="0" w:type="dxa"/>
              <w:left w:w="100" w:type="dxa"/>
              <w:bottom w:w="0" w:type="dxa"/>
              <w:right w:w="100" w:type="dxa"/>
            </w:tcMar>
          </w:tcPr>
          <w:p w14:paraId="5D06CD53" w14:textId="77777777" w:rsidR="00E17BEC" w:rsidRPr="00C01F1D" w:rsidRDefault="00000000">
            <w:pPr>
              <w:spacing w:before="240" w:line="276"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48% (15/31)</w:t>
            </w:r>
          </w:p>
        </w:tc>
        <w:tc>
          <w:tcPr>
            <w:tcW w:w="1260" w:type="dxa"/>
            <w:tcMar>
              <w:top w:w="0" w:type="dxa"/>
              <w:left w:w="100" w:type="dxa"/>
              <w:bottom w:w="0" w:type="dxa"/>
              <w:right w:w="100" w:type="dxa"/>
            </w:tcMar>
          </w:tcPr>
          <w:p w14:paraId="68FFD93E" w14:textId="77777777" w:rsidR="00E17BEC" w:rsidRPr="00C01F1D" w:rsidRDefault="00000000">
            <w:pPr>
              <w:spacing w:before="240" w:line="276"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&lt;0.001</w:t>
            </w:r>
          </w:p>
        </w:tc>
      </w:tr>
    </w:tbl>
    <w:p w14:paraId="7ACD05D4" w14:textId="1C64A2F0" w:rsidR="00BD147A" w:rsidRPr="00C01F1D" w:rsidRDefault="00000000">
      <w:pPr>
        <w:spacing w:before="240" w:after="240"/>
        <w:jc w:val="both"/>
        <w:rPr>
          <w:rFonts w:ascii="Times New Roman" w:eastAsia="Times New Roman" w:hAnsi="Times New Roman" w:cs="Times New Roman"/>
          <w:sz w:val="20"/>
          <w:szCs w:val="20"/>
        </w:rPr>
        <w:sectPr w:rsidR="00BD147A" w:rsidRPr="00C01F1D" w:rsidSect="00771789">
          <w:pgSz w:w="11906" w:h="16838"/>
          <w:pgMar w:top="1440" w:right="1440" w:bottom="1440" w:left="1440" w:header="708" w:footer="708" w:gutter="0"/>
          <w:pgNumType w:start="1"/>
          <w:cols w:space="720"/>
        </w:sectPr>
      </w:pPr>
      <w:r w:rsidRPr="00C01F1D">
        <w:rPr>
          <w:rFonts w:ascii="Times New Roman" w:eastAsia="Times New Roman" w:hAnsi="Times New Roman" w:cs="Times New Roman"/>
          <w:sz w:val="20"/>
          <w:szCs w:val="20"/>
        </w:rPr>
        <w:t>Note: Values are expressed as median (interquartile range) or as percentage (frequencies). Comparisons between the two groups were performed by means of non-parametric Mann-Whitney U test; frequencies were compared by means of chi- square test. Values in bold type indicate significance p&lt; 0.05</w:t>
      </w:r>
    </w:p>
    <w:p w14:paraId="1F088FF0" w14:textId="77777777" w:rsidR="00142582" w:rsidRDefault="00142582">
      <w:pPr>
        <w:spacing w:before="240" w:after="240"/>
        <w:ind w:right="-572"/>
        <w:jc w:val="both"/>
        <w:rPr>
          <w:rFonts w:ascii="Times New Roman" w:eastAsia="Times New Roman" w:hAnsi="Times New Roman" w:cs="Times New Roman"/>
          <w:sz w:val="20"/>
          <w:szCs w:val="20"/>
        </w:rPr>
      </w:pPr>
    </w:p>
    <w:p w14:paraId="1ADD982B" w14:textId="40BEF6D4" w:rsidR="00142582" w:rsidRPr="00C01F1D" w:rsidRDefault="00142582" w:rsidP="00142582">
      <w:pP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Table S</w:t>
      </w:r>
      <w:r w:rsidR="00BD147A">
        <w:rPr>
          <w:rFonts w:ascii="Times New Roman" w:eastAsia="Times New Roman" w:hAnsi="Times New Roman" w:cs="Times New Roman"/>
          <w:b/>
          <w:sz w:val="20"/>
          <w:szCs w:val="20"/>
        </w:rPr>
        <w:t>3</w:t>
      </w:r>
      <w:r w:rsidRPr="00C01F1D">
        <w:rPr>
          <w:rFonts w:ascii="Times New Roman" w:eastAsia="Times New Roman" w:hAnsi="Times New Roman" w:cs="Times New Roman"/>
          <w:b/>
          <w:sz w:val="20"/>
          <w:szCs w:val="20"/>
        </w:rPr>
        <w:t xml:space="preserve">. </w:t>
      </w:r>
    </w:p>
    <w:p w14:paraId="164CC992" w14:textId="6A4F930F" w:rsidR="00142582" w:rsidRPr="00142582" w:rsidRDefault="00142582" w:rsidP="00142582">
      <w:pPr>
        <w:spacing w:before="240" w:after="240"/>
        <w:ind w:right="277"/>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xml:space="preserve">Comparison of </w:t>
      </w:r>
      <w:r>
        <w:rPr>
          <w:rFonts w:ascii="Times New Roman" w:eastAsia="Times New Roman" w:hAnsi="Times New Roman" w:cs="Times New Roman"/>
          <w:b/>
          <w:sz w:val="20"/>
          <w:szCs w:val="20"/>
        </w:rPr>
        <w:t xml:space="preserve">clinical data and </w:t>
      </w:r>
      <w:r w:rsidRPr="00C01F1D">
        <w:rPr>
          <w:rFonts w:ascii="Times New Roman" w:eastAsia="Times New Roman" w:hAnsi="Times New Roman" w:cs="Times New Roman"/>
          <w:b/>
          <w:sz w:val="20"/>
          <w:szCs w:val="20"/>
        </w:rPr>
        <w:t>circulating eCBome mediators between patients</w:t>
      </w:r>
      <w:r>
        <w:rPr>
          <w:rFonts w:ascii="Times New Roman" w:eastAsia="Times New Roman" w:hAnsi="Times New Roman" w:cs="Times New Roman"/>
          <w:b/>
          <w:sz w:val="20"/>
          <w:szCs w:val="20"/>
        </w:rPr>
        <w:t xml:space="preserve"> with bulbar and spinal onset</w:t>
      </w:r>
      <w:r w:rsidRPr="00C01F1D">
        <w:rPr>
          <w:rFonts w:ascii="Times New Roman" w:eastAsia="Times New Roman" w:hAnsi="Times New Roman" w:cs="Times New Roman"/>
          <w:b/>
          <w:sz w:val="20"/>
          <w:szCs w:val="20"/>
        </w:rPr>
        <w:t xml:space="preserve"> </w:t>
      </w:r>
    </w:p>
    <w:tbl>
      <w:tblPr>
        <w:tblW w:w="8642" w:type="dxa"/>
        <w:tblLayout w:type="fixed"/>
        <w:tblLook w:val="04A0" w:firstRow="1" w:lastRow="0" w:firstColumn="1" w:lastColumn="0" w:noHBand="0" w:noVBand="1"/>
      </w:tblPr>
      <w:tblGrid>
        <w:gridCol w:w="3980"/>
        <w:gridCol w:w="1554"/>
        <w:gridCol w:w="1554"/>
        <w:gridCol w:w="1554"/>
      </w:tblGrid>
      <w:tr w:rsidR="00142582" w:rsidRPr="00142582" w14:paraId="64CC1A56" w14:textId="77777777" w:rsidTr="00142582">
        <w:trPr>
          <w:trHeight w:val="290"/>
        </w:trPr>
        <w:tc>
          <w:tcPr>
            <w:tcW w:w="3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F73F4"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w:t>
            </w:r>
          </w:p>
        </w:tc>
        <w:tc>
          <w:tcPr>
            <w:tcW w:w="1554" w:type="dxa"/>
            <w:tcBorders>
              <w:top w:val="single" w:sz="4" w:space="0" w:color="auto"/>
              <w:left w:val="nil"/>
              <w:bottom w:val="single" w:sz="4" w:space="0" w:color="auto"/>
              <w:right w:val="single" w:sz="4" w:space="0" w:color="auto"/>
            </w:tcBorders>
            <w:shd w:val="clear" w:color="auto" w:fill="auto"/>
            <w:noWrap/>
            <w:vAlign w:val="bottom"/>
            <w:hideMark/>
          </w:tcPr>
          <w:p w14:paraId="30A01F80"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Bulbar onset</w:t>
            </w:r>
          </w:p>
        </w:tc>
        <w:tc>
          <w:tcPr>
            <w:tcW w:w="1554" w:type="dxa"/>
            <w:tcBorders>
              <w:top w:val="single" w:sz="4" w:space="0" w:color="auto"/>
              <w:left w:val="nil"/>
              <w:bottom w:val="single" w:sz="4" w:space="0" w:color="auto"/>
              <w:right w:val="single" w:sz="4" w:space="0" w:color="auto"/>
            </w:tcBorders>
            <w:shd w:val="clear" w:color="auto" w:fill="auto"/>
            <w:noWrap/>
            <w:vAlign w:val="bottom"/>
            <w:hideMark/>
          </w:tcPr>
          <w:p w14:paraId="09E52C66"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Spinal Onset</w:t>
            </w:r>
          </w:p>
        </w:tc>
        <w:tc>
          <w:tcPr>
            <w:tcW w:w="1554" w:type="dxa"/>
            <w:tcBorders>
              <w:top w:val="single" w:sz="4" w:space="0" w:color="auto"/>
              <w:left w:val="nil"/>
              <w:bottom w:val="single" w:sz="4" w:space="0" w:color="auto"/>
              <w:right w:val="single" w:sz="4" w:space="0" w:color="auto"/>
            </w:tcBorders>
            <w:shd w:val="clear" w:color="auto" w:fill="auto"/>
            <w:noWrap/>
            <w:vAlign w:val="bottom"/>
            <w:hideMark/>
          </w:tcPr>
          <w:p w14:paraId="37E4EFB1"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p-value</w:t>
            </w:r>
          </w:p>
        </w:tc>
      </w:tr>
      <w:tr w:rsidR="00142582" w:rsidRPr="00142582" w14:paraId="6E35524D"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051B4890"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xml:space="preserve">Number </w:t>
            </w:r>
          </w:p>
        </w:tc>
        <w:tc>
          <w:tcPr>
            <w:tcW w:w="1554" w:type="dxa"/>
            <w:tcBorders>
              <w:top w:val="nil"/>
              <w:left w:val="nil"/>
              <w:bottom w:val="single" w:sz="4" w:space="0" w:color="auto"/>
              <w:right w:val="single" w:sz="4" w:space="0" w:color="auto"/>
            </w:tcBorders>
            <w:shd w:val="clear" w:color="auto" w:fill="auto"/>
            <w:noWrap/>
            <w:vAlign w:val="bottom"/>
            <w:hideMark/>
          </w:tcPr>
          <w:p w14:paraId="02BB5E56"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52</w:t>
            </w:r>
          </w:p>
        </w:tc>
        <w:tc>
          <w:tcPr>
            <w:tcW w:w="1554" w:type="dxa"/>
            <w:tcBorders>
              <w:top w:val="nil"/>
              <w:left w:val="nil"/>
              <w:bottom w:val="single" w:sz="4" w:space="0" w:color="auto"/>
              <w:right w:val="single" w:sz="4" w:space="0" w:color="auto"/>
            </w:tcBorders>
            <w:shd w:val="clear" w:color="auto" w:fill="auto"/>
            <w:noWrap/>
            <w:vAlign w:val="bottom"/>
            <w:hideMark/>
          </w:tcPr>
          <w:p w14:paraId="691EA82F"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13</w:t>
            </w:r>
          </w:p>
        </w:tc>
        <w:tc>
          <w:tcPr>
            <w:tcW w:w="1554" w:type="dxa"/>
            <w:tcBorders>
              <w:top w:val="nil"/>
              <w:left w:val="nil"/>
              <w:bottom w:val="single" w:sz="4" w:space="0" w:color="auto"/>
              <w:right w:val="single" w:sz="4" w:space="0" w:color="auto"/>
            </w:tcBorders>
            <w:shd w:val="clear" w:color="auto" w:fill="auto"/>
            <w:noWrap/>
            <w:vAlign w:val="bottom"/>
            <w:hideMark/>
          </w:tcPr>
          <w:p w14:paraId="582713F4"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w:t>
            </w:r>
          </w:p>
        </w:tc>
      </w:tr>
      <w:tr w:rsidR="00142582" w:rsidRPr="00142582" w14:paraId="48D9E80D"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0EA34BF0"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Age at testing, years</w:t>
            </w:r>
          </w:p>
        </w:tc>
        <w:tc>
          <w:tcPr>
            <w:tcW w:w="1554" w:type="dxa"/>
            <w:tcBorders>
              <w:top w:val="nil"/>
              <w:left w:val="nil"/>
              <w:bottom w:val="single" w:sz="4" w:space="0" w:color="auto"/>
              <w:right w:val="single" w:sz="4" w:space="0" w:color="auto"/>
            </w:tcBorders>
            <w:shd w:val="clear" w:color="auto" w:fill="auto"/>
            <w:noWrap/>
            <w:vAlign w:val="bottom"/>
            <w:hideMark/>
          </w:tcPr>
          <w:p w14:paraId="29A4E252" w14:textId="55EA2C61"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70.5</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(19.3)</w:t>
            </w:r>
          </w:p>
        </w:tc>
        <w:tc>
          <w:tcPr>
            <w:tcW w:w="1554" w:type="dxa"/>
            <w:tcBorders>
              <w:top w:val="nil"/>
              <w:left w:val="nil"/>
              <w:bottom w:val="single" w:sz="4" w:space="0" w:color="auto"/>
              <w:right w:val="single" w:sz="4" w:space="0" w:color="auto"/>
            </w:tcBorders>
            <w:shd w:val="clear" w:color="auto" w:fill="auto"/>
            <w:noWrap/>
            <w:vAlign w:val="bottom"/>
            <w:hideMark/>
          </w:tcPr>
          <w:p w14:paraId="358B3D1B" w14:textId="3906D36F"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65</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(23)</w:t>
            </w:r>
          </w:p>
        </w:tc>
        <w:tc>
          <w:tcPr>
            <w:tcW w:w="1554" w:type="dxa"/>
            <w:tcBorders>
              <w:top w:val="nil"/>
              <w:left w:val="nil"/>
              <w:bottom w:val="single" w:sz="4" w:space="0" w:color="auto"/>
              <w:right w:val="single" w:sz="4" w:space="0" w:color="auto"/>
            </w:tcBorders>
            <w:shd w:val="clear" w:color="auto" w:fill="auto"/>
            <w:noWrap/>
            <w:vAlign w:val="bottom"/>
            <w:hideMark/>
          </w:tcPr>
          <w:p w14:paraId="39B3FC11"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0.17</w:t>
            </w:r>
          </w:p>
        </w:tc>
      </w:tr>
      <w:tr w:rsidR="00142582" w:rsidRPr="00142582" w14:paraId="4273304D"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6AA80653"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val="en-US" w:eastAsia="en-GB"/>
              </w:rPr>
              <w:t>Sex (M/F)</w:t>
            </w:r>
          </w:p>
        </w:tc>
        <w:tc>
          <w:tcPr>
            <w:tcW w:w="1554" w:type="dxa"/>
            <w:tcBorders>
              <w:top w:val="nil"/>
              <w:left w:val="nil"/>
              <w:bottom w:val="single" w:sz="4" w:space="0" w:color="auto"/>
              <w:right w:val="single" w:sz="4" w:space="0" w:color="auto"/>
            </w:tcBorders>
            <w:shd w:val="clear" w:color="auto" w:fill="auto"/>
            <w:noWrap/>
            <w:vAlign w:val="bottom"/>
            <w:hideMark/>
          </w:tcPr>
          <w:p w14:paraId="4B07828E"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xml:space="preserve">  3/16</w:t>
            </w:r>
          </w:p>
        </w:tc>
        <w:tc>
          <w:tcPr>
            <w:tcW w:w="1554" w:type="dxa"/>
            <w:tcBorders>
              <w:top w:val="nil"/>
              <w:left w:val="nil"/>
              <w:bottom w:val="single" w:sz="4" w:space="0" w:color="auto"/>
              <w:right w:val="single" w:sz="4" w:space="0" w:color="auto"/>
            </w:tcBorders>
            <w:shd w:val="clear" w:color="auto" w:fill="auto"/>
            <w:noWrap/>
            <w:vAlign w:val="bottom"/>
            <w:hideMark/>
          </w:tcPr>
          <w:p w14:paraId="7A286AB5"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xml:space="preserve"> 5/8</w:t>
            </w:r>
          </w:p>
        </w:tc>
        <w:tc>
          <w:tcPr>
            <w:tcW w:w="1554" w:type="dxa"/>
            <w:tcBorders>
              <w:top w:val="nil"/>
              <w:left w:val="nil"/>
              <w:bottom w:val="single" w:sz="4" w:space="0" w:color="auto"/>
              <w:right w:val="single" w:sz="4" w:space="0" w:color="auto"/>
            </w:tcBorders>
            <w:shd w:val="clear" w:color="auto" w:fill="auto"/>
            <w:noWrap/>
            <w:vAlign w:val="bottom"/>
            <w:hideMark/>
          </w:tcPr>
          <w:p w14:paraId="7B929BE2"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0.04</w:t>
            </w:r>
          </w:p>
        </w:tc>
      </w:tr>
      <w:tr w:rsidR="00142582" w:rsidRPr="00142582" w14:paraId="66E179D7"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5810D5E9"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Disease duration since onset, months</w:t>
            </w:r>
          </w:p>
        </w:tc>
        <w:tc>
          <w:tcPr>
            <w:tcW w:w="1554" w:type="dxa"/>
            <w:tcBorders>
              <w:top w:val="nil"/>
              <w:left w:val="nil"/>
              <w:bottom w:val="single" w:sz="4" w:space="0" w:color="auto"/>
              <w:right w:val="single" w:sz="4" w:space="0" w:color="auto"/>
            </w:tcBorders>
            <w:shd w:val="clear" w:color="auto" w:fill="auto"/>
            <w:noWrap/>
            <w:vAlign w:val="bottom"/>
            <w:hideMark/>
          </w:tcPr>
          <w:p w14:paraId="18EB209E" w14:textId="2EBE6A83"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18</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(14)</w:t>
            </w:r>
          </w:p>
        </w:tc>
        <w:tc>
          <w:tcPr>
            <w:tcW w:w="1554" w:type="dxa"/>
            <w:tcBorders>
              <w:top w:val="nil"/>
              <w:left w:val="nil"/>
              <w:bottom w:val="single" w:sz="4" w:space="0" w:color="auto"/>
              <w:right w:val="single" w:sz="4" w:space="0" w:color="auto"/>
            </w:tcBorders>
            <w:shd w:val="clear" w:color="auto" w:fill="auto"/>
            <w:noWrap/>
            <w:vAlign w:val="bottom"/>
            <w:hideMark/>
          </w:tcPr>
          <w:p w14:paraId="0F4F0021" w14:textId="5A08FD34"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29</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(39)</w:t>
            </w:r>
          </w:p>
        </w:tc>
        <w:tc>
          <w:tcPr>
            <w:tcW w:w="1554" w:type="dxa"/>
            <w:tcBorders>
              <w:top w:val="nil"/>
              <w:left w:val="nil"/>
              <w:bottom w:val="single" w:sz="4" w:space="0" w:color="auto"/>
              <w:right w:val="single" w:sz="4" w:space="0" w:color="auto"/>
            </w:tcBorders>
            <w:shd w:val="clear" w:color="auto" w:fill="auto"/>
            <w:noWrap/>
            <w:vAlign w:val="bottom"/>
            <w:hideMark/>
          </w:tcPr>
          <w:p w14:paraId="64C4A457"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0.004</w:t>
            </w:r>
          </w:p>
        </w:tc>
      </w:tr>
      <w:tr w:rsidR="00142582" w:rsidRPr="00142582" w14:paraId="4C5A0871"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30C1DF2"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ALSFRS-R score</w:t>
            </w:r>
          </w:p>
        </w:tc>
        <w:tc>
          <w:tcPr>
            <w:tcW w:w="1554" w:type="dxa"/>
            <w:tcBorders>
              <w:top w:val="nil"/>
              <w:left w:val="nil"/>
              <w:bottom w:val="single" w:sz="4" w:space="0" w:color="auto"/>
              <w:right w:val="single" w:sz="4" w:space="0" w:color="auto"/>
            </w:tcBorders>
            <w:shd w:val="clear" w:color="auto" w:fill="auto"/>
            <w:noWrap/>
            <w:vAlign w:val="bottom"/>
            <w:hideMark/>
          </w:tcPr>
          <w:p w14:paraId="32E5BBE2" w14:textId="1A3C8092"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30</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(15)</w:t>
            </w:r>
          </w:p>
        </w:tc>
        <w:tc>
          <w:tcPr>
            <w:tcW w:w="1554" w:type="dxa"/>
            <w:tcBorders>
              <w:top w:val="nil"/>
              <w:left w:val="nil"/>
              <w:bottom w:val="single" w:sz="4" w:space="0" w:color="auto"/>
              <w:right w:val="single" w:sz="4" w:space="0" w:color="auto"/>
            </w:tcBorders>
            <w:shd w:val="clear" w:color="auto" w:fill="auto"/>
            <w:noWrap/>
            <w:vAlign w:val="bottom"/>
            <w:hideMark/>
          </w:tcPr>
          <w:p w14:paraId="3265A764" w14:textId="25E69706"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27</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(18)</w:t>
            </w:r>
          </w:p>
        </w:tc>
        <w:tc>
          <w:tcPr>
            <w:tcW w:w="1554" w:type="dxa"/>
            <w:tcBorders>
              <w:top w:val="nil"/>
              <w:left w:val="nil"/>
              <w:bottom w:val="single" w:sz="4" w:space="0" w:color="auto"/>
              <w:right w:val="single" w:sz="4" w:space="0" w:color="auto"/>
            </w:tcBorders>
            <w:shd w:val="clear" w:color="auto" w:fill="auto"/>
            <w:noWrap/>
            <w:vAlign w:val="bottom"/>
            <w:hideMark/>
          </w:tcPr>
          <w:p w14:paraId="00D37C73"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0.50</w:t>
            </w:r>
          </w:p>
        </w:tc>
      </w:tr>
      <w:tr w:rsidR="00142582" w:rsidRPr="00142582" w14:paraId="27453ABD"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3502A787"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FVC (%)</w:t>
            </w:r>
          </w:p>
        </w:tc>
        <w:tc>
          <w:tcPr>
            <w:tcW w:w="1554" w:type="dxa"/>
            <w:tcBorders>
              <w:top w:val="nil"/>
              <w:left w:val="nil"/>
              <w:bottom w:val="single" w:sz="4" w:space="0" w:color="auto"/>
              <w:right w:val="single" w:sz="4" w:space="0" w:color="auto"/>
            </w:tcBorders>
            <w:shd w:val="clear" w:color="auto" w:fill="auto"/>
            <w:noWrap/>
            <w:vAlign w:val="bottom"/>
            <w:hideMark/>
          </w:tcPr>
          <w:p w14:paraId="41E1A821" w14:textId="13B56F7D"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70</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(52)</w:t>
            </w:r>
          </w:p>
        </w:tc>
        <w:tc>
          <w:tcPr>
            <w:tcW w:w="1554" w:type="dxa"/>
            <w:tcBorders>
              <w:top w:val="nil"/>
              <w:left w:val="nil"/>
              <w:bottom w:val="single" w:sz="4" w:space="0" w:color="auto"/>
              <w:right w:val="single" w:sz="4" w:space="0" w:color="auto"/>
            </w:tcBorders>
            <w:shd w:val="clear" w:color="auto" w:fill="auto"/>
            <w:noWrap/>
            <w:vAlign w:val="bottom"/>
            <w:hideMark/>
          </w:tcPr>
          <w:p w14:paraId="08FBDBC6" w14:textId="3282D79E"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81</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(77)</w:t>
            </w:r>
          </w:p>
        </w:tc>
        <w:tc>
          <w:tcPr>
            <w:tcW w:w="1554" w:type="dxa"/>
            <w:tcBorders>
              <w:top w:val="nil"/>
              <w:left w:val="nil"/>
              <w:bottom w:val="single" w:sz="4" w:space="0" w:color="auto"/>
              <w:right w:val="single" w:sz="4" w:space="0" w:color="auto"/>
            </w:tcBorders>
            <w:shd w:val="clear" w:color="auto" w:fill="auto"/>
            <w:noWrap/>
            <w:vAlign w:val="bottom"/>
            <w:hideMark/>
          </w:tcPr>
          <w:p w14:paraId="412AEFFB"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0.23</w:t>
            </w:r>
          </w:p>
        </w:tc>
      </w:tr>
      <w:tr w:rsidR="00142582" w:rsidRPr="00142582" w14:paraId="3F7493A5"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5EB343C"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BMI (Kg/m2)</w:t>
            </w:r>
          </w:p>
        </w:tc>
        <w:tc>
          <w:tcPr>
            <w:tcW w:w="1554" w:type="dxa"/>
            <w:tcBorders>
              <w:top w:val="nil"/>
              <w:left w:val="nil"/>
              <w:bottom w:val="single" w:sz="4" w:space="0" w:color="auto"/>
              <w:right w:val="single" w:sz="4" w:space="0" w:color="auto"/>
            </w:tcBorders>
            <w:shd w:val="clear" w:color="auto" w:fill="auto"/>
            <w:noWrap/>
            <w:vAlign w:val="bottom"/>
            <w:hideMark/>
          </w:tcPr>
          <w:p w14:paraId="4B3FB7E4" w14:textId="78989BEF"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22.1</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(4.6)</w:t>
            </w:r>
          </w:p>
        </w:tc>
        <w:tc>
          <w:tcPr>
            <w:tcW w:w="1554" w:type="dxa"/>
            <w:tcBorders>
              <w:top w:val="nil"/>
              <w:left w:val="nil"/>
              <w:bottom w:val="single" w:sz="4" w:space="0" w:color="auto"/>
              <w:right w:val="single" w:sz="4" w:space="0" w:color="auto"/>
            </w:tcBorders>
            <w:shd w:val="clear" w:color="auto" w:fill="auto"/>
            <w:noWrap/>
            <w:vAlign w:val="bottom"/>
            <w:hideMark/>
          </w:tcPr>
          <w:p w14:paraId="667E745A" w14:textId="11A30A4D"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23.7</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(5.4)</w:t>
            </w:r>
          </w:p>
        </w:tc>
        <w:tc>
          <w:tcPr>
            <w:tcW w:w="1554" w:type="dxa"/>
            <w:tcBorders>
              <w:top w:val="nil"/>
              <w:left w:val="nil"/>
              <w:bottom w:val="single" w:sz="4" w:space="0" w:color="auto"/>
              <w:right w:val="single" w:sz="4" w:space="0" w:color="auto"/>
            </w:tcBorders>
            <w:shd w:val="clear" w:color="auto" w:fill="auto"/>
            <w:noWrap/>
            <w:vAlign w:val="bottom"/>
            <w:hideMark/>
          </w:tcPr>
          <w:p w14:paraId="1C428853"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0.14</w:t>
            </w:r>
          </w:p>
        </w:tc>
      </w:tr>
      <w:tr w:rsidR="00142582" w:rsidRPr="00142582" w14:paraId="3DF76C0C"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6510352"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of patients with loss of appetite</w:t>
            </w:r>
          </w:p>
        </w:tc>
        <w:tc>
          <w:tcPr>
            <w:tcW w:w="1554" w:type="dxa"/>
            <w:tcBorders>
              <w:top w:val="nil"/>
              <w:left w:val="nil"/>
              <w:bottom w:val="single" w:sz="4" w:space="0" w:color="auto"/>
              <w:right w:val="single" w:sz="4" w:space="0" w:color="auto"/>
            </w:tcBorders>
            <w:shd w:val="clear" w:color="auto" w:fill="auto"/>
            <w:noWrap/>
            <w:vAlign w:val="bottom"/>
            <w:hideMark/>
          </w:tcPr>
          <w:p w14:paraId="1CF94D96"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61.5%</w:t>
            </w:r>
          </w:p>
        </w:tc>
        <w:tc>
          <w:tcPr>
            <w:tcW w:w="1554" w:type="dxa"/>
            <w:tcBorders>
              <w:top w:val="nil"/>
              <w:left w:val="nil"/>
              <w:bottom w:val="single" w:sz="4" w:space="0" w:color="auto"/>
              <w:right w:val="single" w:sz="4" w:space="0" w:color="auto"/>
            </w:tcBorders>
            <w:shd w:val="clear" w:color="auto" w:fill="auto"/>
            <w:noWrap/>
            <w:vAlign w:val="bottom"/>
            <w:hideMark/>
          </w:tcPr>
          <w:p w14:paraId="23224371"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38.5%</w:t>
            </w:r>
          </w:p>
        </w:tc>
        <w:tc>
          <w:tcPr>
            <w:tcW w:w="1554" w:type="dxa"/>
            <w:tcBorders>
              <w:top w:val="nil"/>
              <w:left w:val="nil"/>
              <w:bottom w:val="single" w:sz="4" w:space="0" w:color="auto"/>
              <w:right w:val="single" w:sz="4" w:space="0" w:color="auto"/>
            </w:tcBorders>
            <w:shd w:val="clear" w:color="auto" w:fill="auto"/>
            <w:noWrap/>
            <w:vAlign w:val="bottom"/>
            <w:hideMark/>
          </w:tcPr>
          <w:p w14:paraId="7482189E"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0.13</w:t>
            </w:r>
          </w:p>
        </w:tc>
      </w:tr>
      <w:tr w:rsidR="00142582" w:rsidRPr="00142582" w14:paraId="6BAC4DC4"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57F8CB92"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of patients with overeating</w:t>
            </w:r>
          </w:p>
        </w:tc>
        <w:tc>
          <w:tcPr>
            <w:tcW w:w="1554" w:type="dxa"/>
            <w:tcBorders>
              <w:top w:val="nil"/>
              <w:left w:val="nil"/>
              <w:bottom w:val="single" w:sz="4" w:space="0" w:color="auto"/>
              <w:right w:val="single" w:sz="4" w:space="0" w:color="auto"/>
            </w:tcBorders>
            <w:shd w:val="clear" w:color="auto" w:fill="auto"/>
            <w:noWrap/>
            <w:vAlign w:val="bottom"/>
            <w:hideMark/>
          </w:tcPr>
          <w:p w14:paraId="7EA67741"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30.8%</w:t>
            </w:r>
          </w:p>
        </w:tc>
        <w:tc>
          <w:tcPr>
            <w:tcW w:w="1554" w:type="dxa"/>
            <w:tcBorders>
              <w:top w:val="nil"/>
              <w:left w:val="nil"/>
              <w:bottom w:val="single" w:sz="4" w:space="0" w:color="auto"/>
              <w:right w:val="single" w:sz="4" w:space="0" w:color="auto"/>
            </w:tcBorders>
            <w:shd w:val="clear" w:color="auto" w:fill="auto"/>
            <w:noWrap/>
            <w:vAlign w:val="bottom"/>
            <w:hideMark/>
          </w:tcPr>
          <w:p w14:paraId="5339E2F0"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28.8%</w:t>
            </w:r>
          </w:p>
        </w:tc>
        <w:tc>
          <w:tcPr>
            <w:tcW w:w="1554" w:type="dxa"/>
            <w:tcBorders>
              <w:top w:val="nil"/>
              <w:left w:val="nil"/>
              <w:bottom w:val="single" w:sz="4" w:space="0" w:color="auto"/>
              <w:right w:val="single" w:sz="4" w:space="0" w:color="auto"/>
            </w:tcBorders>
            <w:shd w:val="clear" w:color="auto" w:fill="auto"/>
            <w:noWrap/>
            <w:vAlign w:val="bottom"/>
            <w:hideMark/>
          </w:tcPr>
          <w:p w14:paraId="6EC3E16F"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0.89</w:t>
            </w:r>
          </w:p>
        </w:tc>
      </w:tr>
      <w:tr w:rsidR="00142582" w:rsidRPr="00142582" w14:paraId="60C156EA"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4C304E84"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King's stage I</w:t>
            </w:r>
          </w:p>
        </w:tc>
        <w:tc>
          <w:tcPr>
            <w:tcW w:w="1554" w:type="dxa"/>
            <w:tcBorders>
              <w:top w:val="nil"/>
              <w:left w:val="nil"/>
              <w:bottom w:val="single" w:sz="4" w:space="0" w:color="auto"/>
              <w:right w:val="single" w:sz="4" w:space="0" w:color="auto"/>
            </w:tcBorders>
            <w:shd w:val="clear" w:color="auto" w:fill="auto"/>
            <w:noWrap/>
            <w:vAlign w:val="bottom"/>
            <w:hideMark/>
          </w:tcPr>
          <w:p w14:paraId="7440F099"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7.7%</w:t>
            </w:r>
          </w:p>
        </w:tc>
        <w:tc>
          <w:tcPr>
            <w:tcW w:w="1554" w:type="dxa"/>
            <w:tcBorders>
              <w:top w:val="nil"/>
              <w:left w:val="nil"/>
              <w:bottom w:val="single" w:sz="4" w:space="0" w:color="auto"/>
              <w:right w:val="single" w:sz="4" w:space="0" w:color="auto"/>
            </w:tcBorders>
            <w:shd w:val="clear" w:color="auto" w:fill="auto"/>
            <w:noWrap/>
            <w:vAlign w:val="bottom"/>
            <w:hideMark/>
          </w:tcPr>
          <w:p w14:paraId="7A5B04D4"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15.4%</w:t>
            </w:r>
          </w:p>
        </w:tc>
        <w:tc>
          <w:tcPr>
            <w:tcW w:w="155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D544E9"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0.68</w:t>
            </w:r>
          </w:p>
        </w:tc>
      </w:tr>
      <w:tr w:rsidR="00142582" w:rsidRPr="00142582" w14:paraId="208FC37B"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43038A7"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King's stage II</w:t>
            </w:r>
          </w:p>
        </w:tc>
        <w:tc>
          <w:tcPr>
            <w:tcW w:w="1554" w:type="dxa"/>
            <w:tcBorders>
              <w:top w:val="nil"/>
              <w:left w:val="nil"/>
              <w:bottom w:val="single" w:sz="4" w:space="0" w:color="auto"/>
              <w:right w:val="single" w:sz="4" w:space="0" w:color="auto"/>
            </w:tcBorders>
            <w:shd w:val="clear" w:color="auto" w:fill="auto"/>
            <w:noWrap/>
            <w:vAlign w:val="bottom"/>
            <w:hideMark/>
          </w:tcPr>
          <w:p w14:paraId="78FA6337"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23.1%</w:t>
            </w:r>
          </w:p>
        </w:tc>
        <w:tc>
          <w:tcPr>
            <w:tcW w:w="1554" w:type="dxa"/>
            <w:tcBorders>
              <w:top w:val="nil"/>
              <w:left w:val="nil"/>
              <w:bottom w:val="single" w:sz="4" w:space="0" w:color="auto"/>
              <w:right w:val="single" w:sz="4" w:space="0" w:color="auto"/>
            </w:tcBorders>
            <w:shd w:val="clear" w:color="auto" w:fill="auto"/>
            <w:noWrap/>
            <w:vAlign w:val="bottom"/>
            <w:hideMark/>
          </w:tcPr>
          <w:p w14:paraId="38BD1B42"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25%</w:t>
            </w:r>
          </w:p>
        </w:tc>
        <w:tc>
          <w:tcPr>
            <w:tcW w:w="1554" w:type="dxa"/>
            <w:vMerge/>
            <w:tcBorders>
              <w:top w:val="nil"/>
              <w:left w:val="single" w:sz="4" w:space="0" w:color="auto"/>
              <w:bottom w:val="single" w:sz="4" w:space="0" w:color="000000"/>
              <w:right w:val="single" w:sz="4" w:space="0" w:color="auto"/>
            </w:tcBorders>
            <w:vAlign w:val="center"/>
            <w:hideMark/>
          </w:tcPr>
          <w:p w14:paraId="49CB8A91"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p>
        </w:tc>
      </w:tr>
      <w:tr w:rsidR="00142582" w:rsidRPr="00142582" w14:paraId="0B441407"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464B0140"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King's stage III</w:t>
            </w:r>
          </w:p>
        </w:tc>
        <w:tc>
          <w:tcPr>
            <w:tcW w:w="1554" w:type="dxa"/>
            <w:tcBorders>
              <w:top w:val="nil"/>
              <w:left w:val="nil"/>
              <w:bottom w:val="single" w:sz="4" w:space="0" w:color="auto"/>
              <w:right w:val="single" w:sz="4" w:space="0" w:color="auto"/>
            </w:tcBorders>
            <w:shd w:val="clear" w:color="auto" w:fill="auto"/>
            <w:noWrap/>
            <w:vAlign w:val="bottom"/>
            <w:hideMark/>
          </w:tcPr>
          <w:p w14:paraId="467BDD99"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53.8%</w:t>
            </w:r>
          </w:p>
        </w:tc>
        <w:tc>
          <w:tcPr>
            <w:tcW w:w="1554" w:type="dxa"/>
            <w:tcBorders>
              <w:top w:val="nil"/>
              <w:left w:val="nil"/>
              <w:bottom w:val="single" w:sz="4" w:space="0" w:color="auto"/>
              <w:right w:val="single" w:sz="4" w:space="0" w:color="auto"/>
            </w:tcBorders>
            <w:shd w:val="clear" w:color="auto" w:fill="auto"/>
            <w:noWrap/>
            <w:vAlign w:val="bottom"/>
            <w:hideMark/>
          </w:tcPr>
          <w:p w14:paraId="18F11F42"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36.5%</w:t>
            </w:r>
          </w:p>
        </w:tc>
        <w:tc>
          <w:tcPr>
            <w:tcW w:w="1554" w:type="dxa"/>
            <w:vMerge/>
            <w:tcBorders>
              <w:top w:val="nil"/>
              <w:left w:val="single" w:sz="4" w:space="0" w:color="auto"/>
              <w:bottom w:val="single" w:sz="4" w:space="0" w:color="000000"/>
              <w:right w:val="single" w:sz="4" w:space="0" w:color="auto"/>
            </w:tcBorders>
            <w:vAlign w:val="center"/>
            <w:hideMark/>
          </w:tcPr>
          <w:p w14:paraId="7548F74C"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p>
        </w:tc>
      </w:tr>
      <w:tr w:rsidR="00142582" w:rsidRPr="00142582" w14:paraId="608B505A"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4DC0F5EF"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King's stage IV</w:t>
            </w:r>
          </w:p>
        </w:tc>
        <w:tc>
          <w:tcPr>
            <w:tcW w:w="1554" w:type="dxa"/>
            <w:tcBorders>
              <w:top w:val="nil"/>
              <w:left w:val="nil"/>
              <w:bottom w:val="single" w:sz="4" w:space="0" w:color="auto"/>
              <w:right w:val="single" w:sz="4" w:space="0" w:color="auto"/>
            </w:tcBorders>
            <w:shd w:val="clear" w:color="auto" w:fill="auto"/>
            <w:noWrap/>
            <w:vAlign w:val="bottom"/>
            <w:hideMark/>
          </w:tcPr>
          <w:p w14:paraId="7EA79DCC"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15.4%</w:t>
            </w:r>
          </w:p>
        </w:tc>
        <w:tc>
          <w:tcPr>
            <w:tcW w:w="1554" w:type="dxa"/>
            <w:tcBorders>
              <w:top w:val="nil"/>
              <w:left w:val="nil"/>
              <w:bottom w:val="single" w:sz="4" w:space="0" w:color="auto"/>
              <w:right w:val="single" w:sz="4" w:space="0" w:color="auto"/>
            </w:tcBorders>
            <w:shd w:val="clear" w:color="auto" w:fill="auto"/>
            <w:noWrap/>
            <w:vAlign w:val="bottom"/>
            <w:hideMark/>
          </w:tcPr>
          <w:p w14:paraId="7F5DA25A"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23.1%</w:t>
            </w:r>
          </w:p>
        </w:tc>
        <w:tc>
          <w:tcPr>
            <w:tcW w:w="1554" w:type="dxa"/>
            <w:vMerge/>
            <w:tcBorders>
              <w:top w:val="nil"/>
              <w:left w:val="single" w:sz="4" w:space="0" w:color="auto"/>
              <w:bottom w:val="single" w:sz="4" w:space="0" w:color="000000"/>
              <w:right w:val="single" w:sz="4" w:space="0" w:color="auto"/>
            </w:tcBorders>
            <w:vAlign w:val="center"/>
            <w:hideMark/>
          </w:tcPr>
          <w:p w14:paraId="462A51A7"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p>
        </w:tc>
      </w:tr>
      <w:tr w:rsidR="00142582" w:rsidRPr="00142582" w14:paraId="7AC81CCC"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5B9680FC"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MRC total score (max 130), higher is better</w:t>
            </w:r>
          </w:p>
        </w:tc>
        <w:tc>
          <w:tcPr>
            <w:tcW w:w="1554" w:type="dxa"/>
            <w:tcBorders>
              <w:top w:val="nil"/>
              <w:left w:val="nil"/>
              <w:bottom w:val="single" w:sz="4" w:space="0" w:color="auto"/>
              <w:right w:val="single" w:sz="4" w:space="0" w:color="auto"/>
            </w:tcBorders>
            <w:shd w:val="clear" w:color="auto" w:fill="auto"/>
            <w:noWrap/>
            <w:vAlign w:val="bottom"/>
            <w:hideMark/>
          </w:tcPr>
          <w:p w14:paraId="37DF19CA" w14:textId="5186043F"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113.5</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(31.5)</w:t>
            </w:r>
          </w:p>
        </w:tc>
        <w:tc>
          <w:tcPr>
            <w:tcW w:w="1554" w:type="dxa"/>
            <w:tcBorders>
              <w:top w:val="nil"/>
              <w:left w:val="nil"/>
              <w:bottom w:val="single" w:sz="4" w:space="0" w:color="auto"/>
              <w:right w:val="single" w:sz="4" w:space="0" w:color="auto"/>
            </w:tcBorders>
            <w:shd w:val="clear" w:color="auto" w:fill="auto"/>
            <w:noWrap/>
            <w:vAlign w:val="bottom"/>
            <w:hideMark/>
          </w:tcPr>
          <w:p w14:paraId="04ED36D9" w14:textId="3A6BB831"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84</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(56)</w:t>
            </w:r>
          </w:p>
        </w:tc>
        <w:tc>
          <w:tcPr>
            <w:tcW w:w="1554" w:type="dxa"/>
            <w:tcBorders>
              <w:top w:val="nil"/>
              <w:left w:val="nil"/>
              <w:bottom w:val="single" w:sz="4" w:space="0" w:color="auto"/>
              <w:right w:val="single" w:sz="4" w:space="0" w:color="auto"/>
            </w:tcBorders>
            <w:shd w:val="clear" w:color="auto" w:fill="auto"/>
            <w:noWrap/>
            <w:vAlign w:val="bottom"/>
            <w:hideMark/>
          </w:tcPr>
          <w:p w14:paraId="1B5DDBDB"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0.02</w:t>
            </w:r>
          </w:p>
        </w:tc>
      </w:tr>
      <w:tr w:rsidR="00142582" w:rsidRPr="00142582" w14:paraId="7879C168"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6A05BFCF"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PUMNS total score (max 32), lower is better</w:t>
            </w:r>
          </w:p>
        </w:tc>
        <w:tc>
          <w:tcPr>
            <w:tcW w:w="1554" w:type="dxa"/>
            <w:tcBorders>
              <w:top w:val="nil"/>
              <w:left w:val="nil"/>
              <w:bottom w:val="single" w:sz="4" w:space="0" w:color="auto"/>
              <w:right w:val="single" w:sz="4" w:space="0" w:color="auto"/>
            </w:tcBorders>
            <w:shd w:val="clear" w:color="auto" w:fill="auto"/>
            <w:noWrap/>
            <w:vAlign w:val="bottom"/>
            <w:hideMark/>
          </w:tcPr>
          <w:p w14:paraId="799C5238" w14:textId="1D5DB390"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16.5</w:t>
            </w:r>
            <w:r w:rsidR="002D3D66">
              <w:rPr>
                <w:rFonts w:ascii="Times New Roman" w:eastAsia="Times New Roman" w:hAnsi="Times New Roman" w:cs="Times New Roman"/>
                <w:color w:val="000000"/>
                <w:sz w:val="20"/>
                <w:szCs w:val="20"/>
                <w:lang w:eastAsia="en-GB"/>
              </w:rPr>
              <w:t xml:space="preserve"> </w:t>
            </w:r>
            <w:r w:rsidRPr="00142582">
              <w:rPr>
                <w:rFonts w:ascii="Times New Roman" w:eastAsia="Times New Roman" w:hAnsi="Times New Roman" w:cs="Times New Roman"/>
                <w:color w:val="000000"/>
                <w:sz w:val="20"/>
                <w:szCs w:val="20"/>
                <w:lang w:eastAsia="en-GB"/>
              </w:rPr>
              <w:t>(7.5)</w:t>
            </w:r>
          </w:p>
        </w:tc>
        <w:tc>
          <w:tcPr>
            <w:tcW w:w="1554" w:type="dxa"/>
            <w:tcBorders>
              <w:top w:val="nil"/>
              <w:left w:val="nil"/>
              <w:bottom w:val="single" w:sz="4" w:space="0" w:color="auto"/>
              <w:right w:val="single" w:sz="4" w:space="0" w:color="auto"/>
            </w:tcBorders>
            <w:shd w:val="clear" w:color="auto" w:fill="auto"/>
            <w:noWrap/>
            <w:vAlign w:val="bottom"/>
            <w:hideMark/>
          </w:tcPr>
          <w:p w14:paraId="7D0B2F5E"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14 (10)</w:t>
            </w:r>
          </w:p>
        </w:tc>
        <w:tc>
          <w:tcPr>
            <w:tcW w:w="1554" w:type="dxa"/>
            <w:tcBorders>
              <w:top w:val="nil"/>
              <w:left w:val="nil"/>
              <w:bottom w:val="single" w:sz="4" w:space="0" w:color="auto"/>
              <w:right w:val="single" w:sz="4" w:space="0" w:color="auto"/>
            </w:tcBorders>
            <w:shd w:val="clear" w:color="auto" w:fill="auto"/>
            <w:noWrap/>
            <w:vAlign w:val="bottom"/>
            <w:hideMark/>
          </w:tcPr>
          <w:p w14:paraId="31252142"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0.04</w:t>
            </w:r>
          </w:p>
        </w:tc>
      </w:tr>
      <w:tr w:rsidR="00142582" w:rsidRPr="00142582" w14:paraId="2E536E8F" w14:textId="77777777" w:rsidTr="00142582">
        <w:trPr>
          <w:trHeight w:val="31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71FDAA37"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xml:space="preserve">eCBome mediator </w:t>
            </w:r>
          </w:p>
        </w:tc>
        <w:tc>
          <w:tcPr>
            <w:tcW w:w="1554" w:type="dxa"/>
            <w:tcBorders>
              <w:top w:val="nil"/>
              <w:left w:val="nil"/>
              <w:bottom w:val="single" w:sz="4" w:space="0" w:color="auto"/>
              <w:right w:val="single" w:sz="4" w:space="0" w:color="auto"/>
            </w:tcBorders>
            <w:shd w:val="clear" w:color="auto" w:fill="auto"/>
            <w:noWrap/>
            <w:vAlign w:val="bottom"/>
            <w:hideMark/>
          </w:tcPr>
          <w:p w14:paraId="2B77EE80"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w:t>
            </w:r>
          </w:p>
        </w:tc>
        <w:tc>
          <w:tcPr>
            <w:tcW w:w="1554" w:type="dxa"/>
            <w:tcBorders>
              <w:top w:val="nil"/>
              <w:left w:val="nil"/>
              <w:bottom w:val="single" w:sz="4" w:space="0" w:color="auto"/>
              <w:right w:val="single" w:sz="4" w:space="0" w:color="auto"/>
            </w:tcBorders>
            <w:shd w:val="clear" w:color="auto" w:fill="auto"/>
            <w:noWrap/>
            <w:vAlign w:val="bottom"/>
            <w:hideMark/>
          </w:tcPr>
          <w:p w14:paraId="33057B58" w14:textId="77777777" w:rsidR="00142582" w:rsidRPr="00142582" w:rsidRDefault="00142582" w:rsidP="00142582">
            <w:pPr>
              <w:spacing w:after="0" w:line="240" w:lineRule="auto"/>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w:t>
            </w:r>
          </w:p>
        </w:tc>
        <w:tc>
          <w:tcPr>
            <w:tcW w:w="1554" w:type="dxa"/>
            <w:tcBorders>
              <w:top w:val="nil"/>
              <w:left w:val="nil"/>
              <w:bottom w:val="single" w:sz="4" w:space="0" w:color="auto"/>
              <w:right w:val="single" w:sz="4" w:space="0" w:color="auto"/>
            </w:tcBorders>
            <w:shd w:val="clear" w:color="auto" w:fill="auto"/>
            <w:noWrap/>
            <w:vAlign w:val="bottom"/>
            <w:hideMark/>
          </w:tcPr>
          <w:p w14:paraId="7459A673"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 </w:t>
            </w:r>
          </w:p>
        </w:tc>
      </w:tr>
      <w:tr w:rsidR="00142582" w:rsidRPr="00142582" w14:paraId="220E35FD" w14:textId="77777777" w:rsidTr="00142582">
        <w:trPr>
          <w:trHeight w:val="31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51C52343"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AEA (pmol/mg)</w:t>
            </w:r>
          </w:p>
        </w:tc>
        <w:tc>
          <w:tcPr>
            <w:tcW w:w="1554" w:type="dxa"/>
            <w:tcBorders>
              <w:top w:val="nil"/>
              <w:left w:val="nil"/>
              <w:bottom w:val="single" w:sz="4" w:space="0" w:color="auto"/>
              <w:right w:val="single" w:sz="4" w:space="0" w:color="auto"/>
            </w:tcBorders>
            <w:shd w:val="clear" w:color="auto" w:fill="auto"/>
            <w:noWrap/>
            <w:vAlign w:val="bottom"/>
            <w:hideMark/>
          </w:tcPr>
          <w:p w14:paraId="12E6ADD7"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0.40 (0.12)</w:t>
            </w:r>
          </w:p>
        </w:tc>
        <w:tc>
          <w:tcPr>
            <w:tcW w:w="1554" w:type="dxa"/>
            <w:tcBorders>
              <w:top w:val="nil"/>
              <w:left w:val="nil"/>
              <w:bottom w:val="single" w:sz="4" w:space="0" w:color="auto"/>
              <w:right w:val="single" w:sz="4" w:space="0" w:color="auto"/>
            </w:tcBorders>
            <w:shd w:val="clear" w:color="auto" w:fill="auto"/>
            <w:noWrap/>
            <w:vAlign w:val="bottom"/>
            <w:hideMark/>
          </w:tcPr>
          <w:p w14:paraId="36A7C52E"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0.47 (0.29)</w:t>
            </w:r>
          </w:p>
        </w:tc>
        <w:tc>
          <w:tcPr>
            <w:tcW w:w="1554" w:type="dxa"/>
            <w:tcBorders>
              <w:top w:val="nil"/>
              <w:left w:val="nil"/>
              <w:bottom w:val="single" w:sz="4" w:space="0" w:color="auto"/>
              <w:right w:val="single" w:sz="4" w:space="0" w:color="auto"/>
            </w:tcBorders>
            <w:shd w:val="clear" w:color="auto" w:fill="auto"/>
            <w:noWrap/>
            <w:vAlign w:val="bottom"/>
            <w:hideMark/>
          </w:tcPr>
          <w:p w14:paraId="5D4458C4"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0.62</w:t>
            </w:r>
          </w:p>
        </w:tc>
      </w:tr>
      <w:tr w:rsidR="00142582" w:rsidRPr="00142582" w14:paraId="1B5AB004" w14:textId="77777777" w:rsidTr="00142582">
        <w:trPr>
          <w:trHeight w:val="31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1639FC23"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2-AG (pmol/mg)</w:t>
            </w:r>
          </w:p>
        </w:tc>
        <w:tc>
          <w:tcPr>
            <w:tcW w:w="1554" w:type="dxa"/>
            <w:tcBorders>
              <w:top w:val="nil"/>
              <w:left w:val="nil"/>
              <w:bottom w:val="single" w:sz="4" w:space="0" w:color="auto"/>
              <w:right w:val="single" w:sz="4" w:space="0" w:color="auto"/>
            </w:tcBorders>
            <w:shd w:val="clear" w:color="auto" w:fill="auto"/>
            <w:noWrap/>
            <w:vAlign w:val="bottom"/>
            <w:hideMark/>
          </w:tcPr>
          <w:p w14:paraId="498A7A4B"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68.54 (38.02)</w:t>
            </w:r>
          </w:p>
        </w:tc>
        <w:tc>
          <w:tcPr>
            <w:tcW w:w="1554" w:type="dxa"/>
            <w:tcBorders>
              <w:top w:val="nil"/>
              <w:left w:val="nil"/>
              <w:bottom w:val="single" w:sz="4" w:space="0" w:color="auto"/>
              <w:right w:val="single" w:sz="4" w:space="0" w:color="auto"/>
            </w:tcBorders>
            <w:shd w:val="clear" w:color="auto" w:fill="auto"/>
            <w:noWrap/>
            <w:vAlign w:val="bottom"/>
            <w:hideMark/>
          </w:tcPr>
          <w:p w14:paraId="60827632"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93.22 (42.77)</w:t>
            </w:r>
          </w:p>
        </w:tc>
        <w:tc>
          <w:tcPr>
            <w:tcW w:w="1554" w:type="dxa"/>
            <w:tcBorders>
              <w:top w:val="nil"/>
              <w:left w:val="nil"/>
              <w:bottom w:val="single" w:sz="4" w:space="0" w:color="auto"/>
              <w:right w:val="single" w:sz="4" w:space="0" w:color="auto"/>
            </w:tcBorders>
            <w:shd w:val="clear" w:color="auto" w:fill="auto"/>
            <w:noWrap/>
            <w:vAlign w:val="bottom"/>
            <w:hideMark/>
          </w:tcPr>
          <w:p w14:paraId="07FD4C09" w14:textId="77777777" w:rsidR="00142582" w:rsidRPr="00142582" w:rsidRDefault="00142582" w:rsidP="00142582">
            <w:pPr>
              <w:spacing w:after="0" w:line="240" w:lineRule="auto"/>
              <w:jc w:val="center"/>
              <w:rPr>
                <w:rFonts w:ascii="Times New Roman" w:eastAsia="Times New Roman" w:hAnsi="Times New Roman" w:cs="Times New Roman"/>
                <w:b/>
                <w:bCs/>
                <w:color w:val="000000"/>
                <w:sz w:val="20"/>
                <w:szCs w:val="20"/>
                <w:lang w:eastAsia="en-GB"/>
              </w:rPr>
            </w:pPr>
            <w:r w:rsidRPr="00142582">
              <w:rPr>
                <w:rFonts w:ascii="Times New Roman" w:eastAsia="Times New Roman" w:hAnsi="Times New Roman" w:cs="Times New Roman"/>
                <w:b/>
                <w:bCs/>
                <w:color w:val="000000"/>
                <w:sz w:val="20"/>
                <w:szCs w:val="20"/>
                <w:lang w:eastAsia="en-GB"/>
              </w:rPr>
              <w:t>0.01</w:t>
            </w:r>
          </w:p>
        </w:tc>
      </w:tr>
      <w:tr w:rsidR="00142582" w:rsidRPr="00142582" w14:paraId="658107F0" w14:textId="77777777" w:rsidTr="00142582">
        <w:trPr>
          <w:trHeight w:val="31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011F4C85"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PEA (pmol/mg)</w:t>
            </w:r>
          </w:p>
        </w:tc>
        <w:tc>
          <w:tcPr>
            <w:tcW w:w="1554" w:type="dxa"/>
            <w:tcBorders>
              <w:top w:val="nil"/>
              <w:left w:val="nil"/>
              <w:bottom w:val="single" w:sz="4" w:space="0" w:color="auto"/>
              <w:right w:val="single" w:sz="4" w:space="0" w:color="auto"/>
            </w:tcBorders>
            <w:shd w:val="clear" w:color="auto" w:fill="auto"/>
            <w:noWrap/>
            <w:vAlign w:val="bottom"/>
            <w:hideMark/>
          </w:tcPr>
          <w:p w14:paraId="28C72D3C"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1.09 (1.72)</w:t>
            </w:r>
          </w:p>
        </w:tc>
        <w:tc>
          <w:tcPr>
            <w:tcW w:w="1554" w:type="dxa"/>
            <w:tcBorders>
              <w:top w:val="nil"/>
              <w:left w:val="nil"/>
              <w:bottom w:val="single" w:sz="4" w:space="0" w:color="auto"/>
              <w:right w:val="single" w:sz="4" w:space="0" w:color="auto"/>
            </w:tcBorders>
            <w:shd w:val="clear" w:color="auto" w:fill="auto"/>
            <w:noWrap/>
            <w:vAlign w:val="bottom"/>
            <w:hideMark/>
          </w:tcPr>
          <w:p w14:paraId="7C1F22FF"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1.13 (0.62)</w:t>
            </w:r>
          </w:p>
        </w:tc>
        <w:tc>
          <w:tcPr>
            <w:tcW w:w="1554" w:type="dxa"/>
            <w:tcBorders>
              <w:top w:val="nil"/>
              <w:left w:val="nil"/>
              <w:bottom w:val="single" w:sz="4" w:space="0" w:color="auto"/>
              <w:right w:val="single" w:sz="4" w:space="0" w:color="auto"/>
            </w:tcBorders>
            <w:shd w:val="clear" w:color="auto" w:fill="auto"/>
            <w:noWrap/>
            <w:vAlign w:val="bottom"/>
            <w:hideMark/>
          </w:tcPr>
          <w:p w14:paraId="518E91ED"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0.79</w:t>
            </w:r>
          </w:p>
        </w:tc>
      </w:tr>
      <w:tr w:rsidR="00142582" w:rsidRPr="00142582" w14:paraId="2900E0F0" w14:textId="77777777" w:rsidTr="00142582">
        <w:trPr>
          <w:trHeight w:val="31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21A7009"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OEA (pmol/mg)</w:t>
            </w:r>
          </w:p>
        </w:tc>
        <w:tc>
          <w:tcPr>
            <w:tcW w:w="1554" w:type="dxa"/>
            <w:tcBorders>
              <w:top w:val="nil"/>
              <w:left w:val="nil"/>
              <w:bottom w:val="single" w:sz="4" w:space="0" w:color="auto"/>
              <w:right w:val="single" w:sz="4" w:space="0" w:color="auto"/>
            </w:tcBorders>
            <w:shd w:val="clear" w:color="auto" w:fill="auto"/>
            <w:noWrap/>
            <w:vAlign w:val="bottom"/>
            <w:hideMark/>
          </w:tcPr>
          <w:p w14:paraId="6B48C7AF"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1.3 (2.34)</w:t>
            </w:r>
          </w:p>
        </w:tc>
        <w:tc>
          <w:tcPr>
            <w:tcW w:w="1554" w:type="dxa"/>
            <w:tcBorders>
              <w:top w:val="nil"/>
              <w:left w:val="nil"/>
              <w:bottom w:val="single" w:sz="4" w:space="0" w:color="auto"/>
              <w:right w:val="single" w:sz="4" w:space="0" w:color="auto"/>
            </w:tcBorders>
            <w:shd w:val="clear" w:color="auto" w:fill="auto"/>
            <w:noWrap/>
            <w:vAlign w:val="bottom"/>
            <w:hideMark/>
          </w:tcPr>
          <w:p w14:paraId="62216A2D"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1.04 (1.24)</w:t>
            </w:r>
          </w:p>
        </w:tc>
        <w:tc>
          <w:tcPr>
            <w:tcW w:w="1554" w:type="dxa"/>
            <w:tcBorders>
              <w:top w:val="nil"/>
              <w:left w:val="nil"/>
              <w:bottom w:val="single" w:sz="4" w:space="0" w:color="auto"/>
              <w:right w:val="single" w:sz="4" w:space="0" w:color="auto"/>
            </w:tcBorders>
            <w:shd w:val="clear" w:color="auto" w:fill="auto"/>
            <w:noWrap/>
            <w:vAlign w:val="bottom"/>
            <w:hideMark/>
          </w:tcPr>
          <w:p w14:paraId="36F325E0"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0.41</w:t>
            </w:r>
          </w:p>
        </w:tc>
      </w:tr>
      <w:tr w:rsidR="00142582" w:rsidRPr="00142582" w14:paraId="6A6CAF07"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21C21382"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DHEA (pmol/mg)</w:t>
            </w:r>
          </w:p>
        </w:tc>
        <w:tc>
          <w:tcPr>
            <w:tcW w:w="1554" w:type="dxa"/>
            <w:tcBorders>
              <w:top w:val="nil"/>
              <w:left w:val="nil"/>
              <w:bottom w:val="single" w:sz="4" w:space="0" w:color="auto"/>
              <w:right w:val="single" w:sz="4" w:space="0" w:color="auto"/>
            </w:tcBorders>
            <w:shd w:val="clear" w:color="auto" w:fill="auto"/>
            <w:noWrap/>
            <w:vAlign w:val="bottom"/>
            <w:hideMark/>
          </w:tcPr>
          <w:p w14:paraId="2D731E2C"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4.62 (9.11)</w:t>
            </w:r>
          </w:p>
        </w:tc>
        <w:tc>
          <w:tcPr>
            <w:tcW w:w="1554" w:type="dxa"/>
            <w:tcBorders>
              <w:top w:val="nil"/>
              <w:left w:val="nil"/>
              <w:bottom w:val="single" w:sz="4" w:space="0" w:color="auto"/>
              <w:right w:val="single" w:sz="4" w:space="0" w:color="auto"/>
            </w:tcBorders>
            <w:shd w:val="clear" w:color="auto" w:fill="auto"/>
            <w:noWrap/>
            <w:vAlign w:val="bottom"/>
            <w:hideMark/>
          </w:tcPr>
          <w:p w14:paraId="34593D73"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1.39 (2.61)</w:t>
            </w:r>
          </w:p>
        </w:tc>
        <w:tc>
          <w:tcPr>
            <w:tcW w:w="1554" w:type="dxa"/>
            <w:tcBorders>
              <w:top w:val="nil"/>
              <w:left w:val="nil"/>
              <w:bottom w:val="single" w:sz="4" w:space="0" w:color="auto"/>
              <w:right w:val="single" w:sz="4" w:space="0" w:color="auto"/>
            </w:tcBorders>
            <w:shd w:val="clear" w:color="auto" w:fill="auto"/>
            <w:noWrap/>
            <w:vAlign w:val="bottom"/>
            <w:hideMark/>
          </w:tcPr>
          <w:p w14:paraId="5E9738D8"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0.28</w:t>
            </w:r>
          </w:p>
        </w:tc>
      </w:tr>
      <w:tr w:rsidR="00142582" w:rsidRPr="00142582" w14:paraId="3650B9C8"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66838358"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EPEA (pmol/mg)</w:t>
            </w:r>
          </w:p>
        </w:tc>
        <w:tc>
          <w:tcPr>
            <w:tcW w:w="1554" w:type="dxa"/>
            <w:tcBorders>
              <w:top w:val="nil"/>
              <w:left w:val="nil"/>
              <w:bottom w:val="single" w:sz="4" w:space="0" w:color="auto"/>
              <w:right w:val="single" w:sz="4" w:space="0" w:color="auto"/>
            </w:tcBorders>
            <w:shd w:val="clear" w:color="auto" w:fill="auto"/>
            <w:noWrap/>
            <w:vAlign w:val="bottom"/>
            <w:hideMark/>
          </w:tcPr>
          <w:p w14:paraId="5E52C512"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0.032 (0.03)</w:t>
            </w:r>
          </w:p>
        </w:tc>
        <w:tc>
          <w:tcPr>
            <w:tcW w:w="1554" w:type="dxa"/>
            <w:tcBorders>
              <w:top w:val="nil"/>
              <w:left w:val="nil"/>
              <w:bottom w:val="single" w:sz="4" w:space="0" w:color="auto"/>
              <w:right w:val="single" w:sz="4" w:space="0" w:color="auto"/>
            </w:tcBorders>
            <w:shd w:val="clear" w:color="auto" w:fill="auto"/>
            <w:noWrap/>
            <w:vAlign w:val="bottom"/>
            <w:hideMark/>
          </w:tcPr>
          <w:p w14:paraId="285F3847"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0.039 (0.03)</w:t>
            </w:r>
          </w:p>
        </w:tc>
        <w:tc>
          <w:tcPr>
            <w:tcW w:w="1554" w:type="dxa"/>
            <w:tcBorders>
              <w:top w:val="nil"/>
              <w:left w:val="nil"/>
              <w:bottom w:val="single" w:sz="4" w:space="0" w:color="auto"/>
              <w:right w:val="single" w:sz="4" w:space="0" w:color="auto"/>
            </w:tcBorders>
            <w:shd w:val="clear" w:color="auto" w:fill="auto"/>
            <w:noWrap/>
            <w:vAlign w:val="bottom"/>
            <w:hideMark/>
          </w:tcPr>
          <w:p w14:paraId="67FED57B"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0.25</w:t>
            </w:r>
          </w:p>
        </w:tc>
      </w:tr>
      <w:tr w:rsidR="00142582" w:rsidRPr="00142582" w14:paraId="004A04C3" w14:textId="77777777" w:rsidTr="00142582">
        <w:trPr>
          <w:trHeight w:val="290"/>
        </w:trPr>
        <w:tc>
          <w:tcPr>
            <w:tcW w:w="3980" w:type="dxa"/>
            <w:tcBorders>
              <w:top w:val="nil"/>
              <w:left w:val="single" w:sz="4" w:space="0" w:color="auto"/>
              <w:bottom w:val="single" w:sz="4" w:space="0" w:color="auto"/>
              <w:right w:val="single" w:sz="4" w:space="0" w:color="auto"/>
            </w:tcBorders>
            <w:shd w:val="clear" w:color="auto" w:fill="auto"/>
            <w:noWrap/>
            <w:vAlign w:val="bottom"/>
            <w:hideMark/>
          </w:tcPr>
          <w:p w14:paraId="51F40F49" w14:textId="77777777" w:rsidR="00142582" w:rsidRPr="00142582" w:rsidRDefault="00142582" w:rsidP="00142582">
            <w:pPr>
              <w:spacing w:after="0" w:line="240" w:lineRule="auto"/>
              <w:ind w:firstLineChars="200" w:firstLine="400"/>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2-DHG (pmol/mg)</w:t>
            </w:r>
          </w:p>
        </w:tc>
        <w:tc>
          <w:tcPr>
            <w:tcW w:w="1554" w:type="dxa"/>
            <w:tcBorders>
              <w:top w:val="nil"/>
              <w:left w:val="nil"/>
              <w:bottom w:val="single" w:sz="4" w:space="0" w:color="auto"/>
              <w:right w:val="single" w:sz="4" w:space="0" w:color="auto"/>
            </w:tcBorders>
            <w:shd w:val="clear" w:color="auto" w:fill="auto"/>
            <w:noWrap/>
            <w:vAlign w:val="bottom"/>
            <w:hideMark/>
          </w:tcPr>
          <w:p w14:paraId="1AFB575C"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178.5 (450.7)</w:t>
            </w:r>
          </w:p>
        </w:tc>
        <w:tc>
          <w:tcPr>
            <w:tcW w:w="1554" w:type="dxa"/>
            <w:tcBorders>
              <w:top w:val="nil"/>
              <w:left w:val="nil"/>
              <w:bottom w:val="single" w:sz="4" w:space="0" w:color="auto"/>
              <w:right w:val="single" w:sz="4" w:space="0" w:color="auto"/>
            </w:tcBorders>
            <w:shd w:val="clear" w:color="auto" w:fill="auto"/>
            <w:noWrap/>
            <w:vAlign w:val="bottom"/>
            <w:hideMark/>
          </w:tcPr>
          <w:p w14:paraId="37533738"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161.4 (334.7)</w:t>
            </w:r>
          </w:p>
        </w:tc>
        <w:tc>
          <w:tcPr>
            <w:tcW w:w="1554" w:type="dxa"/>
            <w:tcBorders>
              <w:top w:val="nil"/>
              <w:left w:val="nil"/>
              <w:bottom w:val="single" w:sz="4" w:space="0" w:color="auto"/>
              <w:right w:val="single" w:sz="4" w:space="0" w:color="auto"/>
            </w:tcBorders>
            <w:shd w:val="clear" w:color="auto" w:fill="auto"/>
            <w:noWrap/>
            <w:vAlign w:val="bottom"/>
            <w:hideMark/>
          </w:tcPr>
          <w:p w14:paraId="0E7A2E2C" w14:textId="77777777" w:rsidR="00142582" w:rsidRPr="00142582" w:rsidRDefault="00142582" w:rsidP="00142582">
            <w:pPr>
              <w:spacing w:after="0" w:line="240" w:lineRule="auto"/>
              <w:jc w:val="center"/>
              <w:rPr>
                <w:rFonts w:ascii="Times New Roman" w:eastAsia="Times New Roman" w:hAnsi="Times New Roman" w:cs="Times New Roman"/>
                <w:color w:val="000000"/>
                <w:sz w:val="20"/>
                <w:szCs w:val="20"/>
                <w:lang w:eastAsia="en-GB"/>
              </w:rPr>
            </w:pPr>
            <w:r w:rsidRPr="00142582">
              <w:rPr>
                <w:rFonts w:ascii="Times New Roman" w:eastAsia="Times New Roman" w:hAnsi="Times New Roman" w:cs="Times New Roman"/>
                <w:color w:val="000000"/>
                <w:sz w:val="20"/>
                <w:szCs w:val="20"/>
                <w:lang w:eastAsia="en-GB"/>
              </w:rPr>
              <w:t>0.95</w:t>
            </w:r>
          </w:p>
        </w:tc>
      </w:tr>
    </w:tbl>
    <w:p w14:paraId="771A3E43" w14:textId="111B4B02" w:rsidR="001F1111" w:rsidRPr="00C01F1D" w:rsidRDefault="001F1111" w:rsidP="001B3689">
      <w:pPr>
        <w:spacing w:after="0"/>
        <w:ind w:right="662"/>
        <w:jc w:val="both"/>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Note: Values are expressed as median (interquartile range). Comparisons between the two groups were performed by means of non-parametric Mann-Whitney U test. Values in bold type indicate significance p&lt; 0.05.</w:t>
      </w:r>
    </w:p>
    <w:p w14:paraId="03A09E80" w14:textId="77777777" w:rsidR="00142582" w:rsidRPr="00C01F1D" w:rsidRDefault="00142582">
      <w:pPr>
        <w:spacing w:before="240" w:after="240"/>
        <w:ind w:right="-572"/>
        <w:jc w:val="both"/>
        <w:rPr>
          <w:rFonts w:ascii="Times New Roman" w:eastAsia="Times New Roman" w:hAnsi="Times New Roman" w:cs="Times New Roman"/>
          <w:sz w:val="20"/>
          <w:szCs w:val="20"/>
        </w:rPr>
      </w:pPr>
    </w:p>
    <w:p w14:paraId="1B959B06"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5568E369"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33E90FC2"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0F0E4C70"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329718B0"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699AF406"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78906D15" w14:textId="77777777" w:rsidR="00E17BEC" w:rsidRPr="00C01F1D" w:rsidRDefault="00E17BEC">
      <w:pPr>
        <w:spacing w:before="240" w:after="240"/>
        <w:ind w:right="-572"/>
        <w:jc w:val="both"/>
        <w:rPr>
          <w:rFonts w:ascii="Times New Roman" w:eastAsia="Times New Roman" w:hAnsi="Times New Roman" w:cs="Times New Roman"/>
          <w:sz w:val="20"/>
          <w:szCs w:val="20"/>
        </w:rPr>
      </w:pPr>
    </w:p>
    <w:p w14:paraId="22B4CDC8" w14:textId="4005A70E" w:rsidR="00BD147A" w:rsidRPr="00C01F1D" w:rsidRDefault="00BD147A" w:rsidP="00BD147A">
      <w:pP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lastRenderedPageBreak/>
        <w:t>Table S</w:t>
      </w:r>
      <w:r>
        <w:rPr>
          <w:rFonts w:ascii="Times New Roman" w:eastAsia="Times New Roman" w:hAnsi="Times New Roman" w:cs="Times New Roman"/>
          <w:b/>
          <w:sz w:val="20"/>
          <w:szCs w:val="20"/>
        </w:rPr>
        <w:t>4</w:t>
      </w:r>
      <w:r w:rsidRPr="00C01F1D">
        <w:rPr>
          <w:rFonts w:ascii="Times New Roman" w:eastAsia="Times New Roman" w:hAnsi="Times New Roman" w:cs="Times New Roman"/>
          <w:b/>
          <w:sz w:val="20"/>
          <w:szCs w:val="20"/>
        </w:rPr>
        <w:t xml:space="preserve">. </w:t>
      </w:r>
    </w:p>
    <w:p w14:paraId="0D473C23" w14:textId="77777777" w:rsidR="00BD147A" w:rsidRPr="00C01F1D" w:rsidRDefault="00BD147A" w:rsidP="00BD147A">
      <w:pPr>
        <w:spacing w:before="240" w:after="240"/>
        <w:ind w:right="277"/>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Comparison of circulating eCBome mediators between patients with/without loss of appetite and patients with/without overeating</w:t>
      </w:r>
    </w:p>
    <w:tbl>
      <w:tblPr>
        <w:tblStyle w:val="a1"/>
        <w:tblW w:w="9067" w:type="dxa"/>
        <w:tblLayout w:type="fixed"/>
        <w:tblLook w:val="0400" w:firstRow="0" w:lastRow="0" w:firstColumn="0" w:lastColumn="0" w:noHBand="0" w:noVBand="1"/>
      </w:tblPr>
      <w:tblGrid>
        <w:gridCol w:w="1838"/>
        <w:gridCol w:w="1559"/>
        <w:gridCol w:w="1418"/>
        <w:gridCol w:w="850"/>
        <w:gridCol w:w="1276"/>
        <w:gridCol w:w="1276"/>
        <w:gridCol w:w="850"/>
      </w:tblGrid>
      <w:tr w:rsidR="00BD147A" w:rsidRPr="00C01F1D" w14:paraId="2A930168" w14:textId="77777777" w:rsidTr="001E3AD3">
        <w:trPr>
          <w:trHeight w:val="533"/>
        </w:trPr>
        <w:tc>
          <w:tcPr>
            <w:tcW w:w="183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DAD353" w14:textId="77777777" w:rsidR="00BD147A" w:rsidRPr="00C01F1D" w:rsidRDefault="00BD147A" w:rsidP="001E3AD3">
            <w:pPr>
              <w:spacing w:line="240" w:lineRule="auto"/>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 </w:t>
            </w:r>
          </w:p>
        </w:tc>
        <w:tc>
          <w:tcPr>
            <w:tcW w:w="3827" w:type="dxa"/>
            <w:gridSpan w:val="3"/>
            <w:tcBorders>
              <w:top w:val="single" w:sz="4" w:space="0" w:color="000000"/>
              <w:left w:val="nil"/>
              <w:bottom w:val="single" w:sz="4" w:space="0" w:color="000000"/>
              <w:right w:val="single" w:sz="4" w:space="0" w:color="000000"/>
            </w:tcBorders>
            <w:shd w:val="clear" w:color="auto" w:fill="auto"/>
            <w:vAlign w:val="bottom"/>
          </w:tcPr>
          <w:p w14:paraId="65E9CB00"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LOSS OF APPETITE</w:t>
            </w:r>
          </w:p>
          <w:p w14:paraId="551DB384"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w:t>
            </w:r>
          </w:p>
        </w:tc>
        <w:tc>
          <w:tcPr>
            <w:tcW w:w="3402" w:type="dxa"/>
            <w:gridSpan w:val="3"/>
            <w:tcBorders>
              <w:top w:val="single" w:sz="4" w:space="0" w:color="000000"/>
              <w:left w:val="nil"/>
              <w:bottom w:val="single" w:sz="4" w:space="0" w:color="000000"/>
              <w:right w:val="single" w:sz="4" w:space="0" w:color="000000"/>
            </w:tcBorders>
            <w:shd w:val="clear" w:color="auto" w:fill="auto"/>
            <w:vAlign w:val="bottom"/>
          </w:tcPr>
          <w:p w14:paraId="6F7C9F33"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OVEREATING</w:t>
            </w:r>
          </w:p>
          <w:p w14:paraId="1AF455F9"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 </w:t>
            </w:r>
          </w:p>
        </w:tc>
      </w:tr>
      <w:tr w:rsidR="00BD147A" w:rsidRPr="00C01F1D" w14:paraId="579281E8"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64A9C55A" w14:textId="77777777" w:rsidR="00BD147A" w:rsidRPr="00C01F1D" w:rsidRDefault="00BD147A" w:rsidP="001E3AD3">
            <w:pPr>
              <w:spacing w:line="240" w:lineRule="auto"/>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 </w:t>
            </w:r>
          </w:p>
        </w:tc>
        <w:tc>
          <w:tcPr>
            <w:tcW w:w="1559" w:type="dxa"/>
            <w:tcBorders>
              <w:top w:val="nil"/>
              <w:left w:val="nil"/>
              <w:bottom w:val="single" w:sz="4" w:space="0" w:color="000000"/>
              <w:right w:val="single" w:sz="4" w:space="0" w:color="000000"/>
            </w:tcBorders>
            <w:shd w:val="clear" w:color="auto" w:fill="auto"/>
            <w:vAlign w:val="bottom"/>
          </w:tcPr>
          <w:p w14:paraId="6004EDFA"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Yes</w:t>
            </w:r>
          </w:p>
        </w:tc>
        <w:tc>
          <w:tcPr>
            <w:tcW w:w="1418" w:type="dxa"/>
            <w:tcBorders>
              <w:top w:val="nil"/>
              <w:left w:val="nil"/>
              <w:bottom w:val="single" w:sz="4" w:space="0" w:color="000000"/>
              <w:right w:val="single" w:sz="4" w:space="0" w:color="000000"/>
            </w:tcBorders>
            <w:shd w:val="clear" w:color="auto" w:fill="auto"/>
            <w:vAlign w:val="bottom"/>
          </w:tcPr>
          <w:p w14:paraId="382A7952"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No</w:t>
            </w:r>
          </w:p>
        </w:tc>
        <w:tc>
          <w:tcPr>
            <w:tcW w:w="850" w:type="dxa"/>
            <w:tcBorders>
              <w:top w:val="nil"/>
              <w:left w:val="nil"/>
              <w:bottom w:val="single" w:sz="4" w:space="0" w:color="000000"/>
              <w:right w:val="single" w:sz="4" w:space="0" w:color="000000"/>
            </w:tcBorders>
            <w:shd w:val="clear" w:color="auto" w:fill="auto"/>
            <w:vAlign w:val="bottom"/>
          </w:tcPr>
          <w:p w14:paraId="507D0F09" w14:textId="77777777" w:rsidR="00BD147A" w:rsidRPr="00C01F1D" w:rsidRDefault="00BD147A" w:rsidP="001E3AD3">
            <w:pPr>
              <w:spacing w:line="240" w:lineRule="auto"/>
              <w:jc w:val="center"/>
              <w:rPr>
                <w:rFonts w:ascii="Times New Roman" w:eastAsia="Times New Roman" w:hAnsi="Times New Roman" w:cs="Times New Roman"/>
                <w:b/>
                <w:i/>
                <w:sz w:val="20"/>
                <w:szCs w:val="20"/>
              </w:rPr>
            </w:pPr>
            <w:r w:rsidRPr="00C01F1D">
              <w:rPr>
                <w:rFonts w:ascii="Times New Roman" w:eastAsia="Times New Roman" w:hAnsi="Times New Roman" w:cs="Times New Roman"/>
                <w:b/>
                <w:i/>
                <w:sz w:val="20"/>
                <w:szCs w:val="20"/>
              </w:rPr>
              <w:t>P value</w:t>
            </w:r>
          </w:p>
        </w:tc>
        <w:tc>
          <w:tcPr>
            <w:tcW w:w="1276" w:type="dxa"/>
            <w:tcBorders>
              <w:top w:val="nil"/>
              <w:left w:val="nil"/>
              <w:bottom w:val="single" w:sz="4" w:space="0" w:color="000000"/>
              <w:right w:val="single" w:sz="4" w:space="0" w:color="000000"/>
            </w:tcBorders>
            <w:shd w:val="clear" w:color="auto" w:fill="auto"/>
            <w:vAlign w:val="bottom"/>
          </w:tcPr>
          <w:p w14:paraId="68B6BAB6"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Yes</w:t>
            </w:r>
          </w:p>
        </w:tc>
        <w:tc>
          <w:tcPr>
            <w:tcW w:w="1276" w:type="dxa"/>
            <w:tcBorders>
              <w:top w:val="nil"/>
              <w:left w:val="nil"/>
              <w:bottom w:val="single" w:sz="4" w:space="0" w:color="000000"/>
              <w:right w:val="single" w:sz="4" w:space="0" w:color="000000"/>
            </w:tcBorders>
            <w:shd w:val="clear" w:color="auto" w:fill="auto"/>
            <w:vAlign w:val="bottom"/>
          </w:tcPr>
          <w:p w14:paraId="4525CE47"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No</w:t>
            </w:r>
          </w:p>
        </w:tc>
        <w:tc>
          <w:tcPr>
            <w:tcW w:w="850" w:type="dxa"/>
            <w:tcBorders>
              <w:top w:val="nil"/>
              <w:left w:val="nil"/>
              <w:bottom w:val="single" w:sz="4" w:space="0" w:color="000000"/>
              <w:right w:val="single" w:sz="4" w:space="0" w:color="000000"/>
            </w:tcBorders>
            <w:shd w:val="clear" w:color="auto" w:fill="auto"/>
            <w:vAlign w:val="bottom"/>
          </w:tcPr>
          <w:p w14:paraId="566764CA" w14:textId="77777777" w:rsidR="00BD147A" w:rsidRPr="00C01F1D" w:rsidRDefault="00BD147A" w:rsidP="001E3AD3">
            <w:pPr>
              <w:spacing w:line="240" w:lineRule="auto"/>
              <w:jc w:val="center"/>
              <w:rPr>
                <w:rFonts w:ascii="Times New Roman" w:eastAsia="Times New Roman" w:hAnsi="Times New Roman" w:cs="Times New Roman"/>
                <w:b/>
                <w:i/>
                <w:sz w:val="20"/>
                <w:szCs w:val="20"/>
              </w:rPr>
            </w:pPr>
            <w:r w:rsidRPr="00C01F1D">
              <w:rPr>
                <w:rFonts w:ascii="Times New Roman" w:eastAsia="Times New Roman" w:hAnsi="Times New Roman" w:cs="Times New Roman"/>
                <w:b/>
                <w:i/>
                <w:sz w:val="20"/>
                <w:szCs w:val="20"/>
              </w:rPr>
              <w:t>P value</w:t>
            </w:r>
          </w:p>
        </w:tc>
      </w:tr>
      <w:tr w:rsidR="00BD147A" w:rsidRPr="00C01F1D" w14:paraId="0BDB176E"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2A8E8A08"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AEA (pmol/mg)</w:t>
            </w:r>
          </w:p>
        </w:tc>
        <w:tc>
          <w:tcPr>
            <w:tcW w:w="1559" w:type="dxa"/>
            <w:tcBorders>
              <w:top w:val="nil"/>
              <w:left w:val="nil"/>
              <w:bottom w:val="single" w:sz="4" w:space="0" w:color="000000"/>
              <w:right w:val="single" w:sz="4" w:space="0" w:color="000000"/>
            </w:tcBorders>
            <w:shd w:val="clear" w:color="auto" w:fill="auto"/>
            <w:vAlign w:val="bottom"/>
          </w:tcPr>
          <w:p w14:paraId="39522C33"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0.48 (0.25)</w:t>
            </w:r>
          </w:p>
        </w:tc>
        <w:tc>
          <w:tcPr>
            <w:tcW w:w="1418" w:type="dxa"/>
            <w:tcBorders>
              <w:top w:val="nil"/>
              <w:left w:val="nil"/>
              <w:bottom w:val="single" w:sz="4" w:space="0" w:color="000000"/>
              <w:right w:val="single" w:sz="4" w:space="0" w:color="000000"/>
            </w:tcBorders>
            <w:shd w:val="clear" w:color="auto" w:fill="auto"/>
            <w:vAlign w:val="bottom"/>
          </w:tcPr>
          <w:p w14:paraId="20766B75"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0.46 (0.23)</w:t>
            </w:r>
          </w:p>
        </w:tc>
        <w:tc>
          <w:tcPr>
            <w:tcW w:w="850" w:type="dxa"/>
            <w:tcBorders>
              <w:top w:val="nil"/>
              <w:left w:val="nil"/>
              <w:bottom w:val="single" w:sz="4" w:space="0" w:color="000000"/>
              <w:right w:val="single" w:sz="4" w:space="0" w:color="000000"/>
            </w:tcBorders>
            <w:shd w:val="clear" w:color="auto" w:fill="auto"/>
            <w:vAlign w:val="bottom"/>
          </w:tcPr>
          <w:p w14:paraId="7A05338E"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0.587</w:t>
            </w:r>
          </w:p>
        </w:tc>
        <w:tc>
          <w:tcPr>
            <w:tcW w:w="1276" w:type="dxa"/>
            <w:tcBorders>
              <w:top w:val="nil"/>
              <w:left w:val="nil"/>
              <w:bottom w:val="single" w:sz="4" w:space="0" w:color="000000"/>
              <w:right w:val="single" w:sz="4" w:space="0" w:color="000000"/>
            </w:tcBorders>
            <w:shd w:val="clear" w:color="auto" w:fill="auto"/>
            <w:vAlign w:val="bottom"/>
          </w:tcPr>
          <w:p w14:paraId="3497B670"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0.51 (0.26)</w:t>
            </w:r>
          </w:p>
        </w:tc>
        <w:tc>
          <w:tcPr>
            <w:tcW w:w="1276" w:type="dxa"/>
            <w:tcBorders>
              <w:top w:val="nil"/>
              <w:left w:val="nil"/>
              <w:bottom w:val="single" w:sz="4" w:space="0" w:color="000000"/>
              <w:right w:val="single" w:sz="4" w:space="0" w:color="000000"/>
            </w:tcBorders>
            <w:shd w:val="clear" w:color="auto" w:fill="auto"/>
            <w:vAlign w:val="bottom"/>
          </w:tcPr>
          <w:p w14:paraId="3B3EB73C"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0.47 (0.24)</w:t>
            </w:r>
          </w:p>
        </w:tc>
        <w:tc>
          <w:tcPr>
            <w:tcW w:w="850" w:type="dxa"/>
            <w:tcBorders>
              <w:top w:val="nil"/>
              <w:left w:val="nil"/>
              <w:bottom w:val="single" w:sz="4" w:space="0" w:color="000000"/>
              <w:right w:val="single" w:sz="4" w:space="0" w:color="000000"/>
            </w:tcBorders>
            <w:shd w:val="clear" w:color="auto" w:fill="auto"/>
            <w:vAlign w:val="bottom"/>
          </w:tcPr>
          <w:p w14:paraId="70085CC0"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0.436</w:t>
            </w:r>
          </w:p>
        </w:tc>
      </w:tr>
      <w:tr w:rsidR="00BD147A" w:rsidRPr="00C01F1D" w14:paraId="47BF6142"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6F1E9D2B"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2AG (pmol/mg)</w:t>
            </w:r>
          </w:p>
        </w:tc>
        <w:tc>
          <w:tcPr>
            <w:tcW w:w="1559" w:type="dxa"/>
            <w:tcBorders>
              <w:top w:val="nil"/>
              <w:left w:val="nil"/>
              <w:bottom w:val="single" w:sz="4" w:space="0" w:color="000000"/>
              <w:right w:val="single" w:sz="4" w:space="0" w:color="000000"/>
            </w:tcBorders>
            <w:shd w:val="clear" w:color="auto" w:fill="auto"/>
            <w:vAlign w:val="bottom"/>
          </w:tcPr>
          <w:p w14:paraId="04805C08"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85.14 (34.73)</w:t>
            </w:r>
          </w:p>
        </w:tc>
        <w:tc>
          <w:tcPr>
            <w:tcW w:w="1418" w:type="dxa"/>
            <w:tcBorders>
              <w:top w:val="nil"/>
              <w:left w:val="nil"/>
              <w:bottom w:val="single" w:sz="4" w:space="0" w:color="000000"/>
              <w:right w:val="single" w:sz="4" w:space="0" w:color="000000"/>
            </w:tcBorders>
            <w:shd w:val="clear" w:color="auto" w:fill="auto"/>
            <w:vAlign w:val="bottom"/>
          </w:tcPr>
          <w:p w14:paraId="4B57577A"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87.65 (40.45)</w:t>
            </w:r>
          </w:p>
        </w:tc>
        <w:tc>
          <w:tcPr>
            <w:tcW w:w="850" w:type="dxa"/>
            <w:tcBorders>
              <w:top w:val="nil"/>
              <w:left w:val="nil"/>
              <w:bottom w:val="single" w:sz="4" w:space="0" w:color="000000"/>
              <w:right w:val="single" w:sz="4" w:space="0" w:color="000000"/>
            </w:tcBorders>
            <w:shd w:val="clear" w:color="auto" w:fill="auto"/>
            <w:vAlign w:val="bottom"/>
          </w:tcPr>
          <w:p w14:paraId="70C3C27A"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0.895</w:t>
            </w:r>
          </w:p>
        </w:tc>
        <w:tc>
          <w:tcPr>
            <w:tcW w:w="1276" w:type="dxa"/>
            <w:tcBorders>
              <w:top w:val="nil"/>
              <w:left w:val="nil"/>
              <w:bottom w:val="single" w:sz="4" w:space="0" w:color="000000"/>
              <w:right w:val="single" w:sz="4" w:space="0" w:color="000000"/>
            </w:tcBorders>
            <w:shd w:val="clear" w:color="auto" w:fill="auto"/>
            <w:vAlign w:val="bottom"/>
          </w:tcPr>
          <w:p w14:paraId="2108B663"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73.88 (30.64)</w:t>
            </w:r>
          </w:p>
        </w:tc>
        <w:tc>
          <w:tcPr>
            <w:tcW w:w="1276" w:type="dxa"/>
            <w:tcBorders>
              <w:top w:val="nil"/>
              <w:left w:val="nil"/>
              <w:bottom w:val="single" w:sz="4" w:space="0" w:color="000000"/>
              <w:right w:val="single" w:sz="4" w:space="0" w:color="000000"/>
            </w:tcBorders>
            <w:shd w:val="clear" w:color="auto" w:fill="auto"/>
            <w:vAlign w:val="bottom"/>
          </w:tcPr>
          <w:p w14:paraId="6649B560"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92 (48.62)</w:t>
            </w:r>
          </w:p>
        </w:tc>
        <w:tc>
          <w:tcPr>
            <w:tcW w:w="850" w:type="dxa"/>
            <w:tcBorders>
              <w:top w:val="nil"/>
              <w:left w:val="nil"/>
              <w:bottom w:val="single" w:sz="4" w:space="0" w:color="000000"/>
              <w:right w:val="single" w:sz="4" w:space="0" w:color="000000"/>
            </w:tcBorders>
            <w:shd w:val="clear" w:color="auto" w:fill="auto"/>
            <w:vAlign w:val="bottom"/>
          </w:tcPr>
          <w:p w14:paraId="34C013AB"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0.109</w:t>
            </w:r>
          </w:p>
        </w:tc>
      </w:tr>
      <w:tr w:rsidR="00BD147A" w:rsidRPr="00C01F1D" w14:paraId="44BCBA1C"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14030E86"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PEA (pmol/mg)</w:t>
            </w:r>
          </w:p>
        </w:tc>
        <w:tc>
          <w:tcPr>
            <w:tcW w:w="1559" w:type="dxa"/>
            <w:tcBorders>
              <w:top w:val="nil"/>
              <w:left w:val="nil"/>
              <w:bottom w:val="single" w:sz="4" w:space="0" w:color="000000"/>
              <w:right w:val="single" w:sz="4" w:space="0" w:color="000000"/>
            </w:tcBorders>
            <w:shd w:val="clear" w:color="auto" w:fill="auto"/>
            <w:vAlign w:val="bottom"/>
          </w:tcPr>
          <w:p w14:paraId="5450F396"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1.45 (0.86)</w:t>
            </w:r>
          </w:p>
        </w:tc>
        <w:tc>
          <w:tcPr>
            <w:tcW w:w="1418" w:type="dxa"/>
            <w:tcBorders>
              <w:top w:val="nil"/>
              <w:left w:val="nil"/>
              <w:bottom w:val="single" w:sz="4" w:space="0" w:color="000000"/>
              <w:right w:val="single" w:sz="4" w:space="0" w:color="000000"/>
            </w:tcBorders>
            <w:shd w:val="clear" w:color="auto" w:fill="auto"/>
            <w:vAlign w:val="bottom"/>
          </w:tcPr>
          <w:p w14:paraId="409D9137"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1.09 (0.51)</w:t>
            </w:r>
          </w:p>
        </w:tc>
        <w:tc>
          <w:tcPr>
            <w:tcW w:w="850" w:type="dxa"/>
            <w:tcBorders>
              <w:top w:val="nil"/>
              <w:left w:val="nil"/>
              <w:bottom w:val="single" w:sz="4" w:space="0" w:color="000000"/>
              <w:right w:val="single" w:sz="4" w:space="0" w:color="000000"/>
            </w:tcBorders>
            <w:shd w:val="clear" w:color="auto" w:fill="auto"/>
            <w:vAlign w:val="bottom"/>
          </w:tcPr>
          <w:p w14:paraId="77D8CF02"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0.064</w:t>
            </w:r>
          </w:p>
        </w:tc>
        <w:tc>
          <w:tcPr>
            <w:tcW w:w="1276" w:type="dxa"/>
            <w:tcBorders>
              <w:top w:val="nil"/>
              <w:left w:val="nil"/>
              <w:bottom w:val="single" w:sz="4" w:space="0" w:color="000000"/>
              <w:right w:val="single" w:sz="4" w:space="0" w:color="000000"/>
            </w:tcBorders>
            <w:shd w:val="clear" w:color="auto" w:fill="auto"/>
            <w:vAlign w:val="bottom"/>
          </w:tcPr>
          <w:p w14:paraId="538A6C5F"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1.03 (0.42)</w:t>
            </w:r>
          </w:p>
        </w:tc>
        <w:tc>
          <w:tcPr>
            <w:tcW w:w="1276" w:type="dxa"/>
            <w:tcBorders>
              <w:top w:val="nil"/>
              <w:left w:val="nil"/>
              <w:bottom w:val="single" w:sz="4" w:space="0" w:color="000000"/>
              <w:right w:val="single" w:sz="4" w:space="0" w:color="000000"/>
            </w:tcBorders>
            <w:shd w:val="clear" w:color="auto" w:fill="auto"/>
            <w:vAlign w:val="bottom"/>
          </w:tcPr>
          <w:p w14:paraId="006C610A"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1.18 (0.74)</w:t>
            </w:r>
          </w:p>
        </w:tc>
        <w:tc>
          <w:tcPr>
            <w:tcW w:w="850" w:type="dxa"/>
            <w:tcBorders>
              <w:top w:val="nil"/>
              <w:left w:val="nil"/>
              <w:bottom w:val="single" w:sz="4" w:space="0" w:color="000000"/>
              <w:right w:val="single" w:sz="4" w:space="0" w:color="000000"/>
            </w:tcBorders>
            <w:shd w:val="clear" w:color="auto" w:fill="auto"/>
            <w:vAlign w:val="bottom"/>
          </w:tcPr>
          <w:p w14:paraId="58D37F05"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0.762</w:t>
            </w:r>
          </w:p>
        </w:tc>
      </w:tr>
      <w:tr w:rsidR="00BD147A" w:rsidRPr="00C01F1D" w14:paraId="6B3A087C"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173C9A91"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OEA (pmol/mg)</w:t>
            </w:r>
          </w:p>
        </w:tc>
        <w:tc>
          <w:tcPr>
            <w:tcW w:w="1559" w:type="dxa"/>
            <w:tcBorders>
              <w:top w:val="nil"/>
              <w:left w:val="nil"/>
              <w:bottom w:val="single" w:sz="4" w:space="0" w:color="000000"/>
              <w:right w:val="single" w:sz="4" w:space="0" w:color="000000"/>
            </w:tcBorders>
            <w:shd w:val="clear" w:color="auto" w:fill="auto"/>
            <w:vAlign w:val="bottom"/>
          </w:tcPr>
          <w:p w14:paraId="0B0270B7"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2.17 (2)</w:t>
            </w:r>
          </w:p>
        </w:tc>
        <w:tc>
          <w:tcPr>
            <w:tcW w:w="1418" w:type="dxa"/>
            <w:tcBorders>
              <w:top w:val="nil"/>
              <w:left w:val="nil"/>
              <w:bottom w:val="single" w:sz="4" w:space="0" w:color="000000"/>
              <w:right w:val="single" w:sz="4" w:space="0" w:color="000000"/>
            </w:tcBorders>
            <w:shd w:val="clear" w:color="auto" w:fill="auto"/>
            <w:vAlign w:val="bottom"/>
          </w:tcPr>
          <w:p w14:paraId="77AACD41"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1.02 (0.93)</w:t>
            </w:r>
          </w:p>
        </w:tc>
        <w:tc>
          <w:tcPr>
            <w:tcW w:w="850" w:type="dxa"/>
            <w:tcBorders>
              <w:top w:val="nil"/>
              <w:left w:val="nil"/>
              <w:bottom w:val="single" w:sz="4" w:space="0" w:color="000000"/>
              <w:right w:val="single" w:sz="4" w:space="0" w:color="000000"/>
            </w:tcBorders>
            <w:shd w:val="clear" w:color="auto" w:fill="auto"/>
            <w:vAlign w:val="bottom"/>
          </w:tcPr>
          <w:p w14:paraId="6E914054" w14:textId="77777777" w:rsidR="00BD147A" w:rsidRPr="00C01F1D" w:rsidRDefault="00BD147A" w:rsidP="001E3AD3">
            <w:pPr>
              <w:spacing w:line="240" w:lineRule="auto"/>
              <w:jc w:val="center"/>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0.013</w:t>
            </w:r>
          </w:p>
        </w:tc>
        <w:tc>
          <w:tcPr>
            <w:tcW w:w="1276" w:type="dxa"/>
            <w:tcBorders>
              <w:top w:val="nil"/>
              <w:left w:val="nil"/>
              <w:bottom w:val="single" w:sz="4" w:space="0" w:color="000000"/>
              <w:right w:val="single" w:sz="4" w:space="0" w:color="000000"/>
            </w:tcBorders>
            <w:shd w:val="clear" w:color="auto" w:fill="auto"/>
            <w:vAlign w:val="bottom"/>
          </w:tcPr>
          <w:p w14:paraId="555DD152"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1.18 (1.02)</w:t>
            </w:r>
          </w:p>
        </w:tc>
        <w:tc>
          <w:tcPr>
            <w:tcW w:w="1276" w:type="dxa"/>
            <w:tcBorders>
              <w:top w:val="nil"/>
              <w:left w:val="nil"/>
              <w:bottom w:val="single" w:sz="4" w:space="0" w:color="000000"/>
              <w:right w:val="single" w:sz="4" w:space="0" w:color="000000"/>
            </w:tcBorders>
            <w:shd w:val="clear" w:color="auto" w:fill="auto"/>
            <w:vAlign w:val="bottom"/>
          </w:tcPr>
          <w:p w14:paraId="0B342BE8"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1.26 (1.58)</w:t>
            </w:r>
          </w:p>
        </w:tc>
        <w:tc>
          <w:tcPr>
            <w:tcW w:w="850" w:type="dxa"/>
            <w:tcBorders>
              <w:top w:val="nil"/>
              <w:left w:val="nil"/>
              <w:bottom w:val="single" w:sz="4" w:space="0" w:color="000000"/>
              <w:right w:val="single" w:sz="4" w:space="0" w:color="000000"/>
            </w:tcBorders>
            <w:shd w:val="clear" w:color="auto" w:fill="auto"/>
            <w:vAlign w:val="bottom"/>
          </w:tcPr>
          <w:p w14:paraId="6B851315"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0.817</w:t>
            </w:r>
          </w:p>
        </w:tc>
      </w:tr>
      <w:tr w:rsidR="00BD147A" w:rsidRPr="00C01F1D" w14:paraId="3712BEF8"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2C6460A1"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DHEA (pmol/mg)</w:t>
            </w:r>
          </w:p>
        </w:tc>
        <w:tc>
          <w:tcPr>
            <w:tcW w:w="1559" w:type="dxa"/>
            <w:tcBorders>
              <w:top w:val="nil"/>
              <w:left w:val="nil"/>
              <w:bottom w:val="single" w:sz="4" w:space="0" w:color="000000"/>
              <w:right w:val="single" w:sz="4" w:space="0" w:color="000000"/>
            </w:tcBorders>
            <w:shd w:val="clear" w:color="auto" w:fill="auto"/>
            <w:vAlign w:val="bottom"/>
          </w:tcPr>
          <w:p w14:paraId="21DBC367"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2.18 (2.66)</w:t>
            </w:r>
          </w:p>
        </w:tc>
        <w:tc>
          <w:tcPr>
            <w:tcW w:w="1418" w:type="dxa"/>
            <w:tcBorders>
              <w:top w:val="nil"/>
              <w:left w:val="nil"/>
              <w:bottom w:val="single" w:sz="4" w:space="0" w:color="000000"/>
              <w:right w:val="single" w:sz="4" w:space="0" w:color="000000"/>
            </w:tcBorders>
            <w:shd w:val="clear" w:color="auto" w:fill="auto"/>
            <w:vAlign w:val="bottom"/>
          </w:tcPr>
          <w:p w14:paraId="06E401C4"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1.35 (4.19)</w:t>
            </w:r>
          </w:p>
        </w:tc>
        <w:tc>
          <w:tcPr>
            <w:tcW w:w="850" w:type="dxa"/>
            <w:tcBorders>
              <w:top w:val="nil"/>
              <w:left w:val="nil"/>
              <w:bottom w:val="single" w:sz="4" w:space="0" w:color="000000"/>
              <w:right w:val="single" w:sz="4" w:space="0" w:color="000000"/>
            </w:tcBorders>
            <w:shd w:val="clear" w:color="auto" w:fill="auto"/>
            <w:vAlign w:val="bottom"/>
          </w:tcPr>
          <w:p w14:paraId="74246A48"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0.308</w:t>
            </w:r>
          </w:p>
        </w:tc>
        <w:tc>
          <w:tcPr>
            <w:tcW w:w="1276" w:type="dxa"/>
            <w:tcBorders>
              <w:top w:val="nil"/>
              <w:left w:val="nil"/>
              <w:bottom w:val="single" w:sz="4" w:space="0" w:color="000000"/>
              <w:right w:val="single" w:sz="4" w:space="0" w:color="000000"/>
            </w:tcBorders>
            <w:shd w:val="clear" w:color="auto" w:fill="auto"/>
            <w:vAlign w:val="bottom"/>
          </w:tcPr>
          <w:p w14:paraId="340E4132"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1.26 (2.26)</w:t>
            </w:r>
          </w:p>
        </w:tc>
        <w:tc>
          <w:tcPr>
            <w:tcW w:w="1276" w:type="dxa"/>
            <w:tcBorders>
              <w:top w:val="nil"/>
              <w:left w:val="nil"/>
              <w:bottom w:val="single" w:sz="4" w:space="0" w:color="000000"/>
              <w:right w:val="single" w:sz="4" w:space="0" w:color="000000"/>
            </w:tcBorders>
            <w:shd w:val="clear" w:color="auto" w:fill="auto"/>
            <w:vAlign w:val="bottom"/>
          </w:tcPr>
          <w:p w14:paraId="21E7EA84"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2.03 (3.79)</w:t>
            </w:r>
          </w:p>
        </w:tc>
        <w:tc>
          <w:tcPr>
            <w:tcW w:w="850" w:type="dxa"/>
            <w:tcBorders>
              <w:top w:val="nil"/>
              <w:left w:val="nil"/>
              <w:bottom w:val="single" w:sz="4" w:space="0" w:color="000000"/>
              <w:right w:val="single" w:sz="4" w:space="0" w:color="000000"/>
            </w:tcBorders>
            <w:shd w:val="clear" w:color="auto" w:fill="auto"/>
            <w:vAlign w:val="bottom"/>
          </w:tcPr>
          <w:p w14:paraId="591C8B24"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0.145</w:t>
            </w:r>
          </w:p>
        </w:tc>
      </w:tr>
      <w:tr w:rsidR="00BD147A" w:rsidRPr="00C01F1D" w14:paraId="31DA0E8A"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6534F03B"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EPEA (pmol/mg)</w:t>
            </w:r>
          </w:p>
        </w:tc>
        <w:tc>
          <w:tcPr>
            <w:tcW w:w="1559" w:type="dxa"/>
            <w:tcBorders>
              <w:top w:val="nil"/>
              <w:left w:val="nil"/>
              <w:bottom w:val="single" w:sz="4" w:space="0" w:color="000000"/>
              <w:right w:val="single" w:sz="4" w:space="0" w:color="000000"/>
            </w:tcBorders>
            <w:shd w:val="clear" w:color="auto" w:fill="auto"/>
            <w:vAlign w:val="bottom"/>
          </w:tcPr>
          <w:p w14:paraId="3AF0F3DB"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0.04 (0.02)</w:t>
            </w:r>
          </w:p>
        </w:tc>
        <w:tc>
          <w:tcPr>
            <w:tcW w:w="1418" w:type="dxa"/>
            <w:tcBorders>
              <w:top w:val="nil"/>
              <w:left w:val="nil"/>
              <w:bottom w:val="single" w:sz="4" w:space="0" w:color="000000"/>
              <w:right w:val="single" w:sz="4" w:space="0" w:color="000000"/>
            </w:tcBorders>
            <w:shd w:val="clear" w:color="auto" w:fill="auto"/>
            <w:vAlign w:val="bottom"/>
          </w:tcPr>
          <w:p w14:paraId="48C7EC07"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0.04 (0.02)</w:t>
            </w:r>
          </w:p>
        </w:tc>
        <w:tc>
          <w:tcPr>
            <w:tcW w:w="850" w:type="dxa"/>
            <w:tcBorders>
              <w:top w:val="nil"/>
              <w:left w:val="nil"/>
              <w:bottom w:val="single" w:sz="4" w:space="0" w:color="000000"/>
              <w:right w:val="single" w:sz="4" w:space="0" w:color="000000"/>
            </w:tcBorders>
            <w:shd w:val="clear" w:color="auto" w:fill="auto"/>
            <w:vAlign w:val="bottom"/>
          </w:tcPr>
          <w:p w14:paraId="38B6AFB8"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0.56</w:t>
            </w:r>
          </w:p>
        </w:tc>
        <w:tc>
          <w:tcPr>
            <w:tcW w:w="1276" w:type="dxa"/>
            <w:tcBorders>
              <w:top w:val="nil"/>
              <w:left w:val="nil"/>
              <w:bottom w:val="single" w:sz="4" w:space="0" w:color="000000"/>
              <w:right w:val="single" w:sz="4" w:space="0" w:color="000000"/>
            </w:tcBorders>
            <w:shd w:val="clear" w:color="auto" w:fill="auto"/>
            <w:vAlign w:val="bottom"/>
          </w:tcPr>
          <w:p w14:paraId="53800441"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0.04 (0.03)</w:t>
            </w:r>
          </w:p>
        </w:tc>
        <w:tc>
          <w:tcPr>
            <w:tcW w:w="1276" w:type="dxa"/>
            <w:tcBorders>
              <w:top w:val="nil"/>
              <w:left w:val="nil"/>
              <w:bottom w:val="single" w:sz="4" w:space="0" w:color="000000"/>
              <w:right w:val="single" w:sz="4" w:space="0" w:color="000000"/>
            </w:tcBorders>
            <w:shd w:val="clear" w:color="auto" w:fill="auto"/>
            <w:vAlign w:val="bottom"/>
          </w:tcPr>
          <w:p w14:paraId="7130065B"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0.04 (0.02)</w:t>
            </w:r>
          </w:p>
        </w:tc>
        <w:tc>
          <w:tcPr>
            <w:tcW w:w="850" w:type="dxa"/>
            <w:tcBorders>
              <w:top w:val="nil"/>
              <w:left w:val="nil"/>
              <w:bottom w:val="single" w:sz="4" w:space="0" w:color="000000"/>
              <w:right w:val="single" w:sz="4" w:space="0" w:color="000000"/>
            </w:tcBorders>
            <w:shd w:val="clear" w:color="auto" w:fill="auto"/>
            <w:vAlign w:val="bottom"/>
          </w:tcPr>
          <w:p w14:paraId="5A70BB9B"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0.141</w:t>
            </w:r>
          </w:p>
        </w:tc>
      </w:tr>
      <w:tr w:rsidR="00BD147A" w:rsidRPr="00C01F1D" w14:paraId="6AEC0917" w14:textId="77777777" w:rsidTr="001E3AD3">
        <w:trPr>
          <w:trHeight w:val="290"/>
        </w:trPr>
        <w:tc>
          <w:tcPr>
            <w:tcW w:w="1838" w:type="dxa"/>
            <w:tcBorders>
              <w:top w:val="nil"/>
              <w:left w:val="single" w:sz="4" w:space="0" w:color="000000"/>
              <w:bottom w:val="single" w:sz="4" w:space="0" w:color="000000"/>
              <w:right w:val="single" w:sz="4" w:space="0" w:color="000000"/>
            </w:tcBorders>
            <w:shd w:val="clear" w:color="auto" w:fill="auto"/>
            <w:vAlign w:val="bottom"/>
          </w:tcPr>
          <w:p w14:paraId="156C86D2" w14:textId="77777777" w:rsidR="00BD147A" w:rsidRPr="00C01F1D" w:rsidRDefault="00BD147A" w:rsidP="001E3AD3">
            <w:pPr>
              <w:spacing w:line="240" w:lineRule="auto"/>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2-DHG (pmol/mg)</w:t>
            </w:r>
          </w:p>
        </w:tc>
        <w:tc>
          <w:tcPr>
            <w:tcW w:w="1559" w:type="dxa"/>
            <w:tcBorders>
              <w:top w:val="nil"/>
              <w:left w:val="nil"/>
              <w:bottom w:val="single" w:sz="4" w:space="0" w:color="000000"/>
              <w:right w:val="single" w:sz="4" w:space="0" w:color="000000"/>
            </w:tcBorders>
            <w:shd w:val="clear" w:color="auto" w:fill="auto"/>
            <w:vAlign w:val="bottom"/>
          </w:tcPr>
          <w:p w14:paraId="7F7CF316"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162.98 (311.19)</w:t>
            </w:r>
          </w:p>
        </w:tc>
        <w:tc>
          <w:tcPr>
            <w:tcW w:w="1418" w:type="dxa"/>
            <w:tcBorders>
              <w:top w:val="nil"/>
              <w:left w:val="nil"/>
              <w:bottom w:val="single" w:sz="4" w:space="0" w:color="000000"/>
              <w:right w:val="single" w:sz="4" w:space="0" w:color="000000"/>
            </w:tcBorders>
            <w:shd w:val="clear" w:color="auto" w:fill="auto"/>
            <w:vAlign w:val="bottom"/>
          </w:tcPr>
          <w:p w14:paraId="77869A29"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165.41 (203.25)</w:t>
            </w:r>
          </w:p>
        </w:tc>
        <w:tc>
          <w:tcPr>
            <w:tcW w:w="850" w:type="dxa"/>
            <w:tcBorders>
              <w:top w:val="nil"/>
              <w:left w:val="nil"/>
              <w:bottom w:val="single" w:sz="4" w:space="0" w:color="000000"/>
              <w:right w:val="single" w:sz="4" w:space="0" w:color="000000"/>
            </w:tcBorders>
            <w:shd w:val="clear" w:color="auto" w:fill="auto"/>
            <w:vAlign w:val="bottom"/>
          </w:tcPr>
          <w:p w14:paraId="01D50AD0"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0.812</w:t>
            </w:r>
          </w:p>
        </w:tc>
        <w:tc>
          <w:tcPr>
            <w:tcW w:w="1276" w:type="dxa"/>
            <w:tcBorders>
              <w:top w:val="nil"/>
              <w:left w:val="nil"/>
              <w:bottom w:val="single" w:sz="4" w:space="0" w:color="000000"/>
              <w:right w:val="single" w:sz="4" w:space="0" w:color="000000"/>
            </w:tcBorders>
            <w:shd w:val="clear" w:color="auto" w:fill="auto"/>
            <w:vAlign w:val="bottom"/>
          </w:tcPr>
          <w:p w14:paraId="650C8109"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165.41 (265.37)</w:t>
            </w:r>
          </w:p>
        </w:tc>
        <w:tc>
          <w:tcPr>
            <w:tcW w:w="1276" w:type="dxa"/>
            <w:tcBorders>
              <w:top w:val="nil"/>
              <w:left w:val="nil"/>
              <w:bottom w:val="single" w:sz="4" w:space="0" w:color="000000"/>
              <w:right w:val="single" w:sz="4" w:space="0" w:color="000000"/>
            </w:tcBorders>
            <w:shd w:val="clear" w:color="auto" w:fill="auto"/>
            <w:vAlign w:val="bottom"/>
          </w:tcPr>
          <w:p w14:paraId="2BBF2E4F"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162.98 (268.94)</w:t>
            </w:r>
          </w:p>
        </w:tc>
        <w:tc>
          <w:tcPr>
            <w:tcW w:w="850" w:type="dxa"/>
            <w:tcBorders>
              <w:top w:val="nil"/>
              <w:left w:val="nil"/>
              <w:bottom w:val="single" w:sz="4" w:space="0" w:color="000000"/>
              <w:right w:val="single" w:sz="4" w:space="0" w:color="000000"/>
            </w:tcBorders>
            <w:shd w:val="clear" w:color="auto" w:fill="auto"/>
            <w:vAlign w:val="bottom"/>
          </w:tcPr>
          <w:p w14:paraId="606056BA" w14:textId="77777777" w:rsidR="00BD147A" w:rsidRPr="00C01F1D" w:rsidRDefault="00BD147A" w:rsidP="001E3AD3">
            <w:pPr>
              <w:spacing w:line="240" w:lineRule="auto"/>
              <w:jc w:val="center"/>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0.773</w:t>
            </w:r>
          </w:p>
        </w:tc>
      </w:tr>
    </w:tbl>
    <w:p w14:paraId="7C25AA4B" w14:textId="77777777" w:rsidR="00BD147A" w:rsidRPr="00C01F1D" w:rsidRDefault="00BD147A" w:rsidP="00BD147A">
      <w:pPr>
        <w:spacing w:before="240" w:after="240"/>
        <w:ind w:right="-572"/>
        <w:jc w:val="both"/>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Note: Values are expressed as median (interquartile range). Comparisons between the two groups were performed by means of non-parametric Mann-Whitney U test. Values in bold type indicate significance p&lt; 0.05.</w:t>
      </w:r>
    </w:p>
    <w:p w14:paraId="4C02F1A9"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27FDC852"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2F541525"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10D44627"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5CD0FE99"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787F6926"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37E3FB4E"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0B450D81"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3B80F204"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635181D1"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7362245E"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5E3FB9D3"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29D6885D"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21A877A3" w14:textId="77777777" w:rsidR="00BD147A" w:rsidRDefault="00BD147A" w:rsidP="00BD147A">
      <w:pPr>
        <w:spacing w:before="240" w:after="240"/>
        <w:ind w:right="-572"/>
        <w:jc w:val="both"/>
        <w:rPr>
          <w:rFonts w:ascii="Times New Roman" w:eastAsia="Times New Roman" w:hAnsi="Times New Roman" w:cs="Times New Roman"/>
          <w:sz w:val="20"/>
          <w:szCs w:val="20"/>
        </w:rPr>
      </w:pPr>
    </w:p>
    <w:p w14:paraId="07B40890" w14:textId="77777777" w:rsidR="00C01F1D" w:rsidRDefault="00C01F1D">
      <w:pPr>
        <w:spacing w:before="240" w:after="240"/>
        <w:ind w:right="-572"/>
        <w:jc w:val="both"/>
        <w:rPr>
          <w:rFonts w:ascii="Times New Roman" w:eastAsia="Times New Roman" w:hAnsi="Times New Roman" w:cs="Times New Roman"/>
          <w:b/>
          <w:sz w:val="20"/>
          <w:szCs w:val="20"/>
        </w:rPr>
      </w:pPr>
    </w:p>
    <w:p w14:paraId="45C65A93" w14:textId="40D00747" w:rsidR="00E17BEC" w:rsidRPr="00C01F1D" w:rsidRDefault="00000000">
      <w:pPr>
        <w:spacing w:before="240" w:after="240"/>
        <w:ind w:right="-572"/>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lastRenderedPageBreak/>
        <w:t xml:space="preserve">Figure </w:t>
      </w:r>
      <w:r w:rsidR="0029197D" w:rsidRPr="00C01F1D">
        <w:rPr>
          <w:rFonts w:ascii="Times New Roman" w:eastAsia="Times New Roman" w:hAnsi="Times New Roman" w:cs="Times New Roman"/>
          <w:b/>
          <w:sz w:val="20"/>
          <w:szCs w:val="20"/>
        </w:rPr>
        <w:t>S</w:t>
      </w:r>
      <w:r w:rsidRPr="00C01F1D">
        <w:rPr>
          <w:rFonts w:ascii="Times New Roman" w:eastAsia="Times New Roman" w:hAnsi="Times New Roman" w:cs="Times New Roman"/>
          <w:b/>
          <w:sz w:val="20"/>
          <w:szCs w:val="20"/>
        </w:rPr>
        <w:t>1</w:t>
      </w:r>
    </w:p>
    <w:p w14:paraId="658D8BD3" w14:textId="77777777" w:rsidR="00E17BEC" w:rsidRPr="00C01F1D" w:rsidRDefault="00000000">
      <w:pPr>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Comparison of circulating eCBome mediator levels among the four groups: ALS cluster 1, ALS cluster 2, NALS and HC.</w:t>
      </w:r>
    </w:p>
    <w:p w14:paraId="0239FB77" w14:textId="77777777" w:rsidR="00E17BEC" w:rsidRPr="00C01F1D" w:rsidRDefault="00000000">
      <w:pPr>
        <w:spacing w:before="240" w:after="240"/>
        <w:ind w:right="-572"/>
        <w:jc w:val="both"/>
        <w:rPr>
          <w:rFonts w:ascii="Times New Roman" w:eastAsia="Times New Roman" w:hAnsi="Times New Roman" w:cs="Times New Roman"/>
          <w:sz w:val="20"/>
          <w:szCs w:val="20"/>
        </w:rPr>
      </w:pPr>
      <w:r w:rsidRPr="00C01F1D">
        <w:rPr>
          <w:rFonts w:ascii="Times New Roman" w:eastAsia="Times New Roman" w:hAnsi="Times New Roman" w:cs="Times New Roman"/>
          <w:noProof/>
          <w:sz w:val="20"/>
          <w:szCs w:val="20"/>
        </w:rPr>
        <w:drawing>
          <wp:inline distT="114300" distB="114300" distL="114300" distR="114300" wp14:anchorId="0421B6F4" wp14:editId="1C74711B">
            <wp:extent cx="4320000" cy="5788800"/>
            <wp:effectExtent l="0" t="0" r="0" b="0"/>
            <wp:docPr id="4" name="image1.jpg" descr="A group of graphs showing different colored squar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group of graphs showing different colored squares&#10;&#10;Description automatically generated with medium confidence"/>
                    <pic:cNvPicPr preferRelativeResize="0"/>
                  </pic:nvPicPr>
                  <pic:blipFill>
                    <a:blip r:embed="rId9"/>
                    <a:srcRect/>
                    <a:stretch>
                      <a:fillRect/>
                    </a:stretch>
                  </pic:blipFill>
                  <pic:spPr>
                    <a:xfrm>
                      <a:off x="0" y="0"/>
                      <a:ext cx="4320000" cy="5788800"/>
                    </a:xfrm>
                    <a:prstGeom prst="rect">
                      <a:avLst/>
                    </a:prstGeom>
                    <a:ln/>
                  </pic:spPr>
                </pic:pic>
              </a:graphicData>
            </a:graphic>
          </wp:inline>
        </w:drawing>
      </w:r>
    </w:p>
    <w:p w14:paraId="0570C798" w14:textId="77777777" w:rsidR="00E17BEC" w:rsidRPr="00C01F1D" w:rsidRDefault="00000000">
      <w:pPr>
        <w:spacing w:line="240" w:lineRule="auto"/>
        <w:jc w:val="both"/>
        <w:rPr>
          <w:rFonts w:ascii="Times New Roman" w:eastAsia="Times New Roman" w:hAnsi="Times New Roman" w:cs="Times New Roman"/>
          <w:sz w:val="20"/>
          <w:szCs w:val="20"/>
        </w:rPr>
      </w:pPr>
      <w:r w:rsidRPr="00C01F1D">
        <w:rPr>
          <w:rFonts w:ascii="Times New Roman" w:eastAsia="Times New Roman" w:hAnsi="Times New Roman" w:cs="Times New Roman"/>
          <w:sz w:val="20"/>
          <w:szCs w:val="20"/>
        </w:rPr>
        <w:t>Comparisons among the four groups were performed by means of non-parametric Kruskal–Wallis test, while the post-hoc comparisons by means of Mann-Whitney U test using Bonferroni correction.</w:t>
      </w:r>
    </w:p>
    <w:p w14:paraId="52A5D103" w14:textId="77777777" w:rsidR="00E17BEC" w:rsidRPr="00C01F1D" w:rsidRDefault="00000000">
      <w:pPr>
        <w:spacing w:line="240" w:lineRule="auto"/>
        <w:jc w:val="both"/>
        <w:rPr>
          <w:rFonts w:ascii="Times New Roman" w:eastAsia="Times New Roman" w:hAnsi="Times New Roman" w:cs="Times New Roman"/>
          <w:b/>
          <w:sz w:val="20"/>
          <w:szCs w:val="20"/>
        </w:rPr>
      </w:pPr>
      <w:r w:rsidRPr="00C01F1D">
        <w:rPr>
          <w:rFonts w:ascii="Times New Roman" w:eastAsia="Times New Roman" w:hAnsi="Times New Roman" w:cs="Times New Roman"/>
          <w:color w:val="262626"/>
          <w:sz w:val="20"/>
          <w:szCs w:val="20"/>
        </w:rPr>
        <w:t>* Significant p &lt; 0.05; ** significant p &lt; 0.01; *** significant p &lt; 0.001</w:t>
      </w:r>
    </w:p>
    <w:p w14:paraId="3E5032CD" w14:textId="77777777" w:rsidR="00E17BEC" w:rsidRDefault="00E17BEC">
      <w:pPr>
        <w:jc w:val="both"/>
        <w:rPr>
          <w:rFonts w:ascii="Times New Roman" w:eastAsia="Times New Roman" w:hAnsi="Times New Roman" w:cs="Times New Roman"/>
          <w:sz w:val="20"/>
          <w:szCs w:val="20"/>
        </w:rPr>
      </w:pPr>
    </w:p>
    <w:p w14:paraId="03DC601A" w14:textId="77777777" w:rsidR="00614E79" w:rsidRDefault="00614E79">
      <w:pPr>
        <w:jc w:val="both"/>
        <w:rPr>
          <w:rFonts w:ascii="Times New Roman" w:eastAsia="Times New Roman" w:hAnsi="Times New Roman" w:cs="Times New Roman"/>
          <w:sz w:val="20"/>
          <w:szCs w:val="20"/>
        </w:rPr>
      </w:pPr>
    </w:p>
    <w:p w14:paraId="3F6461CA" w14:textId="77777777" w:rsidR="00614E79" w:rsidRDefault="00614E79">
      <w:pPr>
        <w:jc w:val="both"/>
        <w:rPr>
          <w:rFonts w:ascii="Times New Roman" w:eastAsia="Times New Roman" w:hAnsi="Times New Roman" w:cs="Times New Roman"/>
          <w:sz w:val="20"/>
          <w:szCs w:val="20"/>
        </w:rPr>
      </w:pPr>
    </w:p>
    <w:p w14:paraId="20370ED9" w14:textId="77777777" w:rsidR="00614E79" w:rsidRDefault="00614E79">
      <w:pPr>
        <w:jc w:val="both"/>
        <w:rPr>
          <w:rFonts w:ascii="Times New Roman" w:eastAsia="Times New Roman" w:hAnsi="Times New Roman" w:cs="Times New Roman"/>
          <w:sz w:val="20"/>
          <w:szCs w:val="20"/>
        </w:rPr>
      </w:pPr>
    </w:p>
    <w:p w14:paraId="1576E694" w14:textId="77777777" w:rsidR="00614E79" w:rsidRDefault="00614E79">
      <w:pPr>
        <w:jc w:val="both"/>
        <w:rPr>
          <w:rFonts w:ascii="Times New Roman" w:eastAsia="Times New Roman" w:hAnsi="Times New Roman" w:cs="Times New Roman"/>
          <w:sz w:val="20"/>
          <w:szCs w:val="20"/>
        </w:rPr>
      </w:pPr>
    </w:p>
    <w:p w14:paraId="619DE031" w14:textId="77777777" w:rsidR="00614E79" w:rsidRDefault="00614E79">
      <w:pPr>
        <w:jc w:val="both"/>
        <w:rPr>
          <w:rFonts w:ascii="Times New Roman" w:eastAsia="Times New Roman" w:hAnsi="Times New Roman" w:cs="Times New Roman"/>
          <w:sz w:val="20"/>
          <w:szCs w:val="20"/>
        </w:rPr>
      </w:pPr>
    </w:p>
    <w:p w14:paraId="471E2F55" w14:textId="05DCEF0F" w:rsidR="00614E79" w:rsidRDefault="00614E79">
      <w:pPr>
        <w:jc w:val="both"/>
        <w:rPr>
          <w:rFonts w:ascii="Times New Roman" w:eastAsia="Times New Roman" w:hAnsi="Times New Roman" w:cs="Times New Roman"/>
          <w:b/>
          <w:bCs/>
          <w:sz w:val="20"/>
          <w:szCs w:val="20"/>
        </w:rPr>
      </w:pPr>
      <w:r w:rsidRPr="00614E79">
        <w:rPr>
          <w:rFonts w:ascii="Times New Roman" w:eastAsia="Times New Roman" w:hAnsi="Times New Roman" w:cs="Times New Roman"/>
          <w:b/>
          <w:bCs/>
          <w:sz w:val="20"/>
          <w:szCs w:val="20"/>
        </w:rPr>
        <w:lastRenderedPageBreak/>
        <w:t>Figure S2</w:t>
      </w:r>
    </w:p>
    <w:p w14:paraId="5E934688" w14:textId="50E49B21" w:rsidR="00614E79" w:rsidRDefault="00614E79">
      <w:pPr>
        <w:jc w:val="both"/>
        <w:rPr>
          <w:rFonts w:ascii="Times New Roman" w:eastAsia="Times New Roman" w:hAnsi="Times New Roman" w:cs="Times New Roman"/>
          <w:b/>
          <w:sz w:val="20"/>
          <w:szCs w:val="20"/>
        </w:rPr>
      </w:pPr>
      <w:r w:rsidRPr="00C01F1D">
        <w:rPr>
          <w:rFonts w:ascii="Times New Roman" w:eastAsia="Times New Roman" w:hAnsi="Times New Roman" w:cs="Times New Roman"/>
          <w:b/>
          <w:sz w:val="20"/>
          <w:szCs w:val="20"/>
        </w:rPr>
        <w:t>eCBome</w:t>
      </w:r>
      <w:r>
        <w:rPr>
          <w:rFonts w:ascii="Times New Roman" w:eastAsia="Times New Roman" w:hAnsi="Times New Roman" w:cs="Times New Roman"/>
          <w:b/>
          <w:sz w:val="20"/>
          <w:szCs w:val="20"/>
        </w:rPr>
        <w:t xml:space="preserve"> profile of the genetic cases and sporadic patients. </w:t>
      </w:r>
    </w:p>
    <w:p w14:paraId="1F28BA4C" w14:textId="77777777" w:rsidR="00614E79" w:rsidRDefault="00614E79">
      <w:pPr>
        <w:jc w:val="both"/>
        <w:rPr>
          <w:rFonts w:ascii="Times New Roman" w:eastAsia="Times New Roman" w:hAnsi="Times New Roman" w:cs="Times New Roman"/>
          <w:b/>
          <w:sz w:val="20"/>
          <w:szCs w:val="20"/>
        </w:rPr>
      </w:pPr>
    </w:p>
    <w:p w14:paraId="318B8EB7" w14:textId="07284495" w:rsidR="00614E79" w:rsidRPr="00614E79" w:rsidRDefault="005D1FB6">
      <w:pPr>
        <w:jc w:val="both"/>
        <w:rPr>
          <w:rFonts w:ascii="Times New Roman" w:eastAsia="Times New Roman" w:hAnsi="Times New Roman" w:cs="Times New Roman"/>
          <w:b/>
          <w:bCs/>
          <w:sz w:val="20"/>
          <w:szCs w:val="20"/>
        </w:rPr>
      </w:pPr>
      <w:r>
        <w:rPr>
          <w:rFonts w:ascii="Times New Roman" w:eastAsia="Times New Roman" w:hAnsi="Times New Roman" w:cs="Times New Roman"/>
          <w:b/>
          <w:noProof/>
          <w:sz w:val="20"/>
          <w:szCs w:val="20"/>
        </w:rPr>
        <w:drawing>
          <wp:inline distT="0" distB="0" distL="0" distR="0" wp14:anchorId="4F40C3EE" wp14:editId="029EF969">
            <wp:extent cx="5939704" cy="1800000"/>
            <wp:effectExtent l="0" t="0" r="4445" b="0"/>
            <wp:docPr id="25951387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9704" cy="1800000"/>
                    </a:xfrm>
                    <a:prstGeom prst="rect">
                      <a:avLst/>
                    </a:prstGeom>
                    <a:noFill/>
                  </pic:spPr>
                </pic:pic>
              </a:graphicData>
            </a:graphic>
          </wp:inline>
        </w:drawing>
      </w:r>
      <w:r w:rsidR="00614E79">
        <w:rPr>
          <w:rFonts w:ascii="Times New Roman" w:eastAsia="Times New Roman" w:hAnsi="Times New Roman" w:cs="Times New Roman"/>
          <w:b/>
          <w:sz w:val="20"/>
          <w:szCs w:val="20"/>
        </w:rPr>
        <w:t xml:space="preserve"> </w:t>
      </w:r>
    </w:p>
    <w:p w14:paraId="6F149840" w14:textId="1FA00B2F" w:rsidR="00E17BEC" w:rsidRPr="00C01F1D" w:rsidRDefault="00D06F6B">
      <w:pPr>
        <w:rPr>
          <w:rFonts w:ascii="Times New Roman" w:eastAsia="Times New Roman" w:hAnsi="Times New Roman" w:cs="Times New Roman"/>
          <w:b/>
          <w:sz w:val="20"/>
          <w:szCs w:val="20"/>
        </w:rPr>
      </w:pPr>
      <w:r w:rsidRPr="00D06F6B">
        <w:rPr>
          <w:rFonts w:ascii="Times New Roman" w:eastAsia="Times New Roman" w:hAnsi="Times New Roman" w:cs="Times New Roman"/>
          <w:sz w:val="20"/>
          <w:szCs w:val="20"/>
        </w:rPr>
        <w:t>eCBome profile of the three patients carrying C9orf72 repeat expansion, one patient had mutations in the SOD1 gene and another in the TARDBP gene. Sporadic cases were ALS patients (N = 60) negative for the four most common ALS-causing genes (C9orf72, SOD1, TARDBP, and FUS). Data are expressed as median and IQR where possible.</w:t>
      </w:r>
    </w:p>
    <w:sectPr w:rsidR="00E17BEC" w:rsidRPr="00C01F1D">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5EC2B6" w14:textId="77777777" w:rsidR="00E81DA1" w:rsidRDefault="00E81DA1" w:rsidP="00142582">
      <w:pPr>
        <w:spacing w:after="0" w:line="240" w:lineRule="auto"/>
      </w:pPr>
      <w:r>
        <w:separator/>
      </w:r>
    </w:p>
  </w:endnote>
  <w:endnote w:type="continuationSeparator" w:id="0">
    <w:p w14:paraId="74B99E3F" w14:textId="77777777" w:rsidR="00E81DA1" w:rsidRDefault="00E81DA1" w:rsidP="00142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CFC82" w14:textId="77777777" w:rsidR="00E81DA1" w:rsidRDefault="00E81DA1" w:rsidP="00142582">
      <w:pPr>
        <w:spacing w:after="0" w:line="240" w:lineRule="auto"/>
      </w:pPr>
      <w:r>
        <w:separator/>
      </w:r>
    </w:p>
  </w:footnote>
  <w:footnote w:type="continuationSeparator" w:id="0">
    <w:p w14:paraId="1876A7F9" w14:textId="77777777" w:rsidR="00E81DA1" w:rsidRDefault="00E81DA1" w:rsidP="001425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EC"/>
    <w:rsid w:val="000311D1"/>
    <w:rsid w:val="00055A22"/>
    <w:rsid w:val="000B4A27"/>
    <w:rsid w:val="00142582"/>
    <w:rsid w:val="0015703F"/>
    <w:rsid w:val="001B0C41"/>
    <w:rsid w:val="001B3689"/>
    <w:rsid w:val="001F1111"/>
    <w:rsid w:val="0029197D"/>
    <w:rsid w:val="002A5284"/>
    <w:rsid w:val="002D3D66"/>
    <w:rsid w:val="00305F32"/>
    <w:rsid w:val="0031391C"/>
    <w:rsid w:val="003F6C6A"/>
    <w:rsid w:val="00431A74"/>
    <w:rsid w:val="00436423"/>
    <w:rsid w:val="00463085"/>
    <w:rsid w:val="004F6CF2"/>
    <w:rsid w:val="005113EC"/>
    <w:rsid w:val="00546C12"/>
    <w:rsid w:val="005C74CC"/>
    <w:rsid w:val="005D1FB6"/>
    <w:rsid w:val="00614E79"/>
    <w:rsid w:val="00666D16"/>
    <w:rsid w:val="006B01A0"/>
    <w:rsid w:val="00771789"/>
    <w:rsid w:val="0079693A"/>
    <w:rsid w:val="007C2487"/>
    <w:rsid w:val="00812353"/>
    <w:rsid w:val="00877992"/>
    <w:rsid w:val="008B6075"/>
    <w:rsid w:val="0091528E"/>
    <w:rsid w:val="009F67D5"/>
    <w:rsid w:val="00A6097A"/>
    <w:rsid w:val="00AF6830"/>
    <w:rsid w:val="00B05408"/>
    <w:rsid w:val="00B11F43"/>
    <w:rsid w:val="00B22597"/>
    <w:rsid w:val="00BB0657"/>
    <w:rsid w:val="00BD147A"/>
    <w:rsid w:val="00BF6C2A"/>
    <w:rsid w:val="00C01F1D"/>
    <w:rsid w:val="00CF2B38"/>
    <w:rsid w:val="00D06F6B"/>
    <w:rsid w:val="00DA629F"/>
    <w:rsid w:val="00DF711F"/>
    <w:rsid w:val="00E05990"/>
    <w:rsid w:val="00E11299"/>
    <w:rsid w:val="00E17BEC"/>
    <w:rsid w:val="00E501F3"/>
    <w:rsid w:val="00E72928"/>
    <w:rsid w:val="00E81DA1"/>
    <w:rsid w:val="00ED6490"/>
    <w:rsid w:val="00F470E8"/>
    <w:rsid w:val="00F841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33EBE"/>
  <w15:docId w15:val="{9B116CD9-B613-4A9C-A6D1-B69668FA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styleId="Grigliatabella">
    <w:name w:val="Table Grid"/>
    <w:basedOn w:val="Tabellanormale"/>
    <w:uiPriority w:val="39"/>
    <w:rsid w:val="00984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ellanormale"/>
    <w:pPr>
      <w:spacing w:after="0" w:line="240" w:lineRule="auto"/>
    </w:pPr>
    <w:tblPr>
      <w:tblStyleRowBandSize w:val="1"/>
      <w:tblStyleColBandSize w:val="1"/>
    </w:tblPr>
  </w:style>
  <w:style w:type="table" w:customStyle="1" w:styleId="a0">
    <w:basedOn w:val="Tabellanormale"/>
    <w:tblPr>
      <w:tblStyleRowBandSize w:val="1"/>
      <w:tblStyleColBandSize w:val="1"/>
      <w:tblCellMar>
        <w:left w:w="115" w:type="dxa"/>
        <w:right w:w="115" w:type="dxa"/>
      </w:tblCellMar>
    </w:tblPr>
  </w:style>
  <w:style w:type="table" w:customStyle="1" w:styleId="a1">
    <w:basedOn w:val="Tabellanormale"/>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142582"/>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142582"/>
  </w:style>
  <w:style w:type="paragraph" w:styleId="Pidipagina">
    <w:name w:val="footer"/>
    <w:basedOn w:val="Normale"/>
    <w:link w:val="PidipaginaCarattere"/>
    <w:uiPriority w:val="99"/>
    <w:unhideWhenUsed/>
    <w:rsid w:val="00142582"/>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142582"/>
  </w:style>
  <w:style w:type="character" w:styleId="Testosegnaposto">
    <w:name w:val="Placeholder Text"/>
    <w:basedOn w:val="Carpredefinitoparagrafo"/>
    <w:uiPriority w:val="99"/>
    <w:semiHidden/>
    <w:rsid w:val="007C248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4683">
      <w:bodyDiv w:val="1"/>
      <w:marLeft w:val="0"/>
      <w:marRight w:val="0"/>
      <w:marTop w:val="0"/>
      <w:marBottom w:val="0"/>
      <w:divBdr>
        <w:top w:val="none" w:sz="0" w:space="0" w:color="auto"/>
        <w:left w:val="none" w:sz="0" w:space="0" w:color="auto"/>
        <w:bottom w:val="none" w:sz="0" w:space="0" w:color="auto"/>
        <w:right w:val="none" w:sz="0" w:space="0" w:color="auto"/>
      </w:divBdr>
      <w:divsChild>
        <w:div w:id="2107965862">
          <w:marLeft w:val="480"/>
          <w:marRight w:val="0"/>
          <w:marTop w:val="0"/>
          <w:marBottom w:val="0"/>
          <w:divBdr>
            <w:top w:val="none" w:sz="0" w:space="0" w:color="auto"/>
            <w:left w:val="none" w:sz="0" w:space="0" w:color="auto"/>
            <w:bottom w:val="none" w:sz="0" w:space="0" w:color="auto"/>
            <w:right w:val="none" w:sz="0" w:space="0" w:color="auto"/>
          </w:divBdr>
        </w:div>
        <w:div w:id="994409213">
          <w:marLeft w:val="480"/>
          <w:marRight w:val="0"/>
          <w:marTop w:val="0"/>
          <w:marBottom w:val="0"/>
          <w:divBdr>
            <w:top w:val="none" w:sz="0" w:space="0" w:color="auto"/>
            <w:left w:val="none" w:sz="0" w:space="0" w:color="auto"/>
            <w:bottom w:val="none" w:sz="0" w:space="0" w:color="auto"/>
            <w:right w:val="none" w:sz="0" w:space="0" w:color="auto"/>
          </w:divBdr>
        </w:div>
        <w:div w:id="679818732">
          <w:marLeft w:val="480"/>
          <w:marRight w:val="0"/>
          <w:marTop w:val="0"/>
          <w:marBottom w:val="0"/>
          <w:divBdr>
            <w:top w:val="none" w:sz="0" w:space="0" w:color="auto"/>
            <w:left w:val="none" w:sz="0" w:space="0" w:color="auto"/>
            <w:bottom w:val="none" w:sz="0" w:space="0" w:color="auto"/>
            <w:right w:val="none" w:sz="0" w:space="0" w:color="auto"/>
          </w:divBdr>
        </w:div>
        <w:div w:id="1778940178">
          <w:marLeft w:val="480"/>
          <w:marRight w:val="0"/>
          <w:marTop w:val="0"/>
          <w:marBottom w:val="0"/>
          <w:divBdr>
            <w:top w:val="none" w:sz="0" w:space="0" w:color="auto"/>
            <w:left w:val="none" w:sz="0" w:space="0" w:color="auto"/>
            <w:bottom w:val="none" w:sz="0" w:space="0" w:color="auto"/>
            <w:right w:val="none" w:sz="0" w:space="0" w:color="auto"/>
          </w:divBdr>
        </w:div>
        <w:div w:id="414326502">
          <w:marLeft w:val="480"/>
          <w:marRight w:val="0"/>
          <w:marTop w:val="0"/>
          <w:marBottom w:val="0"/>
          <w:divBdr>
            <w:top w:val="none" w:sz="0" w:space="0" w:color="auto"/>
            <w:left w:val="none" w:sz="0" w:space="0" w:color="auto"/>
            <w:bottom w:val="none" w:sz="0" w:space="0" w:color="auto"/>
            <w:right w:val="none" w:sz="0" w:space="0" w:color="auto"/>
          </w:divBdr>
        </w:div>
        <w:div w:id="1183546778">
          <w:marLeft w:val="480"/>
          <w:marRight w:val="0"/>
          <w:marTop w:val="0"/>
          <w:marBottom w:val="0"/>
          <w:divBdr>
            <w:top w:val="none" w:sz="0" w:space="0" w:color="auto"/>
            <w:left w:val="none" w:sz="0" w:space="0" w:color="auto"/>
            <w:bottom w:val="none" w:sz="0" w:space="0" w:color="auto"/>
            <w:right w:val="none" w:sz="0" w:space="0" w:color="auto"/>
          </w:divBdr>
        </w:div>
        <w:div w:id="814758798">
          <w:marLeft w:val="480"/>
          <w:marRight w:val="0"/>
          <w:marTop w:val="0"/>
          <w:marBottom w:val="0"/>
          <w:divBdr>
            <w:top w:val="none" w:sz="0" w:space="0" w:color="auto"/>
            <w:left w:val="none" w:sz="0" w:space="0" w:color="auto"/>
            <w:bottom w:val="none" w:sz="0" w:space="0" w:color="auto"/>
            <w:right w:val="none" w:sz="0" w:space="0" w:color="auto"/>
          </w:divBdr>
        </w:div>
        <w:div w:id="456066695">
          <w:marLeft w:val="480"/>
          <w:marRight w:val="0"/>
          <w:marTop w:val="0"/>
          <w:marBottom w:val="0"/>
          <w:divBdr>
            <w:top w:val="none" w:sz="0" w:space="0" w:color="auto"/>
            <w:left w:val="none" w:sz="0" w:space="0" w:color="auto"/>
            <w:bottom w:val="none" w:sz="0" w:space="0" w:color="auto"/>
            <w:right w:val="none" w:sz="0" w:space="0" w:color="auto"/>
          </w:divBdr>
        </w:div>
        <w:div w:id="283997822">
          <w:marLeft w:val="480"/>
          <w:marRight w:val="0"/>
          <w:marTop w:val="0"/>
          <w:marBottom w:val="0"/>
          <w:divBdr>
            <w:top w:val="none" w:sz="0" w:space="0" w:color="auto"/>
            <w:left w:val="none" w:sz="0" w:space="0" w:color="auto"/>
            <w:bottom w:val="none" w:sz="0" w:space="0" w:color="auto"/>
            <w:right w:val="none" w:sz="0" w:space="0" w:color="auto"/>
          </w:divBdr>
        </w:div>
        <w:div w:id="911625475">
          <w:marLeft w:val="480"/>
          <w:marRight w:val="0"/>
          <w:marTop w:val="0"/>
          <w:marBottom w:val="0"/>
          <w:divBdr>
            <w:top w:val="none" w:sz="0" w:space="0" w:color="auto"/>
            <w:left w:val="none" w:sz="0" w:space="0" w:color="auto"/>
            <w:bottom w:val="none" w:sz="0" w:space="0" w:color="auto"/>
            <w:right w:val="none" w:sz="0" w:space="0" w:color="auto"/>
          </w:divBdr>
        </w:div>
        <w:div w:id="1201550090">
          <w:marLeft w:val="480"/>
          <w:marRight w:val="0"/>
          <w:marTop w:val="0"/>
          <w:marBottom w:val="0"/>
          <w:divBdr>
            <w:top w:val="none" w:sz="0" w:space="0" w:color="auto"/>
            <w:left w:val="none" w:sz="0" w:space="0" w:color="auto"/>
            <w:bottom w:val="none" w:sz="0" w:space="0" w:color="auto"/>
            <w:right w:val="none" w:sz="0" w:space="0" w:color="auto"/>
          </w:divBdr>
        </w:div>
      </w:divsChild>
    </w:div>
    <w:div w:id="107939919">
      <w:bodyDiv w:val="1"/>
      <w:marLeft w:val="0"/>
      <w:marRight w:val="0"/>
      <w:marTop w:val="0"/>
      <w:marBottom w:val="0"/>
      <w:divBdr>
        <w:top w:val="none" w:sz="0" w:space="0" w:color="auto"/>
        <w:left w:val="none" w:sz="0" w:space="0" w:color="auto"/>
        <w:bottom w:val="none" w:sz="0" w:space="0" w:color="auto"/>
        <w:right w:val="none" w:sz="0" w:space="0" w:color="auto"/>
      </w:divBdr>
      <w:divsChild>
        <w:div w:id="661810452">
          <w:marLeft w:val="480"/>
          <w:marRight w:val="0"/>
          <w:marTop w:val="0"/>
          <w:marBottom w:val="0"/>
          <w:divBdr>
            <w:top w:val="none" w:sz="0" w:space="0" w:color="auto"/>
            <w:left w:val="none" w:sz="0" w:space="0" w:color="auto"/>
            <w:bottom w:val="none" w:sz="0" w:space="0" w:color="auto"/>
            <w:right w:val="none" w:sz="0" w:space="0" w:color="auto"/>
          </w:divBdr>
        </w:div>
        <w:div w:id="1583681715">
          <w:marLeft w:val="480"/>
          <w:marRight w:val="0"/>
          <w:marTop w:val="0"/>
          <w:marBottom w:val="0"/>
          <w:divBdr>
            <w:top w:val="none" w:sz="0" w:space="0" w:color="auto"/>
            <w:left w:val="none" w:sz="0" w:space="0" w:color="auto"/>
            <w:bottom w:val="none" w:sz="0" w:space="0" w:color="auto"/>
            <w:right w:val="none" w:sz="0" w:space="0" w:color="auto"/>
          </w:divBdr>
        </w:div>
        <w:div w:id="1067924735">
          <w:marLeft w:val="480"/>
          <w:marRight w:val="0"/>
          <w:marTop w:val="0"/>
          <w:marBottom w:val="0"/>
          <w:divBdr>
            <w:top w:val="none" w:sz="0" w:space="0" w:color="auto"/>
            <w:left w:val="none" w:sz="0" w:space="0" w:color="auto"/>
            <w:bottom w:val="none" w:sz="0" w:space="0" w:color="auto"/>
            <w:right w:val="none" w:sz="0" w:space="0" w:color="auto"/>
          </w:divBdr>
        </w:div>
        <w:div w:id="2012249043">
          <w:marLeft w:val="480"/>
          <w:marRight w:val="0"/>
          <w:marTop w:val="0"/>
          <w:marBottom w:val="0"/>
          <w:divBdr>
            <w:top w:val="none" w:sz="0" w:space="0" w:color="auto"/>
            <w:left w:val="none" w:sz="0" w:space="0" w:color="auto"/>
            <w:bottom w:val="none" w:sz="0" w:space="0" w:color="auto"/>
            <w:right w:val="none" w:sz="0" w:space="0" w:color="auto"/>
          </w:divBdr>
        </w:div>
        <w:div w:id="552890720">
          <w:marLeft w:val="480"/>
          <w:marRight w:val="0"/>
          <w:marTop w:val="0"/>
          <w:marBottom w:val="0"/>
          <w:divBdr>
            <w:top w:val="none" w:sz="0" w:space="0" w:color="auto"/>
            <w:left w:val="none" w:sz="0" w:space="0" w:color="auto"/>
            <w:bottom w:val="none" w:sz="0" w:space="0" w:color="auto"/>
            <w:right w:val="none" w:sz="0" w:space="0" w:color="auto"/>
          </w:divBdr>
        </w:div>
        <w:div w:id="11272234">
          <w:marLeft w:val="480"/>
          <w:marRight w:val="0"/>
          <w:marTop w:val="0"/>
          <w:marBottom w:val="0"/>
          <w:divBdr>
            <w:top w:val="none" w:sz="0" w:space="0" w:color="auto"/>
            <w:left w:val="none" w:sz="0" w:space="0" w:color="auto"/>
            <w:bottom w:val="none" w:sz="0" w:space="0" w:color="auto"/>
            <w:right w:val="none" w:sz="0" w:space="0" w:color="auto"/>
          </w:divBdr>
        </w:div>
        <w:div w:id="1432895257">
          <w:marLeft w:val="480"/>
          <w:marRight w:val="0"/>
          <w:marTop w:val="0"/>
          <w:marBottom w:val="0"/>
          <w:divBdr>
            <w:top w:val="none" w:sz="0" w:space="0" w:color="auto"/>
            <w:left w:val="none" w:sz="0" w:space="0" w:color="auto"/>
            <w:bottom w:val="none" w:sz="0" w:space="0" w:color="auto"/>
            <w:right w:val="none" w:sz="0" w:space="0" w:color="auto"/>
          </w:divBdr>
        </w:div>
        <w:div w:id="1266183326">
          <w:marLeft w:val="480"/>
          <w:marRight w:val="0"/>
          <w:marTop w:val="0"/>
          <w:marBottom w:val="0"/>
          <w:divBdr>
            <w:top w:val="none" w:sz="0" w:space="0" w:color="auto"/>
            <w:left w:val="none" w:sz="0" w:space="0" w:color="auto"/>
            <w:bottom w:val="none" w:sz="0" w:space="0" w:color="auto"/>
            <w:right w:val="none" w:sz="0" w:space="0" w:color="auto"/>
          </w:divBdr>
        </w:div>
        <w:div w:id="1738362037">
          <w:marLeft w:val="480"/>
          <w:marRight w:val="0"/>
          <w:marTop w:val="0"/>
          <w:marBottom w:val="0"/>
          <w:divBdr>
            <w:top w:val="none" w:sz="0" w:space="0" w:color="auto"/>
            <w:left w:val="none" w:sz="0" w:space="0" w:color="auto"/>
            <w:bottom w:val="none" w:sz="0" w:space="0" w:color="auto"/>
            <w:right w:val="none" w:sz="0" w:space="0" w:color="auto"/>
          </w:divBdr>
        </w:div>
        <w:div w:id="1796563622">
          <w:marLeft w:val="480"/>
          <w:marRight w:val="0"/>
          <w:marTop w:val="0"/>
          <w:marBottom w:val="0"/>
          <w:divBdr>
            <w:top w:val="none" w:sz="0" w:space="0" w:color="auto"/>
            <w:left w:val="none" w:sz="0" w:space="0" w:color="auto"/>
            <w:bottom w:val="none" w:sz="0" w:space="0" w:color="auto"/>
            <w:right w:val="none" w:sz="0" w:space="0" w:color="auto"/>
          </w:divBdr>
        </w:div>
      </w:divsChild>
    </w:div>
    <w:div w:id="233855910">
      <w:bodyDiv w:val="1"/>
      <w:marLeft w:val="0"/>
      <w:marRight w:val="0"/>
      <w:marTop w:val="0"/>
      <w:marBottom w:val="0"/>
      <w:divBdr>
        <w:top w:val="none" w:sz="0" w:space="0" w:color="auto"/>
        <w:left w:val="none" w:sz="0" w:space="0" w:color="auto"/>
        <w:bottom w:val="none" w:sz="0" w:space="0" w:color="auto"/>
        <w:right w:val="none" w:sz="0" w:space="0" w:color="auto"/>
      </w:divBdr>
      <w:divsChild>
        <w:div w:id="1775176213">
          <w:marLeft w:val="480"/>
          <w:marRight w:val="0"/>
          <w:marTop w:val="0"/>
          <w:marBottom w:val="0"/>
          <w:divBdr>
            <w:top w:val="none" w:sz="0" w:space="0" w:color="auto"/>
            <w:left w:val="none" w:sz="0" w:space="0" w:color="auto"/>
            <w:bottom w:val="none" w:sz="0" w:space="0" w:color="auto"/>
            <w:right w:val="none" w:sz="0" w:space="0" w:color="auto"/>
          </w:divBdr>
        </w:div>
        <w:div w:id="1697390694">
          <w:marLeft w:val="480"/>
          <w:marRight w:val="0"/>
          <w:marTop w:val="0"/>
          <w:marBottom w:val="0"/>
          <w:divBdr>
            <w:top w:val="none" w:sz="0" w:space="0" w:color="auto"/>
            <w:left w:val="none" w:sz="0" w:space="0" w:color="auto"/>
            <w:bottom w:val="none" w:sz="0" w:space="0" w:color="auto"/>
            <w:right w:val="none" w:sz="0" w:space="0" w:color="auto"/>
          </w:divBdr>
        </w:div>
        <w:div w:id="604457440">
          <w:marLeft w:val="480"/>
          <w:marRight w:val="0"/>
          <w:marTop w:val="0"/>
          <w:marBottom w:val="0"/>
          <w:divBdr>
            <w:top w:val="none" w:sz="0" w:space="0" w:color="auto"/>
            <w:left w:val="none" w:sz="0" w:space="0" w:color="auto"/>
            <w:bottom w:val="none" w:sz="0" w:space="0" w:color="auto"/>
            <w:right w:val="none" w:sz="0" w:space="0" w:color="auto"/>
          </w:divBdr>
        </w:div>
        <w:div w:id="74522644">
          <w:marLeft w:val="480"/>
          <w:marRight w:val="0"/>
          <w:marTop w:val="0"/>
          <w:marBottom w:val="0"/>
          <w:divBdr>
            <w:top w:val="none" w:sz="0" w:space="0" w:color="auto"/>
            <w:left w:val="none" w:sz="0" w:space="0" w:color="auto"/>
            <w:bottom w:val="none" w:sz="0" w:space="0" w:color="auto"/>
            <w:right w:val="none" w:sz="0" w:space="0" w:color="auto"/>
          </w:divBdr>
        </w:div>
        <w:div w:id="941449976">
          <w:marLeft w:val="480"/>
          <w:marRight w:val="0"/>
          <w:marTop w:val="0"/>
          <w:marBottom w:val="0"/>
          <w:divBdr>
            <w:top w:val="none" w:sz="0" w:space="0" w:color="auto"/>
            <w:left w:val="none" w:sz="0" w:space="0" w:color="auto"/>
            <w:bottom w:val="none" w:sz="0" w:space="0" w:color="auto"/>
            <w:right w:val="none" w:sz="0" w:space="0" w:color="auto"/>
          </w:divBdr>
        </w:div>
        <w:div w:id="1379740792">
          <w:marLeft w:val="480"/>
          <w:marRight w:val="0"/>
          <w:marTop w:val="0"/>
          <w:marBottom w:val="0"/>
          <w:divBdr>
            <w:top w:val="none" w:sz="0" w:space="0" w:color="auto"/>
            <w:left w:val="none" w:sz="0" w:space="0" w:color="auto"/>
            <w:bottom w:val="none" w:sz="0" w:space="0" w:color="auto"/>
            <w:right w:val="none" w:sz="0" w:space="0" w:color="auto"/>
          </w:divBdr>
        </w:div>
        <w:div w:id="605190563">
          <w:marLeft w:val="480"/>
          <w:marRight w:val="0"/>
          <w:marTop w:val="0"/>
          <w:marBottom w:val="0"/>
          <w:divBdr>
            <w:top w:val="none" w:sz="0" w:space="0" w:color="auto"/>
            <w:left w:val="none" w:sz="0" w:space="0" w:color="auto"/>
            <w:bottom w:val="none" w:sz="0" w:space="0" w:color="auto"/>
            <w:right w:val="none" w:sz="0" w:space="0" w:color="auto"/>
          </w:divBdr>
        </w:div>
        <w:div w:id="428938493">
          <w:marLeft w:val="480"/>
          <w:marRight w:val="0"/>
          <w:marTop w:val="0"/>
          <w:marBottom w:val="0"/>
          <w:divBdr>
            <w:top w:val="none" w:sz="0" w:space="0" w:color="auto"/>
            <w:left w:val="none" w:sz="0" w:space="0" w:color="auto"/>
            <w:bottom w:val="none" w:sz="0" w:space="0" w:color="auto"/>
            <w:right w:val="none" w:sz="0" w:space="0" w:color="auto"/>
          </w:divBdr>
        </w:div>
        <w:div w:id="836849457">
          <w:marLeft w:val="480"/>
          <w:marRight w:val="0"/>
          <w:marTop w:val="0"/>
          <w:marBottom w:val="0"/>
          <w:divBdr>
            <w:top w:val="none" w:sz="0" w:space="0" w:color="auto"/>
            <w:left w:val="none" w:sz="0" w:space="0" w:color="auto"/>
            <w:bottom w:val="none" w:sz="0" w:space="0" w:color="auto"/>
            <w:right w:val="none" w:sz="0" w:space="0" w:color="auto"/>
          </w:divBdr>
        </w:div>
        <w:div w:id="401342721">
          <w:marLeft w:val="480"/>
          <w:marRight w:val="0"/>
          <w:marTop w:val="0"/>
          <w:marBottom w:val="0"/>
          <w:divBdr>
            <w:top w:val="none" w:sz="0" w:space="0" w:color="auto"/>
            <w:left w:val="none" w:sz="0" w:space="0" w:color="auto"/>
            <w:bottom w:val="none" w:sz="0" w:space="0" w:color="auto"/>
            <w:right w:val="none" w:sz="0" w:space="0" w:color="auto"/>
          </w:divBdr>
        </w:div>
        <w:div w:id="914172213">
          <w:marLeft w:val="480"/>
          <w:marRight w:val="0"/>
          <w:marTop w:val="0"/>
          <w:marBottom w:val="0"/>
          <w:divBdr>
            <w:top w:val="none" w:sz="0" w:space="0" w:color="auto"/>
            <w:left w:val="none" w:sz="0" w:space="0" w:color="auto"/>
            <w:bottom w:val="none" w:sz="0" w:space="0" w:color="auto"/>
            <w:right w:val="none" w:sz="0" w:space="0" w:color="auto"/>
          </w:divBdr>
        </w:div>
      </w:divsChild>
    </w:div>
    <w:div w:id="330912424">
      <w:bodyDiv w:val="1"/>
      <w:marLeft w:val="0"/>
      <w:marRight w:val="0"/>
      <w:marTop w:val="0"/>
      <w:marBottom w:val="0"/>
      <w:divBdr>
        <w:top w:val="none" w:sz="0" w:space="0" w:color="auto"/>
        <w:left w:val="none" w:sz="0" w:space="0" w:color="auto"/>
        <w:bottom w:val="none" w:sz="0" w:space="0" w:color="auto"/>
        <w:right w:val="none" w:sz="0" w:space="0" w:color="auto"/>
      </w:divBdr>
      <w:divsChild>
        <w:div w:id="546993674">
          <w:marLeft w:val="480"/>
          <w:marRight w:val="0"/>
          <w:marTop w:val="0"/>
          <w:marBottom w:val="0"/>
          <w:divBdr>
            <w:top w:val="none" w:sz="0" w:space="0" w:color="auto"/>
            <w:left w:val="none" w:sz="0" w:space="0" w:color="auto"/>
            <w:bottom w:val="none" w:sz="0" w:space="0" w:color="auto"/>
            <w:right w:val="none" w:sz="0" w:space="0" w:color="auto"/>
          </w:divBdr>
        </w:div>
        <w:div w:id="1311640865">
          <w:marLeft w:val="480"/>
          <w:marRight w:val="0"/>
          <w:marTop w:val="0"/>
          <w:marBottom w:val="0"/>
          <w:divBdr>
            <w:top w:val="none" w:sz="0" w:space="0" w:color="auto"/>
            <w:left w:val="none" w:sz="0" w:space="0" w:color="auto"/>
            <w:bottom w:val="none" w:sz="0" w:space="0" w:color="auto"/>
            <w:right w:val="none" w:sz="0" w:space="0" w:color="auto"/>
          </w:divBdr>
        </w:div>
        <w:div w:id="1728525370">
          <w:marLeft w:val="480"/>
          <w:marRight w:val="0"/>
          <w:marTop w:val="0"/>
          <w:marBottom w:val="0"/>
          <w:divBdr>
            <w:top w:val="none" w:sz="0" w:space="0" w:color="auto"/>
            <w:left w:val="none" w:sz="0" w:space="0" w:color="auto"/>
            <w:bottom w:val="none" w:sz="0" w:space="0" w:color="auto"/>
            <w:right w:val="none" w:sz="0" w:space="0" w:color="auto"/>
          </w:divBdr>
        </w:div>
        <w:div w:id="1175070020">
          <w:marLeft w:val="480"/>
          <w:marRight w:val="0"/>
          <w:marTop w:val="0"/>
          <w:marBottom w:val="0"/>
          <w:divBdr>
            <w:top w:val="none" w:sz="0" w:space="0" w:color="auto"/>
            <w:left w:val="none" w:sz="0" w:space="0" w:color="auto"/>
            <w:bottom w:val="none" w:sz="0" w:space="0" w:color="auto"/>
            <w:right w:val="none" w:sz="0" w:space="0" w:color="auto"/>
          </w:divBdr>
        </w:div>
        <w:div w:id="2012222882">
          <w:marLeft w:val="480"/>
          <w:marRight w:val="0"/>
          <w:marTop w:val="0"/>
          <w:marBottom w:val="0"/>
          <w:divBdr>
            <w:top w:val="none" w:sz="0" w:space="0" w:color="auto"/>
            <w:left w:val="none" w:sz="0" w:space="0" w:color="auto"/>
            <w:bottom w:val="none" w:sz="0" w:space="0" w:color="auto"/>
            <w:right w:val="none" w:sz="0" w:space="0" w:color="auto"/>
          </w:divBdr>
        </w:div>
      </w:divsChild>
    </w:div>
    <w:div w:id="531261114">
      <w:bodyDiv w:val="1"/>
      <w:marLeft w:val="0"/>
      <w:marRight w:val="0"/>
      <w:marTop w:val="0"/>
      <w:marBottom w:val="0"/>
      <w:divBdr>
        <w:top w:val="none" w:sz="0" w:space="0" w:color="auto"/>
        <w:left w:val="none" w:sz="0" w:space="0" w:color="auto"/>
        <w:bottom w:val="none" w:sz="0" w:space="0" w:color="auto"/>
        <w:right w:val="none" w:sz="0" w:space="0" w:color="auto"/>
      </w:divBdr>
      <w:divsChild>
        <w:div w:id="1490556473">
          <w:marLeft w:val="480"/>
          <w:marRight w:val="0"/>
          <w:marTop w:val="0"/>
          <w:marBottom w:val="0"/>
          <w:divBdr>
            <w:top w:val="none" w:sz="0" w:space="0" w:color="auto"/>
            <w:left w:val="none" w:sz="0" w:space="0" w:color="auto"/>
            <w:bottom w:val="none" w:sz="0" w:space="0" w:color="auto"/>
            <w:right w:val="none" w:sz="0" w:space="0" w:color="auto"/>
          </w:divBdr>
        </w:div>
        <w:div w:id="464588841">
          <w:marLeft w:val="480"/>
          <w:marRight w:val="0"/>
          <w:marTop w:val="0"/>
          <w:marBottom w:val="0"/>
          <w:divBdr>
            <w:top w:val="none" w:sz="0" w:space="0" w:color="auto"/>
            <w:left w:val="none" w:sz="0" w:space="0" w:color="auto"/>
            <w:bottom w:val="none" w:sz="0" w:space="0" w:color="auto"/>
            <w:right w:val="none" w:sz="0" w:space="0" w:color="auto"/>
          </w:divBdr>
        </w:div>
        <w:div w:id="2043745686">
          <w:marLeft w:val="480"/>
          <w:marRight w:val="0"/>
          <w:marTop w:val="0"/>
          <w:marBottom w:val="0"/>
          <w:divBdr>
            <w:top w:val="none" w:sz="0" w:space="0" w:color="auto"/>
            <w:left w:val="none" w:sz="0" w:space="0" w:color="auto"/>
            <w:bottom w:val="none" w:sz="0" w:space="0" w:color="auto"/>
            <w:right w:val="none" w:sz="0" w:space="0" w:color="auto"/>
          </w:divBdr>
        </w:div>
        <w:div w:id="941567331">
          <w:marLeft w:val="480"/>
          <w:marRight w:val="0"/>
          <w:marTop w:val="0"/>
          <w:marBottom w:val="0"/>
          <w:divBdr>
            <w:top w:val="none" w:sz="0" w:space="0" w:color="auto"/>
            <w:left w:val="none" w:sz="0" w:space="0" w:color="auto"/>
            <w:bottom w:val="none" w:sz="0" w:space="0" w:color="auto"/>
            <w:right w:val="none" w:sz="0" w:space="0" w:color="auto"/>
          </w:divBdr>
        </w:div>
        <w:div w:id="1001392849">
          <w:marLeft w:val="480"/>
          <w:marRight w:val="0"/>
          <w:marTop w:val="0"/>
          <w:marBottom w:val="0"/>
          <w:divBdr>
            <w:top w:val="none" w:sz="0" w:space="0" w:color="auto"/>
            <w:left w:val="none" w:sz="0" w:space="0" w:color="auto"/>
            <w:bottom w:val="none" w:sz="0" w:space="0" w:color="auto"/>
            <w:right w:val="none" w:sz="0" w:space="0" w:color="auto"/>
          </w:divBdr>
        </w:div>
        <w:div w:id="1685859383">
          <w:marLeft w:val="480"/>
          <w:marRight w:val="0"/>
          <w:marTop w:val="0"/>
          <w:marBottom w:val="0"/>
          <w:divBdr>
            <w:top w:val="none" w:sz="0" w:space="0" w:color="auto"/>
            <w:left w:val="none" w:sz="0" w:space="0" w:color="auto"/>
            <w:bottom w:val="none" w:sz="0" w:space="0" w:color="auto"/>
            <w:right w:val="none" w:sz="0" w:space="0" w:color="auto"/>
          </w:divBdr>
        </w:div>
        <w:div w:id="1798789736">
          <w:marLeft w:val="480"/>
          <w:marRight w:val="0"/>
          <w:marTop w:val="0"/>
          <w:marBottom w:val="0"/>
          <w:divBdr>
            <w:top w:val="none" w:sz="0" w:space="0" w:color="auto"/>
            <w:left w:val="none" w:sz="0" w:space="0" w:color="auto"/>
            <w:bottom w:val="none" w:sz="0" w:space="0" w:color="auto"/>
            <w:right w:val="none" w:sz="0" w:space="0" w:color="auto"/>
          </w:divBdr>
        </w:div>
        <w:div w:id="1589075706">
          <w:marLeft w:val="480"/>
          <w:marRight w:val="0"/>
          <w:marTop w:val="0"/>
          <w:marBottom w:val="0"/>
          <w:divBdr>
            <w:top w:val="none" w:sz="0" w:space="0" w:color="auto"/>
            <w:left w:val="none" w:sz="0" w:space="0" w:color="auto"/>
            <w:bottom w:val="none" w:sz="0" w:space="0" w:color="auto"/>
            <w:right w:val="none" w:sz="0" w:space="0" w:color="auto"/>
          </w:divBdr>
        </w:div>
        <w:div w:id="537623066">
          <w:marLeft w:val="480"/>
          <w:marRight w:val="0"/>
          <w:marTop w:val="0"/>
          <w:marBottom w:val="0"/>
          <w:divBdr>
            <w:top w:val="none" w:sz="0" w:space="0" w:color="auto"/>
            <w:left w:val="none" w:sz="0" w:space="0" w:color="auto"/>
            <w:bottom w:val="none" w:sz="0" w:space="0" w:color="auto"/>
            <w:right w:val="none" w:sz="0" w:space="0" w:color="auto"/>
          </w:divBdr>
        </w:div>
        <w:div w:id="1480655613">
          <w:marLeft w:val="480"/>
          <w:marRight w:val="0"/>
          <w:marTop w:val="0"/>
          <w:marBottom w:val="0"/>
          <w:divBdr>
            <w:top w:val="none" w:sz="0" w:space="0" w:color="auto"/>
            <w:left w:val="none" w:sz="0" w:space="0" w:color="auto"/>
            <w:bottom w:val="none" w:sz="0" w:space="0" w:color="auto"/>
            <w:right w:val="none" w:sz="0" w:space="0" w:color="auto"/>
          </w:divBdr>
        </w:div>
        <w:div w:id="1144814126">
          <w:marLeft w:val="480"/>
          <w:marRight w:val="0"/>
          <w:marTop w:val="0"/>
          <w:marBottom w:val="0"/>
          <w:divBdr>
            <w:top w:val="none" w:sz="0" w:space="0" w:color="auto"/>
            <w:left w:val="none" w:sz="0" w:space="0" w:color="auto"/>
            <w:bottom w:val="none" w:sz="0" w:space="0" w:color="auto"/>
            <w:right w:val="none" w:sz="0" w:space="0" w:color="auto"/>
          </w:divBdr>
        </w:div>
        <w:div w:id="1058284772">
          <w:marLeft w:val="480"/>
          <w:marRight w:val="0"/>
          <w:marTop w:val="0"/>
          <w:marBottom w:val="0"/>
          <w:divBdr>
            <w:top w:val="none" w:sz="0" w:space="0" w:color="auto"/>
            <w:left w:val="none" w:sz="0" w:space="0" w:color="auto"/>
            <w:bottom w:val="none" w:sz="0" w:space="0" w:color="auto"/>
            <w:right w:val="none" w:sz="0" w:space="0" w:color="auto"/>
          </w:divBdr>
        </w:div>
        <w:div w:id="1864435963">
          <w:marLeft w:val="480"/>
          <w:marRight w:val="0"/>
          <w:marTop w:val="0"/>
          <w:marBottom w:val="0"/>
          <w:divBdr>
            <w:top w:val="none" w:sz="0" w:space="0" w:color="auto"/>
            <w:left w:val="none" w:sz="0" w:space="0" w:color="auto"/>
            <w:bottom w:val="none" w:sz="0" w:space="0" w:color="auto"/>
            <w:right w:val="none" w:sz="0" w:space="0" w:color="auto"/>
          </w:divBdr>
        </w:div>
        <w:div w:id="1337266482">
          <w:marLeft w:val="480"/>
          <w:marRight w:val="0"/>
          <w:marTop w:val="0"/>
          <w:marBottom w:val="0"/>
          <w:divBdr>
            <w:top w:val="none" w:sz="0" w:space="0" w:color="auto"/>
            <w:left w:val="none" w:sz="0" w:space="0" w:color="auto"/>
            <w:bottom w:val="none" w:sz="0" w:space="0" w:color="auto"/>
            <w:right w:val="none" w:sz="0" w:space="0" w:color="auto"/>
          </w:divBdr>
        </w:div>
      </w:divsChild>
    </w:div>
    <w:div w:id="649405518">
      <w:bodyDiv w:val="1"/>
      <w:marLeft w:val="0"/>
      <w:marRight w:val="0"/>
      <w:marTop w:val="0"/>
      <w:marBottom w:val="0"/>
      <w:divBdr>
        <w:top w:val="none" w:sz="0" w:space="0" w:color="auto"/>
        <w:left w:val="none" w:sz="0" w:space="0" w:color="auto"/>
        <w:bottom w:val="none" w:sz="0" w:space="0" w:color="auto"/>
        <w:right w:val="none" w:sz="0" w:space="0" w:color="auto"/>
      </w:divBdr>
    </w:div>
    <w:div w:id="656109221">
      <w:bodyDiv w:val="1"/>
      <w:marLeft w:val="0"/>
      <w:marRight w:val="0"/>
      <w:marTop w:val="0"/>
      <w:marBottom w:val="0"/>
      <w:divBdr>
        <w:top w:val="none" w:sz="0" w:space="0" w:color="auto"/>
        <w:left w:val="none" w:sz="0" w:space="0" w:color="auto"/>
        <w:bottom w:val="none" w:sz="0" w:space="0" w:color="auto"/>
        <w:right w:val="none" w:sz="0" w:space="0" w:color="auto"/>
      </w:divBdr>
      <w:divsChild>
        <w:div w:id="1518887280">
          <w:marLeft w:val="480"/>
          <w:marRight w:val="0"/>
          <w:marTop w:val="0"/>
          <w:marBottom w:val="0"/>
          <w:divBdr>
            <w:top w:val="none" w:sz="0" w:space="0" w:color="auto"/>
            <w:left w:val="none" w:sz="0" w:space="0" w:color="auto"/>
            <w:bottom w:val="none" w:sz="0" w:space="0" w:color="auto"/>
            <w:right w:val="none" w:sz="0" w:space="0" w:color="auto"/>
          </w:divBdr>
        </w:div>
      </w:divsChild>
    </w:div>
    <w:div w:id="710225911">
      <w:bodyDiv w:val="1"/>
      <w:marLeft w:val="0"/>
      <w:marRight w:val="0"/>
      <w:marTop w:val="0"/>
      <w:marBottom w:val="0"/>
      <w:divBdr>
        <w:top w:val="none" w:sz="0" w:space="0" w:color="auto"/>
        <w:left w:val="none" w:sz="0" w:space="0" w:color="auto"/>
        <w:bottom w:val="none" w:sz="0" w:space="0" w:color="auto"/>
        <w:right w:val="none" w:sz="0" w:space="0" w:color="auto"/>
      </w:divBdr>
      <w:divsChild>
        <w:div w:id="975452751">
          <w:marLeft w:val="480"/>
          <w:marRight w:val="0"/>
          <w:marTop w:val="0"/>
          <w:marBottom w:val="0"/>
          <w:divBdr>
            <w:top w:val="none" w:sz="0" w:space="0" w:color="auto"/>
            <w:left w:val="none" w:sz="0" w:space="0" w:color="auto"/>
            <w:bottom w:val="none" w:sz="0" w:space="0" w:color="auto"/>
            <w:right w:val="none" w:sz="0" w:space="0" w:color="auto"/>
          </w:divBdr>
        </w:div>
        <w:div w:id="1072508717">
          <w:marLeft w:val="480"/>
          <w:marRight w:val="0"/>
          <w:marTop w:val="0"/>
          <w:marBottom w:val="0"/>
          <w:divBdr>
            <w:top w:val="none" w:sz="0" w:space="0" w:color="auto"/>
            <w:left w:val="none" w:sz="0" w:space="0" w:color="auto"/>
            <w:bottom w:val="none" w:sz="0" w:space="0" w:color="auto"/>
            <w:right w:val="none" w:sz="0" w:space="0" w:color="auto"/>
          </w:divBdr>
        </w:div>
        <w:div w:id="1344434881">
          <w:marLeft w:val="480"/>
          <w:marRight w:val="0"/>
          <w:marTop w:val="0"/>
          <w:marBottom w:val="0"/>
          <w:divBdr>
            <w:top w:val="none" w:sz="0" w:space="0" w:color="auto"/>
            <w:left w:val="none" w:sz="0" w:space="0" w:color="auto"/>
            <w:bottom w:val="none" w:sz="0" w:space="0" w:color="auto"/>
            <w:right w:val="none" w:sz="0" w:space="0" w:color="auto"/>
          </w:divBdr>
        </w:div>
        <w:div w:id="645206301">
          <w:marLeft w:val="480"/>
          <w:marRight w:val="0"/>
          <w:marTop w:val="0"/>
          <w:marBottom w:val="0"/>
          <w:divBdr>
            <w:top w:val="none" w:sz="0" w:space="0" w:color="auto"/>
            <w:left w:val="none" w:sz="0" w:space="0" w:color="auto"/>
            <w:bottom w:val="none" w:sz="0" w:space="0" w:color="auto"/>
            <w:right w:val="none" w:sz="0" w:space="0" w:color="auto"/>
          </w:divBdr>
        </w:div>
        <w:div w:id="1863779025">
          <w:marLeft w:val="480"/>
          <w:marRight w:val="0"/>
          <w:marTop w:val="0"/>
          <w:marBottom w:val="0"/>
          <w:divBdr>
            <w:top w:val="none" w:sz="0" w:space="0" w:color="auto"/>
            <w:left w:val="none" w:sz="0" w:space="0" w:color="auto"/>
            <w:bottom w:val="none" w:sz="0" w:space="0" w:color="auto"/>
            <w:right w:val="none" w:sz="0" w:space="0" w:color="auto"/>
          </w:divBdr>
        </w:div>
        <w:div w:id="728384354">
          <w:marLeft w:val="480"/>
          <w:marRight w:val="0"/>
          <w:marTop w:val="0"/>
          <w:marBottom w:val="0"/>
          <w:divBdr>
            <w:top w:val="none" w:sz="0" w:space="0" w:color="auto"/>
            <w:left w:val="none" w:sz="0" w:space="0" w:color="auto"/>
            <w:bottom w:val="none" w:sz="0" w:space="0" w:color="auto"/>
            <w:right w:val="none" w:sz="0" w:space="0" w:color="auto"/>
          </w:divBdr>
        </w:div>
        <w:div w:id="1957565720">
          <w:marLeft w:val="480"/>
          <w:marRight w:val="0"/>
          <w:marTop w:val="0"/>
          <w:marBottom w:val="0"/>
          <w:divBdr>
            <w:top w:val="none" w:sz="0" w:space="0" w:color="auto"/>
            <w:left w:val="none" w:sz="0" w:space="0" w:color="auto"/>
            <w:bottom w:val="none" w:sz="0" w:space="0" w:color="auto"/>
            <w:right w:val="none" w:sz="0" w:space="0" w:color="auto"/>
          </w:divBdr>
        </w:div>
        <w:div w:id="277570991">
          <w:marLeft w:val="480"/>
          <w:marRight w:val="0"/>
          <w:marTop w:val="0"/>
          <w:marBottom w:val="0"/>
          <w:divBdr>
            <w:top w:val="none" w:sz="0" w:space="0" w:color="auto"/>
            <w:left w:val="none" w:sz="0" w:space="0" w:color="auto"/>
            <w:bottom w:val="none" w:sz="0" w:space="0" w:color="auto"/>
            <w:right w:val="none" w:sz="0" w:space="0" w:color="auto"/>
          </w:divBdr>
        </w:div>
        <w:div w:id="2070035748">
          <w:marLeft w:val="480"/>
          <w:marRight w:val="0"/>
          <w:marTop w:val="0"/>
          <w:marBottom w:val="0"/>
          <w:divBdr>
            <w:top w:val="none" w:sz="0" w:space="0" w:color="auto"/>
            <w:left w:val="none" w:sz="0" w:space="0" w:color="auto"/>
            <w:bottom w:val="none" w:sz="0" w:space="0" w:color="auto"/>
            <w:right w:val="none" w:sz="0" w:space="0" w:color="auto"/>
          </w:divBdr>
        </w:div>
        <w:div w:id="1640840334">
          <w:marLeft w:val="480"/>
          <w:marRight w:val="0"/>
          <w:marTop w:val="0"/>
          <w:marBottom w:val="0"/>
          <w:divBdr>
            <w:top w:val="none" w:sz="0" w:space="0" w:color="auto"/>
            <w:left w:val="none" w:sz="0" w:space="0" w:color="auto"/>
            <w:bottom w:val="none" w:sz="0" w:space="0" w:color="auto"/>
            <w:right w:val="none" w:sz="0" w:space="0" w:color="auto"/>
          </w:divBdr>
        </w:div>
        <w:div w:id="858351096">
          <w:marLeft w:val="480"/>
          <w:marRight w:val="0"/>
          <w:marTop w:val="0"/>
          <w:marBottom w:val="0"/>
          <w:divBdr>
            <w:top w:val="none" w:sz="0" w:space="0" w:color="auto"/>
            <w:left w:val="none" w:sz="0" w:space="0" w:color="auto"/>
            <w:bottom w:val="none" w:sz="0" w:space="0" w:color="auto"/>
            <w:right w:val="none" w:sz="0" w:space="0" w:color="auto"/>
          </w:divBdr>
        </w:div>
        <w:div w:id="1084837581">
          <w:marLeft w:val="480"/>
          <w:marRight w:val="0"/>
          <w:marTop w:val="0"/>
          <w:marBottom w:val="0"/>
          <w:divBdr>
            <w:top w:val="none" w:sz="0" w:space="0" w:color="auto"/>
            <w:left w:val="none" w:sz="0" w:space="0" w:color="auto"/>
            <w:bottom w:val="none" w:sz="0" w:space="0" w:color="auto"/>
            <w:right w:val="none" w:sz="0" w:space="0" w:color="auto"/>
          </w:divBdr>
        </w:div>
      </w:divsChild>
    </w:div>
    <w:div w:id="728576927">
      <w:bodyDiv w:val="1"/>
      <w:marLeft w:val="0"/>
      <w:marRight w:val="0"/>
      <w:marTop w:val="0"/>
      <w:marBottom w:val="0"/>
      <w:divBdr>
        <w:top w:val="none" w:sz="0" w:space="0" w:color="auto"/>
        <w:left w:val="none" w:sz="0" w:space="0" w:color="auto"/>
        <w:bottom w:val="none" w:sz="0" w:space="0" w:color="auto"/>
        <w:right w:val="none" w:sz="0" w:space="0" w:color="auto"/>
      </w:divBdr>
      <w:divsChild>
        <w:div w:id="1899583203">
          <w:marLeft w:val="480"/>
          <w:marRight w:val="0"/>
          <w:marTop w:val="0"/>
          <w:marBottom w:val="0"/>
          <w:divBdr>
            <w:top w:val="none" w:sz="0" w:space="0" w:color="auto"/>
            <w:left w:val="none" w:sz="0" w:space="0" w:color="auto"/>
            <w:bottom w:val="none" w:sz="0" w:space="0" w:color="auto"/>
            <w:right w:val="none" w:sz="0" w:space="0" w:color="auto"/>
          </w:divBdr>
        </w:div>
        <w:div w:id="1099259482">
          <w:marLeft w:val="480"/>
          <w:marRight w:val="0"/>
          <w:marTop w:val="0"/>
          <w:marBottom w:val="0"/>
          <w:divBdr>
            <w:top w:val="none" w:sz="0" w:space="0" w:color="auto"/>
            <w:left w:val="none" w:sz="0" w:space="0" w:color="auto"/>
            <w:bottom w:val="none" w:sz="0" w:space="0" w:color="auto"/>
            <w:right w:val="none" w:sz="0" w:space="0" w:color="auto"/>
          </w:divBdr>
        </w:div>
        <w:div w:id="826632296">
          <w:marLeft w:val="480"/>
          <w:marRight w:val="0"/>
          <w:marTop w:val="0"/>
          <w:marBottom w:val="0"/>
          <w:divBdr>
            <w:top w:val="none" w:sz="0" w:space="0" w:color="auto"/>
            <w:left w:val="none" w:sz="0" w:space="0" w:color="auto"/>
            <w:bottom w:val="none" w:sz="0" w:space="0" w:color="auto"/>
            <w:right w:val="none" w:sz="0" w:space="0" w:color="auto"/>
          </w:divBdr>
        </w:div>
      </w:divsChild>
    </w:div>
    <w:div w:id="809638976">
      <w:bodyDiv w:val="1"/>
      <w:marLeft w:val="0"/>
      <w:marRight w:val="0"/>
      <w:marTop w:val="0"/>
      <w:marBottom w:val="0"/>
      <w:divBdr>
        <w:top w:val="none" w:sz="0" w:space="0" w:color="auto"/>
        <w:left w:val="none" w:sz="0" w:space="0" w:color="auto"/>
        <w:bottom w:val="none" w:sz="0" w:space="0" w:color="auto"/>
        <w:right w:val="none" w:sz="0" w:space="0" w:color="auto"/>
      </w:divBdr>
      <w:divsChild>
        <w:div w:id="1858542320">
          <w:marLeft w:val="480"/>
          <w:marRight w:val="0"/>
          <w:marTop w:val="0"/>
          <w:marBottom w:val="0"/>
          <w:divBdr>
            <w:top w:val="none" w:sz="0" w:space="0" w:color="auto"/>
            <w:left w:val="none" w:sz="0" w:space="0" w:color="auto"/>
            <w:bottom w:val="none" w:sz="0" w:space="0" w:color="auto"/>
            <w:right w:val="none" w:sz="0" w:space="0" w:color="auto"/>
          </w:divBdr>
        </w:div>
        <w:div w:id="465047039">
          <w:marLeft w:val="480"/>
          <w:marRight w:val="0"/>
          <w:marTop w:val="0"/>
          <w:marBottom w:val="0"/>
          <w:divBdr>
            <w:top w:val="none" w:sz="0" w:space="0" w:color="auto"/>
            <w:left w:val="none" w:sz="0" w:space="0" w:color="auto"/>
            <w:bottom w:val="none" w:sz="0" w:space="0" w:color="auto"/>
            <w:right w:val="none" w:sz="0" w:space="0" w:color="auto"/>
          </w:divBdr>
        </w:div>
        <w:div w:id="747313721">
          <w:marLeft w:val="480"/>
          <w:marRight w:val="0"/>
          <w:marTop w:val="0"/>
          <w:marBottom w:val="0"/>
          <w:divBdr>
            <w:top w:val="none" w:sz="0" w:space="0" w:color="auto"/>
            <w:left w:val="none" w:sz="0" w:space="0" w:color="auto"/>
            <w:bottom w:val="none" w:sz="0" w:space="0" w:color="auto"/>
            <w:right w:val="none" w:sz="0" w:space="0" w:color="auto"/>
          </w:divBdr>
        </w:div>
        <w:div w:id="323631065">
          <w:marLeft w:val="480"/>
          <w:marRight w:val="0"/>
          <w:marTop w:val="0"/>
          <w:marBottom w:val="0"/>
          <w:divBdr>
            <w:top w:val="none" w:sz="0" w:space="0" w:color="auto"/>
            <w:left w:val="none" w:sz="0" w:space="0" w:color="auto"/>
            <w:bottom w:val="none" w:sz="0" w:space="0" w:color="auto"/>
            <w:right w:val="none" w:sz="0" w:space="0" w:color="auto"/>
          </w:divBdr>
        </w:div>
      </w:divsChild>
    </w:div>
    <w:div w:id="1148088587">
      <w:bodyDiv w:val="1"/>
      <w:marLeft w:val="0"/>
      <w:marRight w:val="0"/>
      <w:marTop w:val="0"/>
      <w:marBottom w:val="0"/>
      <w:divBdr>
        <w:top w:val="none" w:sz="0" w:space="0" w:color="auto"/>
        <w:left w:val="none" w:sz="0" w:space="0" w:color="auto"/>
        <w:bottom w:val="none" w:sz="0" w:space="0" w:color="auto"/>
        <w:right w:val="none" w:sz="0" w:space="0" w:color="auto"/>
      </w:divBdr>
      <w:divsChild>
        <w:div w:id="706831343">
          <w:marLeft w:val="480"/>
          <w:marRight w:val="0"/>
          <w:marTop w:val="0"/>
          <w:marBottom w:val="0"/>
          <w:divBdr>
            <w:top w:val="none" w:sz="0" w:space="0" w:color="auto"/>
            <w:left w:val="none" w:sz="0" w:space="0" w:color="auto"/>
            <w:bottom w:val="none" w:sz="0" w:space="0" w:color="auto"/>
            <w:right w:val="none" w:sz="0" w:space="0" w:color="auto"/>
          </w:divBdr>
        </w:div>
        <w:div w:id="1841964473">
          <w:marLeft w:val="480"/>
          <w:marRight w:val="0"/>
          <w:marTop w:val="0"/>
          <w:marBottom w:val="0"/>
          <w:divBdr>
            <w:top w:val="none" w:sz="0" w:space="0" w:color="auto"/>
            <w:left w:val="none" w:sz="0" w:space="0" w:color="auto"/>
            <w:bottom w:val="none" w:sz="0" w:space="0" w:color="auto"/>
            <w:right w:val="none" w:sz="0" w:space="0" w:color="auto"/>
          </w:divBdr>
        </w:div>
        <w:div w:id="1803040110">
          <w:marLeft w:val="480"/>
          <w:marRight w:val="0"/>
          <w:marTop w:val="0"/>
          <w:marBottom w:val="0"/>
          <w:divBdr>
            <w:top w:val="none" w:sz="0" w:space="0" w:color="auto"/>
            <w:left w:val="none" w:sz="0" w:space="0" w:color="auto"/>
            <w:bottom w:val="none" w:sz="0" w:space="0" w:color="auto"/>
            <w:right w:val="none" w:sz="0" w:space="0" w:color="auto"/>
          </w:divBdr>
        </w:div>
        <w:div w:id="1178232384">
          <w:marLeft w:val="480"/>
          <w:marRight w:val="0"/>
          <w:marTop w:val="0"/>
          <w:marBottom w:val="0"/>
          <w:divBdr>
            <w:top w:val="none" w:sz="0" w:space="0" w:color="auto"/>
            <w:left w:val="none" w:sz="0" w:space="0" w:color="auto"/>
            <w:bottom w:val="none" w:sz="0" w:space="0" w:color="auto"/>
            <w:right w:val="none" w:sz="0" w:space="0" w:color="auto"/>
          </w:divBdr>
        </w:div>
        <w:div w:id="582183743">
          <w:marLeft w:val="480"/>
          <w:marRight w:val="0"/>
          <w:marTop w:val="0"/>
          <w:marBottom w:val="0"/>
          <w:divBdr>
            <w:top w:val="none" w:sz="0" w:space="0" w:color="auto"/>
            <w:left w:val="none" w:sz="0" w:space="0" w:color="auto"/>
            <w:bottom w:val="none" w:sz="0" w:space="0" w:color="auto"/>
            <w:right w:val="none" w:sz="0" w:space="0" w:color="auto"/>
          </w:divBdr>
        </w:div>
        <w:div w:id="1458988612">
          <w:marLeft w:val="480"/>
          <w:marRight w:val="0"/>
          <w:marTop w:val="0"/>
          <w:marBottom w:val="0"/>
          <w:divBdr>
            <w:top w:val="none" w:sz="0" w:space="0" w:color="auto"/>
            <w:left w:val="none" w:sz="0" w:space="0" w:color="auto"/>
            <w:bottom w:val="none" w:sz="0" w:space="0" w:color="auto"/>
            <w:right w:val="none" w:sz="0" w:space="0" w:color="auto"/>
          </w:divBdr>
        </w:div>
        <w:div w:id="635573127">
          <w:marLeft w:val="480"/>
          <w:marRight w:val="0"/>
          <w:marTop w:val="0"/>
          <w:marBottom w:val="0"/>
          <w:divBdr>
            <w:top w:val="none" w:sz="0" w:space="0" w:color="auto"/>
            <w:left w:val="none" w:sz="0" w:space="0" w:color="auto"/>
            <w:bottom w:val="none" w:sz="0" w:space="0" w:color="auto"/>
            <w:right w:val="none" w:sz="0" w:space="0" w:color="auto"/>
          </w:divBdr>
        </w:div>
        <w:div w:id="900868468">
          <w:marLeft w:val="480"/>
          <w:marRight w:val="0"/>
          <w:marTop w:val="0"/>
          <w:marBottom w:val="0"/>
          <w:divBdr>
            <w:top w:val="none" w:sz="0" w:space="0" w:color="auto"/>
            <w:left w:val="none" w:sz="0" w:space="0" w:color="auto"/>
            <w:bottom w:val="none" w:sz="0" w:space="0" w:color="auto"/>
            <w:right w:val="none" w:sz="0" w:space="0" w:color="auto"/>
          </w:divBdr>
        </w:div>
        <w:div w:id="556164706">
          <w:marLeft w:val="480"/>
          <w:marRight w:val="0"/>
          <w:marTop w:val="0"/>
          <w:marBottom w:val="0"/>
          <w:divBdr>
            <w:top w:val="none" w:sz="0" w:space="0" w:color="auto"/>
            <w:left w:val="none" w:sz="0" w:space="0" w:color="auto"/>
            <w:bottom w:val="none" w:sz="0" w:space="0" w:color="auto"/>
            <w:right w:val="none" w:sz="0" w:space="0" w:color="auto"/>
          </w:divBdr>
        </w:div>
        <w:div w:id="1966740406">
          <w:marLeft w:val="480"/>
          <w:marRight w:val="0"/>
          <w:marTop w:val="0"/>
          <w:marBottom w:val="0"/>
          <w:divBdr>
            <w:top w:val="none" w:sz="0" w:space="0" w:color="auto"/>
            <w:left w:val="none" w:sz="0" w:space="0" w:color="auto"/>
            <w:bottom w:val="none" w:sz="0" w:space="0" w:color="auto"/>
            <w:right w:val="none" w:sz="0" w:space="0" w:color="auto"/>
          </w:divBdr>
        </w:div>
        <w:div w:id="1707946269">
          <w:marLeft w:val="480"/>
          <w:marRight w:val="0"/>
          <w:marTop w:val="0"/>
          <w:marBottom w:val="0"/>
          <w:divBdr>
            <w:top w:val="none" w:sz="0" w:space="0" w:color="auto"/>
            <w:left w:val="none" w:sz="0" w:space="0" w:color="auto"/>
            <w:bottom w:val="none" w:sz="0" w:space="0" w:color="auto"/>
            <w:right w:val="none" w:sz="0" w:space="0" w:color="auto"/>
          </w:divBdr>
        </w:div>
        <w:div w:id="1425296907">
          <w:marLeft w:val="480"/>
          <w:marRight w:val="0"/>
          <w:marTop w:val="0"/>
          <w:marBottom w:val="0"/>
          <w:divBdr>
            <w:top w:val="none" w:sz="0" w:space="0" w:color="auto"/>
            <w:left w:val="none" w:sz="0" w:space="0" w:color="auto"/>
            <w:bottom w:val="none" w:sz="0" w:space="0" w:color="auto"/>
            <w:right w:val="none" w:sz="0" w:space="0" w:color="auto"/>
          </w:divBdr>
        </w:div>
      </w:divsChild>
    </w:div>
    <w:div w:id="1218786727">
      <w:bodyDiv w:val="1"/>
      <w:marLeft w:val="0"/>
      <w:marRight w:val="0"/>
      <w:marTop w:val="0"/>
      <w:marBottom w:val="0"/>
      <w:divBdr>
        <w:top w:val="none" w:sz="0" w:space="0" w:color="auto"/>
        <w:left w:val="none" w:sz="0" w:space="0" w:color="auto"/>
        <w:bottom w:val="none" w:sz="0" w:space="0" w:color="auto"/>
        <w:right w:val="none" w:sz="0" w:space="0" w:color="auto"/>
      </w:divBdr>
      <w:divsChild>
        <w:div w:id="2030249956">
          <w:marLeft w:val="480"/>
          <w:marRight w:val="0"/>
          <w:marTop w:val="0"/>
          <w:marBottom w:val="0"/>
          <w:divBdr>
            <w:top w:val="none" w:sz="0" w:space="0" w:color="auto"/>
            <w:left w:val="none" w:sz="0" w:space="0" w:color="auto"/>
            <w:bottom w:val="none" w:sz="0" w:space="0" w:color="auto"/>
            <w:right w:val="none" w:sz="0" w:space="0" w:color="auto"/>
          </w:divBdr>
        </w:div>
        <w:div w:id="1161627394">
          <w:marLeft w:val="480"/>
          <w:marRight w:val="0"/>
          <w:marTop w:val="0"/>
          <w:marBottom w:val="0"/>
          <w:divBdr>
            <w:top w:val="none" w:sz="0" w:space="0" w:color="auto"/>
            <w:left w:val="none" w:sz="0" w:space="0" w:color="auto"/>
            <w:bottom w:val="none" w:sz="0" w:space="0" w:color="auto"/>
            <w:right w:val="none" w:sz="0" w:space="0" w:color="auto"/>
          </w:divBdr>
        </w:div>
        <w:div w:id="1899658864">
          <w:marLeft w:val="480"/>
          <w:marRight w:val="0"/>
          <w:marTop w:val="0"/>
          <w:marBottom w:val="0"/>
          <w:divBdr>
            <w:top w:val="none" w:sz="0" w:space="0" w:color="auto"/>
            <w:left w:val="none" w:sz="0" w:space="0" w:color="auto"/>
            <w:bottom w:val="none" w:sz="0" w:space="0" w:color="auto"/>
            <w:right w:val="none" w:sz="0" w:space="0" w:color="auto"/>
          </w:divBdr>
        </w:div>
        <w:div w:id="188641651">
          <w:marLeft w:val="480"/>
          <w:marRight w:val="0"/>
          <w:marTop w:val="0"/>
          <w:marBottom w:val="0"/>
          <w:divBdr>
            <w:top w:val="none" w:sz="0" w:space="0" w:color="auto"/>
            <w:left w:val="none" w:sz="0" w:space="0" w:color="auto"/>
            <w:bottom w:val="none" w:sz="0" w:space="0" w:color="auto"/>
            <w:right w:val="none" w:sz="0" w:space="0" w:color="auto"/>
          </w:divBdr>
        </w:div>
        <w:div w:id="920678296">
          <w:marLeft w:val="480"/>
          <w:marRight w:val="0"/>
          <w:marTop w:val="0"/>
          <w:marBottom w:val="0"/>
          <w:divBdr>
            <w:top w:val="none" w:sz="0" w:space="0" w:color="auto"/>
            <w:left w:val="none" w:sz="0" w:space="0" w:color="auto"/>
            <w:bottom w:val="none" w:sz="0" w:space="0" w:color="auto"/>
            <w:right w:val="none" w:sz="0" w:space="0" w:color="auto"/>
          </w:divBdr>
        </w:div>
        <w:div w:id="2109422831">
          <w:marLeft w:val="480"/>
          <w:marRight w:val="0"/>
          <w:marTop w:val="0"/>
          <w:marBottom w:val="0"/>
          <w:divBdr>
            <w:top w:val="none" w:sz="0" w:space="0" w:color="auto"/>
            <w:left w:val="none" w:sz="0" w:space="0" w:color="auto"/>
            <w:bottom w:val="none" w:sz="0" w:space="0" w:color="auto"/>
            <w:right w:val="none" w:sz="0" w:space="0" w:color="auto"/>
          </w:divBdr>
        </w:div>
        <w:div w:id="409041970">
          <w:marLeft w:val="480"/>
          <w:marRight w:val="0"/>
          <w:marTop w:val="0"/>
          <w:marBottom w:val="0"/>
          <w:divBdr>
            <w:top w:val="none" w:sz="0" w:space="0" w:color="auto"/>
            <w:left w:val="none" w:sz="0" w:space="0" w:color="auto"/>
            <w:bottom w:val="none" w:sz="0" w:space="0" w:color="auto"/>
            <w:right w:val="none" w:sz="0" w:space="0" w:color="auto"/>
          </w:divBdr>
        </w:div>
        <w:div w:id="1203907066">
          <w:marLeft w:val="480"/>
          <w:marRight w:val="0"/>
          <w:marTop w:val="0"/>
          <w:marBottom w:val="0"/>
          <w:divBdr>
            <w:top w:val="none" w:sz="0" w:space="0" w:color="auto"/>
            <w:left w:val="none" w:sz="0" w:space="0" w:color="auto"/>
            <w:bottom w:val="none" w:sz="0" w:space="0" w:color="auto"/>
            <w:right w:val="none" w:sz="0" w:space="0" w:color="auto"/>
          </w:divBdr>
        </w:div>
        <w:div w:id="2124840794">
          <w:marLeft w:val="480"/>
          <w:marRight w:val="0"/>
          <w:marTop w:val="0"/>
          <w:marBottom w:val="0"/>
          <w:divBdr>
            <w:top w:val="none" w:sz="0" w:space="0" w:color="auto"/>
            <w:left w:val="none" w:sz="0" w:space="0" w:color="auto"/>
            <w:bottom w:val="none" w:sz="0" w:space="0" w:color="auto"/>
            <w:right w:val="none" w:sz="0" w:space="0" w:color="auto"/>
          </w:divBdr>
        </w:div>
        <w:div w:id="963577532">
          <w:marLeft w:val="480"/>
          <w:marRight w:val="0"/>
          <w:marTop w:val="0"/>
          <w:marBottom w:val="0"/>
          <w:divBdr>
            <w:top w:val="none" w:sz="0" w:space="0" w:color="auto"/>
            <w:left w:val="none" w:sz="0" w:space="0" w:color="auto"/>
            <w:bottom w:val="none" w:sz="0" w:space="0" w:color="auto"/>
            <w:right w:val="none" w:sz="0" w:space="0" w:color="auto"/>
          </w:divBdr>
        </w:div>
        <w:div w:id="1191917261">
          <w:marLeft w:val="480"/>
          <w:marRight w:val="0"/>
          <w:marTop w:val="0"/>
          <w:marBottom w:val="0"/>
          <w:divBdr>
            <w:top w:val="none" w:sz="0" w:space="0" w:color="auto"/>
            <w:left w:val="none" w:sz="0" w:space="0" w:color="auto"/>
            <w:bottom w:val="none" w:sz="0" w:space="0" w:color="auto"/>
            <w:right w:val="none" w:sz="0" w:space="0" w:color="auto"/>
          </w:divBdr>
        </w:div>
      </w:divsChild>
    </w:div>
    <w:div w:id="1417902526">
      <w:bodyDiv w:val="1"/>
      <w:marLeft w:val="0"/>
      <w:marRight w:val="0"/>
      <w:marTop w:val="0"/>
      <w:marBottom w:val="0"/>
      <w:divBdr>
        <w:top w:val="none" w:sz="0" w:space="0" w:color="auto"/>
        <w:left w:val="none" w:sz="0" w:space="0" w:color="auto"/>
        <w:bottom w:val="none" w:sz="0" w:space="0" w:color="auto"/>
        <w:right w:val="none" w:sz="0" w:space="0" w:color="auto"/>
      </w:divBdr>
      <w:divsChild>
        <w:div w:id="37705652">
          <w:marLeft w:val="480"/>
          <w:marRight w:val="0"/>
          <w:marTop w:val="0"/>
          <w:marBottom w:val="0"/>
          <w:divBdr>
            <w:top w:val="none" w:sz="0" w:space="0" w:color="auto"/>
            <w:left w:val="none" w:sz="0" w:space="0" w:color="auto"/>
            <w:bottom w:val="none" w:sz="0" w:space="0" w:color="auto"/>
            <w:right w:val="none" w:sz="0" w:space="0" w:color="auto"/>
          </w:divBdr>
        </w:div>
        <w:div w:id="1976982860">
          <w:marLeft w:val="480"/>
          <w:marRight w:val="0"/>
          <w:marTop w:val="0"/>
          <w:marBottom w:val="0"/>
          <w:divBdr>
            <w:top w:val="none" w:sz="0" w:space="0" w:color="auto"/>
            <w:left w:val="none" w:sz="0" w:space="0" w:color="auto"/>
            <w:bottom w:val="none" w:sz="0" w:space="0" w:color="auto"/>
            <w:right w:val="none" w:sz="0" w:space="0" w:color="auto"/>
          </w:divBdr>
        </w:div>
        <w:div w:id="1200821615">
          <w:marLeft w:val="480"/>
          <w:marRight w:val="0"/>
          <w:marTop w:val="0"/>
          <w:marBottom w:val="0"/>
          <w:divBdr>
            <w:top w:val="none" w:sz="0" w:space="0" w:color="auto"/>
            <w:left w:val="none" w:sz="0" w:space="0" w:color="auto"/>
            <w:bottom w:val="none" w:sz="0" w:space="0" w:color="auto"/>
            <w:right w:val="none" w:sz="0" w:space="0" w:color="auto"/>
          </w:divBdr>
        </w:div>
        <w:div w:id="949625298">
          <w:marLeft w:val="480"/>
          <w:marRight w:val="0"/>
          <w:marTop w:val="0"/>
          <w:marBottom w:val="0"/>
          <w:divBdr>
            <w:top w:val="none" w:sz="0" w:space="0" w:color="auto"/>
            <w:left w:val="none" w:sz="0" w:space="0" w:color="auto"/>
            <w:bottom w:val="none" w:sz="0" w:space="0" w:color="auto"/>
            <w:right w:val="none" w:sz="0" w:space="0" w:color="auto"/>
          </w:divBdr>
        </w:div>
        <w:div w:id="437994108">
          <w:marLeft w:val="480"/>
          <w:marRight w:val="0"/>
          <w:marTop w:val="0"/>
          <w:marBottom w:val="0"/>
          <w:divBdr>
            <w:top w:val="none" w:sz="0" w:space="0" w:color="auto"/>
            <w:left w:val="none" w:sz="0" w:space="0" w:color="auto"/>
            <w:bottom w:val="none" w:sz="0" w:space="0" w:color="auto"/>
            <w:right w:val="none" w:sz="0" w:space="0" w:color="auto"/>
          </w:divBdr>
        </w:div>
        <w:div w:id="1503933710">
          <w:marLeft w:val="480"/>
          <w:marRight w:val="0"/>
          <w:marTop w:val="0"/>
          <w:marBottom w:val="0"/>
          <w:divBdr>
            <w:top w:val="none" w:sz="0" w:space="0" w:color="auto"/>
            <w:left w:val="none" w:sz="0" w:space="0" w:color="auto"/>
            <w:bottom w:val="none" w:sz="0" w:space="0" w:color="auto"/>
            <w:right w:val="none" w:sz="0" w:space="0" w:color="auto"/>
          </w:divBdr>
        </w:div>
        <w:div w:id="1678801351">
          <w:marLeft w:val="480"/>
          <w:marRight w:val="0"/>
          <w:marTop w:val="0"/>
          <w:marBottom w:val="0"/>
          <w:divBdr>
            <w:top w:val="none" w:sz="0" w:space="0" w:color="auto"/>
            <w:left w:val="none" w:sz="0" w:space="0" w:color="auto"/>
            <w:bottom w:val="none" w:sz="0" w:space="0" w:color="auto"/>
            <w:right w:val="none" w:sz="0" w:space="0" w:color="auto"/>
          </w:divBdr>
        </w:div>
        <w:div w:id="1680497374">
          <w:marLeft w:val="480"/>
          <w:marRight w:val="0"/>
          <w:marTop w:val="0"/>
          <w:marBottom w:val="0"/>
          <w:divBdr>
            <w:top w:val="none" w:sz="0" w:space="0" w:color="auto"/>
            <w:left w:val="none" w:sz="0" w:space="0" w:color="auto"/>
            <w:bottom w:val="none" w:sz="0" w:space="0" w:color="auto"/>
            <w:right w:val="none" w:sz="0" w:space="0" w:color="auto"/>
          </w:divBdr>
        </w:div>
      </w:divsChild>
    </w:div>
    <w:div w:id="1496796996">
      <w:bodyDiv w:val="1"/>
      <w:marLeft w:val="0"/>
      <w:marRight w:val="0"/>
      <w:marTop w:val="0"/>
      <w:marBottom w:val="0"/>
      <w:divBdr>
        <w:top w:val="none" w:sz="0" w:space="0" w:color="auto"/>
        <w:left w:val="none" w:sz="0" w:space="0" w:color="auto"/>
        <w:bottom w:val="none" w:sz="0" w:space="0" w:color="auto"/>
        <w:right w:val="none" w:sz="0" w:space="0" w:color="auto"/>
      </w:divBdr>
      <w:divsChild>
        <w:div w:id="1150093883">
          <w:marLeft w:val="480"/>
          <w:marRight w:val="0"/>
          <w:marTop w:val="0"/>
          <w:marBottom w:val="0"/>
          <w:divBdr>
            <w:top w:val="none" w:sz="0" w:space="0" w:color="auto"/>
            <w:left w:val="none" w:sz="0" w:space="0" w:color="auto"/>
            <w:bottom w:val="none" w:sz="0" w:space="0" w:color="auto"/>
            <w:right w:val="none" w:sz="0" w:space="0" w:color="auto"/>
          </w:divBdr>
        </w:div>
        <w:div w:id="1858930473">
          <w:marLeft w:val="480"/>
          <w:marRight w:val="0"/>
          <w:marTop w:val="0"/>
          <w:marBottom w:val="0"/>
          <w:divBdr>
            <w:top w:val="none" w:sz="0" w:space="0" w:color="auto"/>
            <w:left w:val="none" w:sz="0" w:space="0" w:color="auto"/>
            <w:bottom w:val="none" w:sz="0" w:space="0" w:color="auto"/>
            <w:right w:val="none" w:sz="0" w:space="0" w:color="auto"/>
          </w:divBdr>
        </w:div>
      </w:divsChild>
    </w:div>
    <w:div w:id="1509098666">
      <w:bodyDiv w:val="1"/>
      <w:marLeft w:val="0"/>
      <w:marRight w:val="0"/>
      <w:marTop w:val="0"/>
      <w:marBottom w:val="0"/>
      <w:divBdr>
        <w:top w:val="none" w:sz="0" w:space="0" w:color="auto"/>
        <w:left w:val="none" w:sz="0" w:space="0" w:color="auto"/>
        <w:bottom w:val="none" w:sz="0" w:space="0" w:color="auto"/>
        <w:right w:val="none" w:sz="0" w:space="0" w:color="auto"/>
      </w:divBdr>
      <w:divsChild>
        <w:div w:id="724521508">
          <w:marLeft w:val="480"/>
          <w:marRight w:val="0"/>
          <w:marTop w:val="0"/>
          <w:marBottom w:val="0"/>
          <w:divBdr>
            <w:top w:val="none" w:sz="0" w:space="0" w:color="auto"/>
            <w:left w:val="none" w:sz="0" w:space="0" w:color="auto"/>
            <w:bottom w:val="none" w:sz="0" w:space="0" w:color="auto"/>
            <w:right w:val="none" w:sz="0" w:space="0" w:color="auto"/>
          </w:divBdr>
        </w:div>
        <w:div w:id="1100948602">
          <w:marLeft w:val="480"/>
          <w:marRight w:val="0"/>
          <w:marTop w:val="0"/>
          <w:marBottom w:val="0"/>
          <w:divBdr>
            <w:top w:val="none" w:sz="0" w:space="0" w:color="auto"/>
            <w:left w:val="none" w:sz="0" w:space="0" w:color="auto"/>
            <w:bottom w:val="none" w:sz="0" w:space="0" w:color="auto"/>
            <w:right w:val="none" w:sz="0" w:space="0" w:color="auto"/>
          </w:divBdr>
        </w:div>
        <w:div w:id="1185822609">
          <w:marLeft w:val="480"/>
          <w:marRight w:val="0"/>
          <w:marTop w:val="0"/>
          <w:marBottom w:val="0"/>
          <w:divBdr>
            <w:top w:val="none" w:sz="0" w:space="0" w:color="auto"/>
            <w:left w:val="none" w:sz="0" w:space="0" w:color="auto"/>
            <w:bottom w:val="none" w:sz="0" w:space="0" w:color="auto"/>
            <w:right w:val="none" w:sz="0" w:space="0" w:color="auto"/>
          </w:divBdr>
        </w:div>
        <w:div w:id="940376800">
          <w:marLeft w:val="480"/>
          <w:marRight w:val="0"/>
          <w:marTop w:val="0"/>
          <w:marBottom w:val="0"/>
          <w:divBdr>
            <w:top w:val="none" w:sz="0" w:space="0" w:color="auto"/>
            <w:left w:val="none" w:sz="0" w:space="0" w:color="auto"/>
            <w:bottom w:val="none" w:sz="0" w:space="0" w:color="auto"/>
            <w:right w:val="none" w:sz="0" w:space="0" w:color="auto"/>
          </w:divBdr>
        </w:div>
        <w:div w:id="564727402">
          <w:marLeft w:val="480"/>
          <w:marRight w:val="0"/>
          <w:marTop w:val="0"/>
          <w:marBottom w:val="0"/>
          <w:divBdr>
            <w:top w:val="none" w:sz="0" w:space="0" w:color="auto"/>
            <w:left w:val="none" w:sz="0" w:space="0" w:color="auto"/>
            <w:bottom w:val="none" w:sz="0" w:space="0" w:color="auto"/>
            <w:right w:val="none" w:sz="0" w:space="0" w:color="auto"/>
          </w:divBdr>
        </w:div>
        <w:div w:id="1161695755">
          <w:marLeft w:val="480"/>
          <w:marRight w:val="0"/>
          <w:marTop w:val="0"/>
          <w:marBottom w:val="0"/>
          <w:divBdr>
            <w:top w:val="none" w:sz="0" w:space="0" w:color="auto"/>
            <w:left w:val="none" w:sz="0" w:space="0" w:color="auto"/>
            <w:bottom w:val="none" w:sz="0" w:space="0" w:color="auto"/>
            <w:right w:val="none" w:sz="0" w:space="0" w:color="auto"/>
          </w:divBdr>
        </w:div>
      </w:divsChild>
    </w:div>
    <w:div w:id="1732578887">
      <w:bodyDiv w:val="1"/>
      <w:marLeft w:val="0"/>
      <w:marRight w:val="0"/>
      <w:marTop w:val="0"/>
      <w:marBottom w:val="0"/>
      <w:divBdr>
        <w:top w:val="none" w:sz="0" w:space="0" w:color="auto"/>
        <w:left w:val="none" w:sz="0" w:space="0" w:color="auto"/>
        <w:bottom w:val="none" w:sz="0" w:space="0" w:color="auto"/>
        <w:right w:val="none" w:sz="0" w:space="0" w:color="auto"/>
      </w:divBdr>
      <w:divsChild>
        <w:div w:id="975719650">
          <w:marLeft w:val="480"/>
          <w:marRight w:val="0"/>
          <w:marTop w:val="0"/>
          <w:marBottom w:val="0"/>
          <w:divBdr>
            <w:top w:val="none" w:sz="0" w:space="0" w:color="auto"/>
            <w:left w:val="none" w:sz="0" w:space="0" w:color="auto"/>
            <w:bottom w:val="none" w:sz="0" w:space="0" w:color="auto"/>
            <w:right w:val="none" w:sz="0" w:space="0" w:color="auto"/>
          </w:divBdr>
        </w:div>
        <w:div w:id="1504468539">
          <w:marLeft w:val="480"/>
          <w:marRight w:val="0"/>
          <w:marTop w:val="0"/>
          <w:marBottom w:val="0"/>
          <w:divBdr>
            <w:top w:val="none" w:sz="0" w:space="0" w:color="auto"/>
            <w:left w:val="none" w:sz="0" w:space="0" w:color="auto"/>
            <w:bottom w:val="none" w:sz="0" w:space="0" w:color="auto"/>
            <w:right w:val="none" w:sz="0" w:space="0" w:color="auto"/>
          </w:divBdr>
        </w:div>
        <w:div w:id="1126891644">
          <w:marLeft w:val="480"/>
          <w:marRight w:val="0"/>
          <w:marTop w:val="0"/>
          <w:marBottom w:val="0"/>
          <w:divBdr>
            <w:top w:val="none" w:sz="0" w:space="0" w:color="auto"/>
            <w:left w:val="none" w:sz="0" w:space="0" w:color="auto"/>
            <w:bottom w:val="none" w:sz="0" w:space="0" w:color="auto"/>
            <w:right w:val="none" w:sz="0" w:space="0" w:color="auto"/>
          </w:divBdr>
        </w:div>
        <w:div w:id="581107866">
          <w:marLeft w:val="480"/>
          <w:marRight w:val="0"/>
          <w:marTop w:val="0"/>
          <w:marBottom w:val="0"/>
          <w:divBdr>
            <w:top w:val="none" w:sz="0" w:space="0" w:color="auto"/>
            <w:left w:val="none" w:sz="0" w:space="0" w:color="auto"/>
            <w:bottom w:val="none" w:sz="0" w:space="0" w:color="auto"/>
            <w:right w:val="none" w:sz="0" w:space="0" w:color="auto"/>
          </w:divBdr>
        </w:div>
        <w:div w:id="2000843418">
          <w:marLeft w:val="480"/>
          <w:marRight w:val="0"/>
          <w:marTop w:val="0"/>
          <w:marBottom w:val="0"/>
          <w:divBdr>
            <w:top w:val="none" w:sz="0" w:space="0" w:color="auto"/>
            <w:left w:val="none" w:sz="0" w:space="0" w:color="auto"/>
            <w:bottom w:val="none" w:sz="0" w:space="0" w:color="auto"/>
            <w:right w:val="none" w:sz="0" w:space="0" w:color="auto"/>
          </w:divBdr>
        </w:div>
        <w:div w:id="930429912">
          <w:marLeft w:val="480"/>
          <w:marRight w:val="0"/>
          <w:marTop w:val="0"/>
          <w:marBottom w:val="0"/>
          <w:divBdr>
            <w:top w:val="none" w:sz="0" w:space="0" w:color="auto"/>
            <w:left w:val="none" w:sz="0" w:space="0" w:color="auto"/>
            <w:bottom w:val="none" w:sz="0" w:space="0" w:color="auto"/>
            <w:right w:val="none" w:sz="0" w:space="0" w:color="auto"/>
          </w:divBdr>
        </w:div>
        <w:div w:id="1896354856">
          <w:marLeft w:val="480"/>
          <w:marRight w:val="0"/>
          <w:marTop w:val="0"/>
          <w:marBottom w:val="0"/>
          <w:divBdr>
            <w:top w:val="none" w:sz="0" w:space="0" w:color="auto"/>
            <w:left w:val="none" w:sz="0" w:space="0" w:color="auto"/>
            <w:bottom w:val="none" w:sz="0" w:space="0" w:color="auto"/>
            <w:right w:val="none" w:sz="0" w:space="0" w:color="auto"/>
          </w:divBdr>
        </w:div>
        <w:div w:id="529606526">
          <w:marLeft w:val="480"/>
          <w:marRight w:val="0"/>
          <w:marTop w:val="0"/>
          <w:marBottom w:val="0"/>
          <w:divBdr>
            <w:top w:val="none" w:sz="0" w:space="0" w:color="auto"/>
            <w:left w:val="none" w:sz="0" w:space="0" w:color="auto"/>
            <w:bottom w:val="none" w:sz="0" w:space="0" w:color="auto"/>
            <w:right w:val="none" w:sz="0" w:space="0" w:color="auto"/>
          </w:divBdr>
        </w:div>
        <w:div w:id="1913080474">
          <w:marLeft w:val="480"/>
          <w:marRight w:val="0"/>
          <w:marTop w:val="0"/>
          <w:marBottom w:val="0"/>
          <w:divBdr>
            <w:top w:val="none" w:sz="0" w:space="0" w:color="auto"/>
            <w:left w:val="none" w:sz="0" w:space="0" w:color="auto"/>
            <w:bottom w:val="none" w:sz="0" w:space="0" w:color="auto"/>
            <w:right w:val="none" w:sz="0" w:space="0" w:color="auto"/>
          </w:divBdr>
        </w:div>
      </w:divsChild>
    </w:div>
    <w:div w:id="1782064836">
      <w:bodyDiv w:val="1"/>
      <w:marLeft w:val="0"/>
      <w:marRight w:val="0"/>
      <w:marTop w:val="0"/>
      <w:marBottom w:val="0"/>
      <w:divBdr>
        <w:top w:val="none" w:sz="0" w:space="0" w:color="auto"/>
        <w:left w:val="none" w:sz="0" w:space="0" w:color="auto"/>
        <w:bottom w:val="none" w:sz="0" w:space="0" w:color="auto"/>
        <w:right w:val="none" w:sz="0" w:space="0" w:color="auto"/>
      </w:divBdr>
      <w:divsChild>
        <w:div w:id="984744149">
          <w:marLeft w:val="480"/>
          <w:marRight w:val="0"/>
          <w:marTop w:val="0"/>
          <w:marBottom w:val="0"/>
          <w:divBdr>
            <w:top w:val="none" w:sz="0" w:space="0" w:color="auto"/>
            <w:left w:val="none" w:sz="0" w:space="0" w:color="auto"/>
            <w:bottom w:val="none" w:sz="0" w:space="0" w:color="auto"/>
            <w:right w:val="none" w:sz="0" w:space="0" w:color="auto"/>
          </w:divBdr>
        </w:div>
        <w:div w:id="1403792699">
          <w:marLeft w:val="480"/>
          <w:marRight w:val="0"/>
          <w:marTop w:val="0"/>
          <w:marBottom w:val="0"/>
          <w:divBdr>
            <w:top w:val="none" w:sz="0" w:space="0" w:color="auto"/>
            <w:left w:val="none" w:sz="0" w:space="0" w:color="auto"/>
            <w:bottom w:val="none" w:sz="0" w:space="0" w:color="auto"/>
            <w:right w:val="none" w:sz="0" w:space="0" w:color="auto"/>
          </w:divBdr>
        </w:div>
        <w:div w:id="636567362">
          <w:marLeft w:val="480"/>
          <w:marRight w:val="0"/>
          <w:marTop w:val="0"/>
          <w:marBottom w:val="0"/>
          <w:divBdr>
            <w:top w:val="none" w:sz="0" w:space="0" w:color="auto"/>
            <w:left w:val="none" w:sz="0" w:space="0" w:color="auto"/>
            <w:bottom w:val="none" w:sz="0" w:space="0" w:color="auto"/>
            <w:right w:val="none" w:sz="0" w:space="0" w:color="auto"/>
          </w:divBdr>
        </w:div>
        <w:div w:id="1861770354">
          <w:marLeft w:val="480"/>
          <w:marRight w:val="0"/>
          <w:marTop w:val="0"/>
          <w:marBottom w:val="0"/>
          <w:divBdr>
            <w:top w:val="none" w:sz="0" w:space="0" w:color="auto"/>
            <w:left w:val="none" w:sz="0" w:space="0" w:color="auto"/>
            <w:bottom w:val="none" w:sz="0" w:space="0" w:color="auto"/>
            <w:right w:val="none" w:sz="0" w:space="0" w:color="auto"/>
          </w:divBdr>
        </w:div>
        <w:div w:id="1070690290">
          <w:marLeft w:val="480"/>
          <w:marRight w:val="0"/>
          <w:marTop w:val="0"/>
          <w:marBottom w:val="0"/>
          <w:divBdr>
            <w:top w:val="none" w:sz="0" w:space="0" w:color="auto"/>
            <w:left w:val="none" w:sz="0" w:space="0" w:color="auto"/>
            <w:bottom w:val="none" w:sz="0" w:space="0" w:color="auto"/>
            <w:right w:val="none" w:sz="0" w:space="0" w:color="auto"/>
          </w:divBdr>
        </w:div>
        <w:div w:id="874778971">
          <w:marLeft w:val="480"/>
          <w:marRight w:val="0"/>
          <w:marTop w:val="0"/>
          <w:marBottom w:val="0"/>
          <w:divBdr>
            <w:top w:val="none" w:sz="0" w:space="0" w:color="auto"/>
            <w:left w:val="none" w:sz="0" w:space="0" w:color="auto"/>
            <w:bottom w:val="none" w:sz="0" w:space="0" w:color="auto"/>
            <w:right w:val="none" w:sz="0" w:space="0" w:color="auto"/>
          </w:divBdr>
        </w:div>
        <w:div w:id="955986944">
          <w:marLeft w:val="480"/>
          <w:marRight w:val="0"/>
          <w:marTop w:val="0"/>
          <w:marBottom w:val="0"/>
          <w:divBdr>
            <w:top w:val="none" w:sz="0" w:space="0" w:color="auto"/>
            <w:left w:val="none" w:sz="0" w:space="0" w:color="auto"/>
            <w:bottom w:val="none" w:sz="0" w:space="0" w:color="auto"/>
            <w:right w:val="none" w:sz="0" w:space="0" w:color="auto"/>
          </w:divBdr>
        </w:div>
      </w:divsChild>
    </w:div>
    <w:div w:id="1886022253">
      <w:bodyDiv w:val="1"/>
      <w:marLeft w:val="0"/>
      <w:marRight w:val="0"/>
      <w:marTop w:val="0"/>
      <w:marBottom w:val="0"/>
      <w:divBdr>
        <w:top w:val="none" w:sz="0" w:space="0" w:color="auto"/>
        <w:left w:val="none" w:sz="0" w:space="0" w:color="auto"/>
        <w:bottom w:val="none" w:sz="0" w:space="0" w:color="auto"/>
        <w:right w:val="none" w:sz="0" w:space="0" w:color="auto"/>
      </w:divBdr>
      <w:divsChild>
        <w:div w:id="1647120976">
          <w:marLeft w:val="480"/>
          <w:marRight w:val="0"/>
          <w:marTop w:val="0"/>
          <w:marBottom w:val="0"/>
          <w:divBdr>
            <w:top w:val="none" w:sz="0" w:space="0" w:color="auto"/>
            <w:left w:val="none" w:sz="0" w:space="0" w:color="auto"/>
            <w:bottom w:val="none" w:sz="0" w:space="0" w:color="auto"/>
            <w:right w:val="none" w:sz="0" w:space="0" w:color="auto"/>
          </w:divBdr>
        </w:div>
        <w:div w:id="883635940">
          <w:marLeft w:val="480"/>
          <w:marRight w:val="0"/>
          <w:marTop w:val="0"/>
          <w:marBottom w:val="0"/>
          <w:divBdr>
            <w:top w:val="none" w:sz="0" w:space="0" w:color="auto"/>
            <w:left w:val="none" w:sz="0" w:space="0" w:color="auto"/>
            <w:bottom w:val="none" w:sz="0" w:space="0" w:color="auto"/>
            <w:right w:val="none" w:sz="0" w:space="0" w:color="auto"/>
          </w:divBdr>
        </w:div>
        <w:div w:id="908882442">
          <w:marLeft w:val="480"/>
          <w:marRight w:val="0"/>
          <w:marTop w:val="0"/>
          <w:marBottom w:val="0"/>
          <w:divBdr>
            <w:top w:val="none" w:sz="0" w:space="0" w:color="auto"/>
            <w:left w:val="none" w:sz="0" w:space="0" w:color="auto"/>
            <w:bottom w:val="none" w:sz="0" w:space="0" w:color="auto"/>
            <w:right w:val="none" w:sz="0" w:space="0" w:color="auto"/>
          </w:divBdr>
        </w:div>
        <w:div w:id="1084499280">
          <w:marLeft w:val="480"/>
          <w:marRight w:val="0"/>
          <w:marTop w:val="0"/>
          <w:marBottom w:val="0"/>
          <w:divBdr>
            <w:top w:val="none" w:sz="0" w:space="0" w:color="auto"/>
            <w:left w:val="none" w:sz="0" w:space="0" w:color="auto"/>
            <w:bottom w:val="none" w:sz="0" w:space="0" w:color="auto"/>
            <w:right w:val="none" w:sz="0" w:space="0" w:color="auto"/>
          </w:divBdr>
        </w:div>
        <w:div w:id="102656127">
          <w:marLeft w:val="480"/>
          <w:marRight w:val="0"/>
          <w:marTop w:val="0"/>
          <w:marBottom w:val="0"/>
          <w:divBdr>
            <w:top w:val="none" w:sz="0" w:space="0" w:color="auto"/>
            <w:left w:val="none" w:sz="0" w:space="0" w:color="auto"/>
            <w:bottom w:val="none" w:sz="0" w:space="0" w:color="auto"/>
            <w:right w:val="none" w:sz="0" w:space="0" w:color="auto"/>
          </w:divBdr>
        </w:div>
        <w:div w:id="120540926">
          <w:marLeft w:val="480"/>
          <w:marRight w:val="0"/>
          <w:marTop w:val="0"/>
          <w:marBottom w:val="0"/>
          <w:divBdr>
            <w:top w:val="none" w:sz="0" w:space="0" w:color="auto"/>
            <w:left w:val="none" w:sz="0" w:space="0" w:color="auto"/>
            <w:bottom w:val="none" w:sz="0" w:space="0" w:color="auto"/>
            <w:right w:val="none" w:sz="0" w:space="0" w:color="auto"/>
          </w:divBdr>
        </w:div>
        <w:div w:id="1311787615">
          <w:marLeft w:val="480"/>
          <w:marRight w:val="0"/>
          <w:marTop w:val="0"/>
          <w:marBottom w:val="0"/>
          <w:divBdr>
            <w:top w:val="none" w:sz="0" w:space="0" w:color="auto"/>
            <w:left w:val="none" w:sz="0" w:space="0" w:color="auto"/>
            <w:bottom w:val="none" w:sz="0" w:space="0" w:color="auto"/>
            <w:right w:val="none" w:sz="0" w:space="0" w:color="auto"/>
          </w:divBdr>
        </w:div>
        <w:div w:id="1799295477">
          <w:marLeft w:val="480"/>
          <w:marRight w:val="0"/>
          <w:marTop w:val="0"/>
          <w:marBottom w:val="0"/>
          <w:divBdr>
            <w:top w:val="none" w:sz="0" w:space="0" w:color="auto"/>
            <w:left w:val="none" w:sz="0" w:space="0" w:color="auto"/>
            <w:bottom w:val="none" w:sz="0" w:space="0" w:color="auto"/>
            <w:right w:val="none" w:sz="0" w:space="0" w:color="auto"/>
          </w:divBdr>
        </w:div>
        <w:div w:id="356467342">
          <w:marLeft w:val="480"/>
          <w:marRight w:val="0"/>
          <w:marTop w:val="0"/>
          <w:marBottom w:val="0"/>
          <w:divBdr>
            <w:top w:val="none" w:sz="0" w:space="0" w:color="auto"/>
            <w:left w:val="none" w:sz="0" w:space="0" w:color="auto"/>
            <w:bottom w:val="none" w:sz="0" w:space="0" w:color="auto"/>
            <w:right w:val="none" w:sz="0" w:space="0" w:color="auto"/>
          </w:divBdr>
        </w:div>
        <w:div w:id="692463115">
          <w:marLeft w:val="480"/>
          <w:marRight w:val="0"/>
          <w:marTop w:val="0"/>
          <w:marBottom w:val="0"/>
          <w:divBdr>
            <w:top w:val="none" w:sz="0" w:space="0" w:color="auto"/>
            <w:left w:val="none" w:sz="0" w:space="0" w:color="auto"/>
            <w:bottom w:val="none" w:sz="0" w:space="0" w:color="auto"/>
            <w:right w:val="none" w:sz="0" w:space="0" w:color="auto"/>
          </w:divBdr>
        </w:div>
        <w:div w:id="923029077">
          <w:marLeft w:val="480"/>
          <w:marRight w:val="0"/>
          <w:marTop w:val="0"/>
          <w:marBottom w:val="0"/>
          <w:divBdr>
            <w:top w:val="none" w:sz="0" w:space="0" w:color="auto"/>
            <w:left w:val="none" w:sz="0" w:space="0" w:color="auto"/>
            <w:bottom w:val="none" w:sz="0" w:space="0" w:color="auto"/>
            <w:right w:val="none" w:sz="0" w:space="0" w:color="auto"/>
          </w:divBdr>
        </w:div>
        <w:div w:id="1144618711">
          <w:marLeft w:val="480"/>
          <w:marRight w:val="0"/>
          <w:marTop w:val="0"/>
          <w:marBottom w:val="0"/>
          <w:divBdr>
            <w:top w:val="none" w:sz="0" w:space="0" w:color="auto"/>
            <w:left w:val="none" w:sz="0" w:space="0" w:color="auto"/>
            <w:bottom w:val="none" w:sz="0" w:space="0" w:color="auto"/>
            <w:right w:val="none" w:sz="0" w:space="0" w:color="auto"/>
          </w:divBdr>
        </w:div>
      </w:divsChild>
    </w:div>
    <w:div w:id="1991671641">
      <w:bodyDiv w:val="1"/>
      <w:marLeft w:val="0"/>
      <w:marRight w:val="0"/>
      <w:marTop w:val="0"/>
      <w:marBottom w:val="0"/>
      <w:divBdr>
        <w:top w:val="none" w:sz="0" w:space="0" w:color="auto"/>
        <w:left w:val="none" w:sz="0" w:space="0" w:color="auto"/>
        <w:bottom w:val="none" w:sz="0" w:space="0" w:color="auto"/>
        <w:right w:val="none" w:sz="0" w:space="0" w:color="auto"/>
      </w:divBdr>
      <w:divsChild>
        <w:div w:id="343482429">
          <w:marLeft w:val="480"/>
          <w:marRight w:val="0"/>
          <w:marTop w:val="0"/>
          <w:marBottom w:val="0"/>
          <w:divBdr>
            <w:top w:val="none" w:sz="0" w:space="0" w:color="auto"/>
            <w:left w:val="none" w:sz="0" w:space="0" w:color="auto"/>
            <w:bottom w:val="none" w:sz="0" w:space="0" w:color="auto"/>
            <w:right w:val="none" w:sz="0" w:space="0" w:color="auto"/>
          </w:divBdr>
        </w:div>
        <w:div w:id="55473373">
          <w:marLeft w:val="480"/>
          <w:marRight w:val="0"/>
          <w:marTop w:val="0"/>
          <w:marBottom w:val="0"/>
          <w:divBdr>
            <w:top w:val="none" w:sz="0" w:space="0" w:color="auto"/>
            <w:left w:val="none" w:sz="0" w:space="0" w:color="auto"/>
            <w:bottom w:val="none" w:sz="0" w:space="0" w:color="auto"/>
            <w:right w:val="none" w:sz="0" w:space="0" w:color="auto"/>
          </w:divBdr>
        </w:div>
        <w:div w:id="269628797">
          <w:marLeft w:val="480"/>
          <w:marRight w:val="0"/>
          <w:marTop w:val="0"/>
          <w:marBottom w:val="0"/>
          <w:divBdr>
            <w:top w:val="none" w:sz="0" w:space="0" w:color="auto"/>
            <w:left w:val="none" w:sz="0" w:space="0" w:color="auto"/>
            <w:bottom w:val="none" w:sz="0" w:space="0" w:color="auto"/>
            <w:right w:val="none" w:sz="0" w:space="0" w:color="auto"/>
          </w:divBdr>
        </w:div>
        <w:div w:id="485366907">
          <w:marLeft w:val="480"/>
          <w:marRight w:val="0"/>
          <w:marTop w:val="0"/>
          <w:marBottom w:val="0"/>
          <w:divBdr>
            <w:top w:val="none" w:sz="0" w:space="0" w:color="auto"/>
            <w:left w:val="none" w:sz="0" w:space="0" w:color="auto"/>
            <w:bottom w:val="none" w:sz="0" w:space="0" w:color="auto"/>
            <w:right w:val="none" w:sz="0" w:space="0" w:color="auto"/>
          </w:divBdr>
        </w:div>
        <w:div w:id="1195265758">
          <w:marLeft w:val="480"/>
          <w:marRight w:val="0"/>
          <w:marTop w:val="0"/>
          <w:marBottom w:val="0"/>
          <w:divBdr>
            <w:top w:val="none" w:sz="0" w:space="0" w:color="auto"/>
            <w:left w:val="none" w:sz="0" w:space="0" w:color="auto"/>
            <w:bottom w:val="none" w:sz="0" w:space="0" w:color="auto"/>
            <w:right w:val="none" w:sz="0" w:space="0" w:color="auto"/>
          </w:divBdr>
        </w:div>
        <w:div w:id="24407761">
          <w:marLeft w:val="480"/>
          <w:marRight w:val="0"/>
          <w:marTop w:val="0"/>
          <w:marBottom w:val="0"/>
          <w:divBdr>
            <w:top w:val="none" w:sz="0" w:space="0" w:color="auto"/>
            <w:left w:val="none" w:sz="0" w:space="0" w:color="auto"/>
            <w:bottom w:val="none" w:sz="0" w:space="0" w:color="auto"/>
            <w:right w:val="none" w:sz="0" w:space="0" w:color="auto"/>
          </w:divBdr>
        </w:div>
      </w:divsChild>
    </w:div>
    <w:div w:id="1998796993">
      <w:bodyDiv w:val="1"/>
      <w:marLeft w:val="0"/>
      <w:marRight w:val="0"/>
      <w:marTop w:val="0"/>
      <w:marBottom w:val="0"/>
      <w:divBdr>
        <w:top w:val="none" w:sz="0" w:space="0" w:color="auto"/>
        <w:left w:val="none" w:sz="0" w:space="0" w:color="auto"/>
        <w:bottom w:val="none" w:sz="0" w:space="0" w:color="auto"/>
        <w:right w:val="none" w:sz="0" w:space="0" w:color="auto"/>
      </w:divBdr>
      <w:divsChild>
        <w:div w:id="639262886">
          <w:marLeft w:val="480"/>
          <w:marRight w:val="0"/>
          <w:marTop w:val="0"/>
          <w:marBottom w:val="0"/>
          <w:divBdr>
            <w:top w:val="none" w:sz="0" w:space="0" w:color="auto"/>
            <w:left w:val="none" w:sz="0" w:space="0" w:color="auto"/>
            <w:bottom w:val="none" w:sz="0" w:space="0" w:color="auto"/>
            <w:right w:val="none" w:sz="0" w:space="0" w:color="auto"/>
          </w:divBdr>
        </w:div>
        <w:div w:id="1727021477">
          <w:marLeft w:val="480"/>
          <w:marRight w:val="0"/>
          <w:marTop w:val="0"/>
          <w:marBottom w:val="0"/>
          <w:divBdr>
            <w:top w:val="none" w:sz="0" w:space="0" w:color="auto"/>
            <w:left w:val="none" w:sz="0" w:space="0" w:color="auto"/>
            <w:bottom w:val="none" w:sz="0" w:space="0" w:color="auto"/>
            <w:right w:val="none" w:sz="0" w:space="0" w:color="auto"/>
          </w:divBdr>
        </w:div>
        <w:div w:id="1774397613">
          <w:marLeft w:val="480"/>
          <w:marRight w:val="0"/>
          <w:marTop w:val="0"/>
          <w:marBottom w:val="0"/>
          <w:divBdr>
            <w:top w:val="none" w:sz="0" w:space="0" w:color="auto"/>
            <w:left w:val="none" w:sz="0" w:space="0" w:color="auto"/>
            <w:bottom w:val="none" w:sz="0" w:space="0" w:color="auto"/>
            <w:right w:val="none" w:sz="0" w:space="0" w:color="auto"/>
          </w:divBdr>
        </w:div>
        <w:div w:id="772825559">
          <w:marLeft w:val="480"/>
          <w:marRight w:val="0"/>
          <w:marTop w:val="0"/>
          <w:marBottom w:val="0"/>
          <w:divBdr>
            <w:top w:val="none" w:sz="0" w:space="0" w:color="auto"/>
            <w:left w:val="none" w:sz="0" w:space="0" w:color="auto"/>
            <w:bottom w:val="none" w:sz="0" w:space="0" w:color="auto"/>
            <w:right w:val="none" w:sz="0" w:space="0" w:color="auto"/>
          </w:divBdr>
        </w:div>
        <w:div w:id="791629039">
          <w:marLeft w:val="480"/>
          <w:marRight w:val="0"/>
          <w:marTop w:val="0"/>
          <w:marBottom w:val="0"/>
          <w:divBdr>
            <w:top w:val="none" w:sz="0" w:space="0" w:color="auto"/>
            <w:left w:val="none" w:sz="0" w:space="0" w:color="auto"/>
            <w:bottom w:val="none" w:sz="0" w:space="0" w:color="auto"/>
            <w:right w:val="none" w:sz="0" w:space="0" w:color="auto"/>
          </w:divBdr>
        </w:div>
        <w:div w:id="1589344833">
          <w:marLeft w:val="480"/>
          <w:marRight w:val="0"/>
          <w:marTop w:val="0"/>
          <w:marBottom w:val="0"/>
          <w:divBdr>
            <w:top w:val="none" w:sz="0" w:space="0" w:color="auto"/>
            <w:left w:val="none" w:sz="0" w:space="0" w:color="auto"/>
            <w:bottom w:val="none" w:sz="0" w:space="0" w:color="auto"/>
            <w:right w:val="none" w:sz="0" w:space="0" w:color="auto"/>
          </w:divBdr>
        </w:div>
        <w:div w:id="1315836515">
          <w:marLeft w:val="480"/>
          <w:marRight w:val="0"/>
          <w:marTop w:val="0"/>
          <w:marBottom w:val="0"/>
          <w:divBdr>
            <w:top w:val="none" w:sz="0" w:space="0" w:color="auto"/>
            <w:left w:val="none" w:sz="0" w:space="0" w:color="auto"/>
            <w:bottom w:val="none" w:sz="0" w:space="0" w:color="auto"/>
            <w:right w:val="none" w:sz="0" w:space="0" w:color="auto"/>
          </w:divBdr>
        </w:div>
        <w:div w:id="1346977946">
          <w:marLeft w:val="480"/>
          <w:marRight w:val="0"/>
          <w:marTop w:val="0"/>
          <w:marBottom w:val="0"/>
          <w:divBdr>
            <w:top w:val="none" w:sz="0" w:space="0" w:color="auto"/>
            <w:left w:val="none" w:sz="0" w:space="0" w:color="auto"/>
            <w:bottom w:val="none" w:sz="0" w:space="0" w:color="auto"/>
            <w:right w:val="none" w:sz="0" w:space="0" w:color="auto"/>
          </w:divBdr>
        </w:div>
        <w:div w:id="1155950604">
          <w:marLeft w:val="480"/>
          <w:marRight w:val="0"/>
          <w:marTop w:val="0"/>
          <w:marBottom w:val="0"/>
          <w:divBdr>
            <w:top w:val="none" w:sz="0" w:space="0" w:color="auto"/>
            <w:left w:val="none" w:sz="0" w:space="0" w:color="auto"/>
            <w:bottom w:val="none" w:sz="0" w:space="0" w:color="auto"/>
            <w:right w:val="none" w:sz="0" w:space="0" w:color="auto"/>
          </w:divBdr>
        </w:div>
        <w:div w:id="1470510197">
          <w:marLeft w:val="480"/>
          <w:marRight w:val="0"/>
          <w:marTop w:val="0"/>
          <w:marBottom w:val="0"/>
          <w:divBdr>
            <w:top w:val="none" w:sz="0" w:space="0" w:color="auto"/>
            <w:left w:val="none" w:sz="0" w:space="0" w:color="auto"/>
            <w:bottom w:val="none" w:sz="0" w:space="0" w:color="auto"/>
            <w:right w:val="none" w:sz="0" w:space="0" w:color="auto"/>
          </w:divBdr>
        </w:div>
        <w:div w:id="1712337114">
          <w:marLeft w:val="480"/>
          <w:marRight w:val="0"/>
          <w:marTop w:val="0"/>
          <w:marBottom w:val="0"/>
          <w:divBdr>
            <w:top w:val="none" w:sz="0" w:space="0" w:color="auto"/>
            <w:left w:val="none" w:sz="0" w:space="0" w:color="auto"/>
            <w:bottom w:val="none" w:sz="0" w:space="0" w:color="auto"/>
            <w:right w:val="none" w:sz="0" w:space="0" w:color="auto"/>
          </w:divBdr>
        </w:div>
        <w:div w:id="1209681619">
          <w:marLeft w:val="4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iscitelli@icb.cnr.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e"/>
          <w:gallery w:val="placeholder"/>
        </w:category>
        <w:types>
          <w:type w:val="bbPlcHdr"/>
        </w:types>
        <w:behaviors>
          <w:behavior w:val="content"/>
        </w:behaviors>
        <w:guid w:val="{81EC21EA-15D2-45DB-803E-A07F80B0F045}"/>
      </w:docPartPr>
      <w:docPartBody>
        <w:p w:rsidR="00E23462" w:rsidRDefault="00684483">
          <w:r w:rsidRPr="009A087A">
            <w:rPr>
              <w:rStyle w:val="Testosegnaposto"/>
            </w:rPr>
            <w:t>Fare clic o toccare qui per immettere il testo.</w:t>
          </w:r>
        </w:p>
      </w:docPartBody>
    </w:docPart>
    <w:docPart>
      <w:docPartPr>
        <w:name w:val="DA6AD72B12C34F7996DDF41BB6A237FD"/>
        <w:category>
          <w:name w:val="Generale"/>
          <w:gallery w:val="placeholder"/>
        </w:category>
        <w:types>
          <w:type w:val="bbPlcHdr"/>
        </w:types>
        <w:behaviors>
          <w:behavior w:val="content"/>
        </w:behaviors>
        <w:guid w:val="{C68B567A-7178-4446-82B1-0976FE1DE36F}"/>
      </w:docPartPr>
      <w:docPartBody>
        <w:p w:rsidR="00EE707C" w:rsidRDefault="00456DFA" w:rsidP="00456DFA">
          <w:pPr>
            <w:pStyle w:val="DA6AD72B12C34F7996DDF41BB6A237FD"/>
          </w:pPr>
          <w:r w:rsidRPr="0062352C">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83"/>
    <w:rsid w:val="0018550F"/>
    <w:rsid w:val="001B0C41"/>
    <w:rsid w:val="00295144"/>
    <w:rsid w:val="00305A9C"/>
    <w:rsid w:val="00431A74"/>
    <w:rsid w:val="00456DFA"/>
    <w:rsid w:val="00463085"/>
    <w:rsid w:val="004A2322"/>
    <w:rsid w:val="00500CCF"/>
    <w:rsid w:val="00684483"/>
    <w:rsid w:val="009F67D5"/>
    <w:rsid w:val="00B11F43"/>
    <w:rsid w:val="00B61BAA"/>
    <w:rsid w:val="00E23462"/>
    <w:rsid w:val="00EE707C"/>
    <w:rsid w:val="00F32B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56DFA"/>
    <w:rPr>
      <w:color w:val="666666"/>
    </w:rPr>
  </w:style>
  <w:style w:type="paragraph" w:customStyle="1" w:styleId="DA6AD72B12C34F7996DDF41BB6A237FD">
    <w:name w:val="DA6AD72B12C34F7996DDF41BB6A237FD"/>
    <w:rsid w:val="00456D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35E67A-286F-4261-B222-449543AAEE0A}">
  <we:reference id="wa104382081" version="1.55.1.0" store="it-IT" storeType="OMEX"/>
  <we:alternateReferences>
    <we:reference id="WA104382081" version="1.55.1.0" store="" storeType="OMEX"/>
  </we:alternateReferences>
  <we:properties>
    <we:property name="MENDELEY_CITATIONS" value="[{&quot;citationID&quot;:&quot;MENDELEY_CITATION_d7d277b5-36ac-4d2b-b0fe-ae047b95c831&quot;,&quot;properties&quot;:{&quot;noteIndex&quot;:0},&quot;isEdited&quot;:false,&quot;manualOverride&quot;:{&quot;isManuallyOverridden&quot;:false,&quot;citeprocText&quot;:&quot;(Brooks et al., 2000)&quot;,&quot;manualOverrideText&quot;:&quot;&quot;},&quot;citationTag&quot;:&quot;MENDELEY_CITATION_v3_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&quot;,&quot;citationItems&quot;:[{&quot;id&quot;:&quot;29cc02a6-2bf8-3f15-88cf-afbe839d8b61&quot;,&quot;itemData&quot;:{&quot;type&quot;:&quot;article-journal&quot;,&quot;id&quot;:&quot;29cc02a6-2bf8-3f15-88cf-afbe839d8b61&quot;,&quot;title&quot;:&quot;El Escorial revisited: revised criteria for the diagnosis of ALS&quot;,&quot;author&quot;:[{&quot;family&quot;:&quot;Brooks&quot;,&quot;given&quot;:&quot;B R&quot;,&quot;parse-names&quot;:false,&quot;dropping-particle&quot;:&quot;&quot;,&quot;non-dropping-particle&quot;:&quot;&quot;},{&quot;family&quot;:&quot;Miller&quot;,&quot;given&quot;:&quot;R G&quot;,&quot;parse-names&quot;:false,&quot;dropping-particle&quot;:&quot;&quot;,&quot;non-dropping-particle&quot;:&quot;&quot;},{&quot;family&quot;:&quot;Swash&quot;,&quot;given&quot;:&quot;M&quot;,&quot;parse-names&quot;:false,&quot;dropping-particle&quot;:&quot;&quot;,&quot;non-dropping-particle&quot;:&quot;&quot;},{&quot;family&quot;:&quot;Munsat&quot;,&quot;given&quot;:&quot;T L&quot;,&quot;parse-names&quot;:false,&quot;dropping-particle&quot;:&quot;&quot;,&quot;non-dropping-particle&quot;:&quot;&quot;}],&quot;container-title&quot;:&quot;Amyotrophic lateral sclerosis and other motor neuron disorders : official publication of the World Federation of Neurology, Research Group on Motor Neuron Diseases&quot;,&quot;container-title-short&quot;:&quot;Amyotroph Lateral Scler Other Motor Neuron Disord&quot;,&quot;ISSN&quot;:&quot;1466-0822&quot;,&quot;URL&quot;:&quot;http://www.ncbi.nlm.nih.gov/pubmed/11464847&quot;,&quot;issued&quot;:{&quot;date-parts&quot;:[[2000]]},&quot;page&quot;:&quot;293-299&quot;,&quot;issue&quot;:&quot;5&quot;,&quot;volume&quot;:&quot;1&quot;},&quot;isTemporary&quot;:false}]},{&quot;citationID&quot;:&quot;MENDELEY_CITATION_af639c36-848d-454c-a5da-6156d4a07587&quot;,&quot;properties&quot;:{&quot;noteIndex&quot;:0},&quot;isEdited&quot;:false,&quot;manualOverride&quot;:{&quot;isManuallyOverridden&quot;:false,&quot;citeprocText&quot;:&quot;(Cedarbaum et al., 1999)&quot;,&quot;manualOverrideText&quot;:&quot;&quot;},&quot;citationTag&quot;:&quot;MENDELEY_CITATION_v3_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&quot;,&quot;citationItems&quot;:[{&quot;id&quot;:&quot;0cc82b8d-f402-345f-a533-51bd8c007668&quot;,&quot;itemData&quot;:{&quot;type&quot;:&quot;article-journal&quot;,&quot;id&quot;:&quot;0cc82b8d-f402-345f-a533-51bd8c007668&quot;,&quot;title&quot;:&quot;The ALSFRS-R: a revised ALS functional rating scale that incorporates assessments of respiratory function&quot;,&quot;author&quot;:[{&quot;family&quot;:&quot;Cedarbaum&quot;,&quot;given&quot;:&quot;Jesse M.&quot;,&quot;parse-names&quot;:false,&quot;dropping-particle&quot;:&quot;&quot;,&quot;non-dropping-particle&quot;:&quot;&quot;},{&quot;family&quot;:&quot;Stambler&quot;,&quot;given&quot;:&quot;Nancy&quot;,&quot;parse-names&quot;:false,&quot;dropping-particle&quot;:&quot;&quot;,&quot;non-dropping-particle&quot;:&quot;&quot;},{&quot;family&quot;:&quot;Malta&quot;,&quot;given&quot;:&quot;Errol&quot;,&quot;parse-names&quot;:false,&quot;dropping-particle&quot;:&quot;&quot;,&quot;non-dropping-particle&quot;:&quot;&quot;},{&quot;family&quot;:&quot;Fuller&quot;,&quot;given&quot;:&quot;Cynthia&quot;,&quot;parse-names&quot;:false,&quot;dropping-particle&quot;:&quot;&quot;,&quot;non-dropping-particle&quot;:&quot;&quot;},{&quot;family&quot;:&quot;Hilt&quot;,&quot;given&quot;:&quot;Dana&quot;,&quot;parse-names&quot;:false,&quot;dropping-particle&quot;:&quot;&quot;,&quot;non-dropping-particle&quot;:&quot;&quot;},{&quot;family&quot;:&quot;Thurmond&quot;,&quot;given&quot;:&quot;Barbara&quot;,&quot;parse-names&quot;:false,&quot;dropping-particle&quot;:&quot;&quot;,&quot;non-dropping-particle&quot;:&quot;&quot;},{&quot;family&quot;:&quot;Nakanishi&quot;,&quot;given&quot;:&quot;Arline&quot;,&quot;parse-names&quot;:false,&quot;dropping-particle&quot;:&quot;&quot;,&quot;non-dropping-particle&quot;:&quot;&quot;}],&quot;container-title&quot;:&quot;Journal of the Neurological Sciences&quot;,&quot;container-title-short&quot;:&quot;J Neurol Sci&quot;,&quot;DOI&quot;:&quot;10.1016/S0022-510X(99)00210-5&quot;,&quot;ISSN&quot;:&quot;0022510X&quot;,&quot;issued&quot;:{&quot;date-parts&quot;:[[1999,10]]},&quot;page&quot;:&quot;13-21&quot;,&quot;issue&quot;:&quot;1-2&quot;,&quot;volume&quot;:&quot;169&quot;},&quot;isTemporary&quot;:false}]},{&quot;citationID&quot;:&quot;MENDELEY_CITATION_a3c62608-2331-4bd5-a034-036f21eb4841&quot;,&quot;properties&quot;:{&quot;noteIndex&quot;:0},&quot;isEdited&quot;:false,&quot;manualOverride&quot;:{&quot;isManuallyOverridden&quot;:false,&quot;citeprocText&quot;:&quot;(Roche et al., 2012)&quot;,&quot;manualOverrideText&quot;:&quot;&quot;},&quot;citationTag&quot;:&quot;MENDELEY_CITATION_v3_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&quot;,&quot;citationItems&quot;:[{&quot;id&quot;:&quot;0771c665-a5ec-38ea-9457-88011aafa3b2&quot;,&quot;itemData&quot;:{&quot;type&quot;:&quot;article-journal&quot;,&quot;id&quot;:&quot;0771c665-a5ec-38ea-9457-88011aafa3b2&quot;,&quot;title&quot;:&quot;A proposed staging system for amyotrophic lateral sclerosis&quot;,&quot;author&quot;:[{&quot;family&quot;:&quot;Roche&quot;,&quot;given&quot;:&quot;Jose C.&quot;,&quot;parse-names&quot;:false,&quot;dropping-particle&quot;:&quot;&quot;,&quot;non-dropping-particle&quot;:&quot;&quot;},{&quot;family&quot;:&quot;Rojas-Garcia&quot;,&quot;given&quot;:&quot;Ricardo&quot;,&quot;parse-names&quot;:false,&quot;dropping-particle&quot;:&quot;&quot;,&quot;non-dropping-particle&quot;:&quot;&quot;},{&quot;family&quot;:&quot;Scott&quot;,&quot;given&quot;:&quot;Kirsten M.&quot;,&quot;parse-names&quot;:false,&quot;dropping-particle&quot;:&quot;&quot;,&quot;non-dropping-particle&quot;:&quot;&quot;},{&quot;family&quot;:&quot;Scotton&quot;,&quot;given&quot;:&quot;William&quot;,&quot;parse-names&quot;:false,&quot;dropping-particle&quot;:&quot;&quot;,&quot;non-dropping-particle&quot;:&quot;&quot;},{&quot;family&quot;:&quot;Ellis&quot;,&quot;given&quot;:&quot;Catherine E.&quot;,&quot;parse-names&quot;:false,&quot;dropping-particle&quot;:&quot;&quot;,&quot;non-dropping-particle&quot;:&quot;&quot;},{&quot;family&quot;:&quot;Burman&quot;,&quot;given&quot;:&quot;Rachel&quot;,&quot;parse-names&quot;:false,&quot;dropping-particle&quot;:&quot;&quot;,&quot;non-dropping-particle&quot;:&quot;&quot;},{&quot;family&quot;:&quot;Wijesekera&quot;,&quot;given&quot;:&quot;Lokesh&quot;,&quot;parse-names&quot;:false,&quot;dropping-particle&quot;:&quot;&quot;,&quot;non-dropping-particle&quot;:&quot;&quot;},{&quot;family&quot;:&quot;Turner&quot;,&quot;given&quot;:&quot;Martin R.&quot;,&quot;parse-names&quot;:false,&quot;dropping-particle&quot;:&quot;&quot;,&quot;non-dropping-particle&quot;:&quot;&quot;},{&quot;family&quot;:&quot;Leigh&quot;,&quot;given&quot;:&quot;P. Nigel&quot;,&quot;parse-names&quot;:false,&quot;dropping-particle&quot;:&quot;&quot;,&quot;non-dropping-particle&quot;:&quot;&quot;},{&quot;family&quot;:&quot;Shaw&quot;,&quot;given&quot;:&quot;Christopher E.&quot;,&quot;parse-names&quot;:false,&quot;dropping-particle&quot;:&quot;&quot;,&quot;non-dropping-particle&quot;:&quot;&quot;},{&quot;family&quot;:&quot;Al-Chalabi&quot;,&quot;given&quot;:&quot;Ammar&quot;,&quot;parse-names&quot;:false,&quot;dropping-particle&quot;:&quot;&quot;,&quot;non-dropping-particle&quot;:&quot;&quot;}],&quot;container-title&quot;:&quot;Brain&quot;,&quot;DOI&quot;:&quot;10.1093/brain/awr351&quot;,&quot;ISSN&quot;:&quot;14602156&quot;,&quot;PMID&quot;:&quot;22271664&quot;,&quot;issued&quot;:{&quot;date-parts&quot;:[[2012]]},&quot;page&quot;:&quot;847-852&quot;,&quot;abstract&quot;:&quot;Amyotrophic lateral sclerosis is a neurodegenerative disorder characterized by progressive loss of upper and lower motor neurons, with a median survival of 2-3 years. Although various phenotypic and research diagnostic classification systems exist and several prognostic models have been generated, there is no staging system. Staging criteria for amyotrophic lateral sclerosis would help to provide a universal and objective measure of disease progression with benefits for patient care, resource allocation, research classifications and clinical trial design. We therefore sought to define easily identified clinical milestones that could be shown to occur at specific points in the disease course, reflect disease progression and impact prognosis and treatment. A tertiary referral centre clinical database was analysed, consisting of 1471 patients with amyotrophic lateral sclerosis seen between 1993 and 2007. Milestones were defined as symptom onset (functional involvement by weakness, wasting, spasticity, dysarthria or dysphagia of one central nervous system region defined as bulbar, upper limb, lower limb or diaphragmatic), diagnosis, functional involvement of a second region, functional involvement of a third region, needing gastrostomy and non-invasive ventilation. Milestone timings were standardized as proportions of time elapsed through the disease course using information from patients who had died by dividing time to a milestone by disease duration. Milestones occurred at predictable proportions of the disease course. Diagnosis occurred at 35% through the disease course, involvement of a second region at 38%, a third region at 61%, need for gastrostomy at 77% and need for non-invasive ventilation at 80%. We therefore propose a simple staging system for amyotrophic lateral sclerosis. Stage 1: symptom onset (involvement of first region); Stage 2A: diagnosis; Stage 2B: involvement of second region; Stage 3: involvement of third region; Stage 4A: need for gastrostomy; and Stage 4B: need for non-invasive ventilation. Validation of this staging system will require further studies in other populations, in population registers and in other clinic databases. The standardized times to milestones may well vary between different studies and populations, although the stages themselves and their meanings are likely to remain unchanged. © The Author (2012).&quot;,&quot;issue&quot;:&quot;3&quot;,&quot;volume&quot;:&quot;135&quot;,&quot;container-title-short&quot;:&quot;&quot;},&quot;isTemporary&quot;:false}]},{&quot;citationID&quot;:&quot;MENDELEY_CITATION_b36b4a1c-de95-488d-af7a-a32a02cb62a1&quot;,&quot;properties&quot;:{&quot;noteIndex&quot;:0},&quot;isEdited&quot;:false,&quot;manualOverride&quot;:{&quot;isManuallyOverridden&quot;:false,&quot;citeprocText&quot;:&quot;(Kimura et al., 2006)&quot;,&quot;manualOverrideText&quot;:&quot;&quot;},&quot;citationTag&quot;:&quot;MENDELEY_CITATION_v3_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&quot;,&quot;citationItems&quot;:[{&quot;id&quot;:&quot;e34b1fff-20da-39ee-bbeb-be88d413b06b&quot;,&quot;itemData&quot;:{&quot;type&quot;:&quot;article-journal&quot;,&quot;id&quot;:&quot;e34b1fff-20da-39ee-bbeb-be88d413b06b&quot;,&quot;title&quot;:&quot;Progression rate of ALSFRS-R at time of diagnosis predicts survival time in ALS&quot;,&quot;author&quot;:[{&quot;family&quot;:&quot;Kimura&quot;,&quot;given&quot;:&quot;F.&quot;,&quot;parse-names&quot;:false,&quot;dropping-particle&quot;:&quot;&quot;,&quot;non-dropping-particle&quot;:&quot;&quot;},{&quot;family&quot;:&quot;Fujimura&quot;,&quot;given&quot;:&quot;C.&quot;,&quot;parse-names&quot;:false,&quot;dropping-particle&quot;:&quot;&quot;,&quot;non-dropping-particle&quot;:&quot;&quot;},{&quot;family&quot;:&quot;Ishida&quot;,&quot;given&quot;:&quot;S.&quot;,&quot;parse-names&quot;:false,&quot;dropping-particle&quot;:&quot;&quot;,&quot;non-dropping-particle&quot;:&quot;&quot;},{&quot;family&quot;:&quot;Nakajima&quot;,&quot;given&quot;:&quot;H.&quot;,&quot;parse-names&quot;:false,&quot;dropping-particle&quot;:&quot;&quot;,&quot;non-dropping-particle&quot;:&quot;&quot;},{&quot;family&quot;:&quot;Furutama&quot;,&quot;given&quot;:&quot;D.&quot;,&quot;parse-names&quot;:false,&quot;dropping-particle&quot;:&quot;&quot;,&quot;non-dropping-particle&quot;:&quot;&quot;},{&quot;family&quot;:&quot;Uehara&quot;,&quot;given&quot;:&quot;H.&quot;,&quot;parse-names&quot;:false,&quot;dropping-particle&quot;:&quot;&quot;,&quot;non-dropping-particle&quot;:&quot;&quot;},{&quot;family&quot;:&quot;Shinoda&quot;,&quot;given&quot;:&quot;K.&quot;,&quot;parse-names&quot;:false,&quot;dropping-particle&quot;:&quot;&quot;,&quot;non-dropping-particle&quot;:&quot;&quot;},{&quot;family&quot;:&quot;Sugino&quot;,&quot;given&quot;:&quot;M.&quot;,&quot;parse-names&quot;:false,&quot;dropping-particle&quot;:&quot;&quot;,&quot;non-dropping-particle&quot;:&quot;&quot;},{&quot;family&quot;:&quot;Hanafusa&quot;,&quot;given&quot;:&quot;T.&quot;,&quot;parse-names&quot;:false,&quot;dropping-particle&quot;:&quot;&quot;,&quot;non-dropping-particle&quot;:&quot;&quot;}],&quot;container-title&quot;:&quot;Neurology&quot;,&quot;container-title-short&quot;:&quot;Neurology&quot;,&quot;DOI&quot;:&quot;10.1212/01.wnl.0000194316.91908.8a&quot;,&quot;ISSN&quot;:&quot;0028-3878&quot;,&quot;issued&quot;:{&quot;date-parts&quot;:[[2006,1,24]]},&quot;page&quot;:&quot;265-267&quot;,&quot;issue&quot;:&quot;2&quot;,&quot;volume&quot;:&quot;66&quot;},&quot;isTemporary&quot;:false}]},{&quot;citationID&quot;:&quot;MENDELEY_CITATION_873f5b18-aeea-4315-8639-b94fb4a813b6&quot;,&quot;properties&quot;:{&quot;noteIndex&quot;:0},&quot;isEdited&quot;:false,&quot;manualOverride&quot;:{&quot;isManuallyOverridden&quot;:false,&quot;citeprocText&quot;:&quot;(Dubbioso et al., 2023)&quot;,&quot;manualOverrideText&quot;:&quot;&quot;},&quot;citationTag&quot;:&quot;MENDELEY_CITATION_v3_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&quot;,&quot;citationItems&quot;:[{&quot;id&quot;:&quot;d5e631bf-4ca7-3f78-a03e-1dd3f161c89c&quot;,&quot;itemData&quot;:{&quot;type&quot;:&quot;article-journal&quot;,&quot;id&quot;:&quot;d5e631bf-4ca7-3f78-a03e-1dd3f161c89c&quot;,&quot;title&quot;:&quot;Cognitive impairment is associated with gait variability and fall risk in amyotrophic lateral sclerosis&quot;,&quot;author&quot;:[{&quot;family&quot;:&quot;Dubbioso&quot;,&quot;given&quot;:&quot;Raffaele&quot;,&quot;parse-names&quot;:false,&quot;dropping-particle&quot;:&quot;&quot;,&quot;non-dropping-particle&quot;:&quot;&quot;},{&quot;family&quot;:&quot;Spisto&quot;,&quot;given&quot;:&quot;Myriam&quot;,&quot;parse-names&quot;:false,&quot;dropping-particle&quot;:&quot;&quot;,&quot;non-dropping-particle&quot;:&quot;&quot;},{&quot;family&quot;:&quot;Hausdorff&quot;,&quot;given&quot;:&quot;Jeffrey M.&quot;,&quot;parse-names&quot;:false,&quot;dropping-particle&quot;:&quot;&quot;,&quot;non-dropping-particle&quot;:&quot;&quot;},{&quot;family&quot;:&quot;Aceto&quot;,&quot;given&quot;:&quot;Gabriella&quot;,&quot;parse-names&quot;:false,&quot;dropping-particle&quot;:&quot;&quot;,&quot;non-dropping-particle&quot;:&quot;&quot;},{&quot;family&quot;:&quot;Iuzzolino&quot;,&quot;given&quot;:&quot;Valentina Virginia&quot;,&quot;parse-names&quot;:false,&quot;dropping-particle&quot;:&quot;&quot;,&quot;non-dropping-particle&quot;:&quot;&quot;},{&quot;family&quot;:&quot;Senerchia&quot;,&quot;given&quot;:&quot;Gianmaria&quot;,&quot;parse-names&quot;:false,&quot;dropping-particle&quot;:&quot;&quot;,&quot;non-dropping-particle&quot;:&quot;&quot;},{&quot;family&quot;:&quot;De Marco&quot;,&quot;given&quot;:&quot;Stefania&quot;,&quot;parse-names&quot;:false,&quot;dropping-particle&quot;:&quot;&quot;,&quot;non-dropping-particle&quot;:&quot;&quot;},{&quot;family&quot;:&quot;Marcuccio&quot;,&quot;given&quot;:&quot;Laura&quot;,&quot;parse-names&quot;:false,&quot;dropping-particle&quot;:&quot;&quot;,&quot;non-dropping-particle&quot;:&quot;&quot;},{&quot;family&quot;:&quot;Femiano&quot;,&quot;given&quot;:&quot;Cinzia&quot;,&quot;parse-names&quot;:false,&quot;dropping-particle&quot;:&quot;&quot;,&quot;non-dropping-particle&quot;:&quot;&quot;},{&quot;family&quot;:&quot;Iodice&quot;,&quot;given&quot;:&quot;Rosa&quot;,&quot;parse-names&quot;:false,&quot;dropping-particle&quot;:&quot;&quot;,&quot;non-dropping-particle&quot;:&quot;&quot;},{&quot;family&quot;:&quot;Salvatore&quot;,&quot;given&quot;:&quot;Elena&quot;,&quot;parse-names&quot;:false,&quot;dropping-particle&quot;:&quot;&quot;,&quot;non-dropping-particle&quot;:&quot;&quot;},{&quot;family&quot;:&quot;Santangelo&quot;,&quot;given&quot;:&quot;Gabriella&quot;,&quot;parse-names&quot;:false,&quot;dropping-particle&quot;:&quot;&quot;,&quot;non-dropping-particle&quot;:&quot;&quot;},{&quot;family&quot;:&quot;Trojano&quot;,&quot;given&quot;:&quot;Luigi&quot;,&quot;parse-names&quot;:false,&quot;dropping-particle&quot;:&quot;&quot;,&quot;non-dropping-particle&quot;:&quot;&quot;},{&quot;family&quot;:&quot;Moretta&quot;,&quot;given&quot;:&quot;Pasquale&quot;,&quot;parse-names&quot;:false,&quot;dropping-particle&quot;:&quot;&quot;,&quot;non-dropping-particle&quot;:&quot;&quot;}],&quot;container-title&quot;:&quot;European Journal of Neurology&quot;,&quot;container-title-short&quot;:&quot;Eur J Neurol&quot;,&quot;DOI&quot;:&quot;10.1111/ene.15936&quot;,&quot;ISSN&quot;:&quot;1351-5101&quot;,&quot;issued&quot;:{&quot;date-parts&quot;:[[2023,10,29]]},&quot;page&quot;:&quot;3056-3067&quot;,&quot;issue&quot;:&quot;10&quot;,&quot;volume&quot;:&quot;30&quot;},&quot;isTemporary&quot;:false}]},{&quot;citationID&quot;:&quot;MENDELEY_CITATION_bb121b6c-a925-4236-8fe7-43820b01329f&quot;,&quot;properties&quot;:{&quot;noteIndex&quot;:0},&quot;isEdited&quot;:false,&quot;manualOverride&quot;:{&quot;isManuallyOverridden&quot;:false,&quot;citeprocText&quot;:&quot;(Quinn et al., 2020)&quot;,&quot;manualOverrideText&quot;:&quot;&quot;},&quot;citationTag&quot;:&quot;MENDELEY_CITATION_v3_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&quot;,&quot;citationItems&quot;:[{&quot;id&quot;:&quot;3aeba265-ab5c-321d-ba71-17562d5d46b7&quot;,&quot;itemData&quot;:{&quot;type&quot;:&quot;article-journal&quot;,&quot;id&quot;:&quot;3aeba265-ab5c-321d-ba71-17562d5d46b7&quot;,&quot;title&quot;:&quot;Reliable and efficient scale to assess upper motor neuron disease burden in amyotrophic lateral sclerosis&quot;,&quot;author&quot;:[{&quot;family&quot;:&quot;Quinn&quot;,&quot;given&quot;:&quot;Colin&quot;,&quot;parse-names&quot;:false,&quot;dropping-particle&quot;:&quot;&quot;,&quot;non-dropping-particle&quot;:&quot;&quot;},{&quot;family&quot;:&quot;Edmundson&quot;,&quot;given&quot;:&quot;Christyn&quot;,&quot;parse-names&quot;:false,&quot;dropping-particle&quot;:&quot;&quot;,&quot;non-dropping-particle&quot;:&quot;&quot;},{&quot;family&quot;:&quot;Dahodwala&quot;,&quot;given&quot;:&quot;Nabila&quot;,&quot;parse-names&quot;:false,&quot;dropping-particle&quot;:&quot;&quot;,&quot;non-dropping-particle&quot;:&quot;&quot;},{&quot;family&quot;:&quot;Elman&quot;,&quot;given&quot;:&quot;Lauren&quot;,&quot;parse-names&quot;:false,&quot;dropping-particle&quot;:&quot;&quot;,&quot;non-dropping-particle&quot;:&quot;&quot;}],&quot;container-title&quot;:&quot;Muscle and Nerve&quot;,&quot;container-title-short&quot;:&quot;Muscle Nerve&quot;,&quot;DOI&quot;:&quot;10.1002/mus.26764&quot;,&quot;ISSN&quot;:&quot;10974598&quot;,&quot;PMID&quot;:&quot;31743477&quot;,&quot;issued&quot;:{&quot;date-parts&quot;:[[2020]]},&quot;page&quot;:&quot;508-511&quot;,&quot;abstract&quot;:&quot;Background: Validation of biomarkers of upper motor neuron (UMN) impairment in amyotrophic lateral sclerosis (ALS) requires a reliable clinical assessment of UMN findings. The Penn Upper Motor Neuron Score© (PUMNS) is a standardized measure of UMN signs in ALS. Our aims were to evaluate its intra- and inter-rater reliability, and to examine inter-item reliability as a proxy for item relatedness and scale efficiency. Methods: Study procedures were performed during routine clinic visits. We calculated intra and inter-rater reliability using Pearson's correlation coefficient and inter-item reliability using Cronbach's alpha. Results: PUMNS had high intra and inter-rater reliability. Total and sub-score correlation coefficients were all ≥0.96. The inter-item reliability indicated appropriate item relatedness with reasonable efficiency and sub-score correlation coefficients between 0.68 and 0.85. Conclusions: PUMNS is a reliable measure of UMN signs in ALS and would be a useful tool in validating imaging and laboratory biomarkers of UMN injury in ALS.&quot;,&quot;issue&quot;:&quot;4&quot;,&quot;volume&quot;:&quot;61&quot;},&quot;isTemporary&quot;:false}]},{&quot;citationID&quot;:&quot;MENDELEY_CITATION_e6ee05ef-6c9a-4be9-b5c9-2145a1a321b3&quot;,&quot;properties&quot;:{&quot;noteIndex&quot;:0},&quot;isEdited&quot;:false,&quot;manualOverride&quot;:{&quot;isManuallyOverridden&quot;:false,&quot;citeprocText&quot;:&quot;(Czaplinski, 2005)&quot;,&quot;manualOverrideText&quot;:&quot;&quot;},&quot;citationTag&quot;:&quot;MENDELEY_CITATION_v3_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&quot;,&quot;citationItems&quot;:[{&quot;id&quot;:&quot;a6846114-0c62-31a6-b0a5-a7c91ce2bf40&quot;,&quot;itemData&quot;:{&quot;type&quot;:&quot;article-journal&quot;,&quot;id&quot;:&quot;a6846114-0c62-31a6-b0a5-a7c91ce2bf40&quot;,&quot;title&quot;:&quot;Forced vital capacity (FVC) as an indicator of survival and disease progression in an ALS clinic population&quot;,&quot;author&quot;:[{&quot;family&quot;:&quot;Czaplinski&quot;,&quot;given&quot;:&quot;A&quot;,&quot;parse-names&quot;:false,&quot;dropping-particle&quot;:&quot;&quot;,&quot;non-dropping-particle&quot;:&quot;&quot;}],&quot;container-title&quot;:&quot;Journal of Neurology, Neurosurgery &amp; Psychiatry&quot;,&quot;container-title-short&quot;:&quot;J Neurol Neurosurg Psychiatry&quot;,&quot;DOI&quot;:&quot;10.1136/jnnp.2005.072660&quot;,&quot;ISSN&quot;:&quot;0022-3050&quot;,&quot;issued&quot;:{&quot;date-parts&quot;:[[2005,7,26]]},&quot;page&quot;:&quot;390-392&quot;,&quot;issue&quot;:&quot;3&quot;,&quot;volume&quot;:&quot;77&quot;},&quot;isTemporary&quot;:false}]},{&quot;citationID&quot;:&quot;MENDELEY_CITATION_537e2c93-b6b9-4a8c-b787-18a9473f7c23&quot;,&quot;properties&quot;:{&quot;noteIndex&quot;:0},&quot;isEdited&quot;:false,&quot;manualOverride&quot;:{&quot;isManuallyOverridden&quot;:false,&quot;citeprocText&quot;:&quot;(Strong et al., 2017)&quot;,&quot;manualOverrideText&quot;:&quot;&quot;},&quot;citationTag&quot;:&quot;MENDELEY_CITATION_v3_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&quot;,&quot;citationItems&quot;:[{&quot;id&quot;:&quot;c5dfeaad-0595-353b-84ae-6390b3d44da9&quot;,&quot;itemData&quot;:{&quot;type&quot;:&quot;article-journal&quot;,&quot;id&quot;:&quot;c5dfeaad-0595-353b-84ae-6390b3d44da9&quot;,&quot;title&quot;:&quot;Amyotrophic lateral sclerosis - frontotemporal spectrum disorder (ALS-FTSD): Revised diagnostic criteria&quot;,&quot;author&quot;:[{&quot;family&quot;:&quot;Strong&quot;,&quot;given&quot;:&quot;Michael J.&quot;,&quot;parse-names&quot;:false,&quot;dropping-particle&quot;:&quot;&quot;,&quot;non-dropping-particle&quot;:&quot;&quot;},{&quot;family&quot;:&quot;Abrahams&quot;,&quot;given&quot;:&quot;Sharon&quot;,&quot;parse-names&quot;:false,&quot;dropping-particle&quot;:&quot;&quot;,&quot;non-dropping-particle&quot;:&quot;&quot;},{&quot;family&quot;:&quot;Goldstein&quot;,&quot;given&quot;:&quot;Laura H.&quot;,&quot;parse-names&quot;:false,&quot;dropping-particle&quot;:&quot;&quot;,&quot;non-dropping-particle&quot;:&quot;&quot;},{&quot;family&quot;:&quot;Woolley&quot;,&quot;given&quot;:&quot;Susan&quot;,&quot;parse-names&quot;:false,&quot;dropping-particle&quot;:&quot;&quot;,&quot;non-dropping-particle&quot;:&quot;&quot;},{&quot;family&quot;:&quot;Mclaughlin&quot;,&quot;given&quot;:&quot;Paula&quot;,&quot;parse-names&quot;:false,&quot;dropping-particle&quot;:&quot;&quot;,&quot;non-dropping-particle&quot;:&quot;&quot;},{&quot;family&quot;:&quot;Snowden&quot;,&quot;given&quot;:&quot;Julie&quot;,&quot;parse-names&quot;:false,&quot;dropping-particle&quot;:&quot;&quot;,&quot;non-dropping-particle&quot;:&quot;&quot;},{&quot;family&quot;:&quot;Mioshi&quot;,&quot;given&quot;:&quot;Eneida&quot;,&quot;parse-names&quot;:false,&quot;dropping-particle&quot;:&quot;&quot;,&quot;non-dropping-particle&quot;:&quot;&quot;},{&quot;family&quot;:&quot;Roberts-South&quot;,&quot;given&quot;:&quot;Angie&quot;,&quot;parse-names&quot;:false,&quot;dropping-particle&quot;:&quot;&quot;,&quot;non-dropping-particle&quot;:&quot;&quot;},{&quot;family&quot;:&quot;Benatar&quot;,&quot;given&quot;:&quot;Michael&quot;,&quot;parse-names&quot;:false,&quot;dropping-particle&quot;:&quot;&quot;,&quot;non-dropping-particle&quot;:&quot;&quot;},{&quot;family&quot;:&quot;HortobáGyi&quot;,&quot;given&quot;:&quot;Tibor&quot;,&quot;parse-names&quot;:false,&quot;dropping-particle&quot;:&quot;&quot;,&quot;non-dropping-particle&quot;:&quot;&quot;},{&quot;family&quot;:&quot;Rosenfeld&quot;,&quot;given&quot;:&quot;Jeffrey&quot;,&quot;parse-names&quot;:false,&quot;dropping-particle&quot;:&quot;&quot;,&quot;non-dropping-particle&quot;:&quot;&quot;},{&quot;family&quot;:&quot;Silani&quot;,&quot;given&quot;:&quot;Vincenzo&quot;,&quot;parse-names&quot;:false,&quot;dropping-particle&quot;:&quot;&quot;,&quot;non-dropping-particle&quot;:&quot;&quot;},{&quot;family&quot;:&quot;Ince&quot;,&quot;given&quot;:&quot;Paul G&quot;,&quot;parse-names&quot;:false,&quot;dropping-particle&quot;:&quot;&quot;,&quot;non-dropping-particle&quot;:&quot;&quot;},{&quot;family&quot;:&quot;Turner&quot;,&quot;given&quot;:&quot;Martin R.&quot;,&quot;parse-names&quot;:false,&quot;dropping-particle&quot;:&quot;&quot;,&quot;non-dropping-particle&quot;:&quot;&quot;}],&quot;container-title&quot;:&quot;Amyotrophic Lateral Sclerosis and Frontotemporal Degeneration&quot;,&quot;container-title-short&quot;:&quot;Amyotroph Lateral Scler Frontotemporal Degener&quot;,&quot;DOI&quot;:&quot;10.1080/21678421.2016.1267768&quot;,&quot;ISSN&quot;:&quot;2167-8421&quot;,&quot;issued&quot;:{&quot;date-parts&quot;:[[2017,4,3]]},&quot;page&quot;:&quot;153-174&quot;,&quot;issue&quot;:&quot;3-4&quot;,&quot;volume&quot;:&quot;18&quot;},&quot;isTemporary&quot;:false}]},{&quot;citationID&quot;:&quot;MENDELEY_CITATION_a3e8d23a-5dd1-4899-8be1-b4617d704e3f&quot;,&quot;properties&quot;:{&quot;noteIndex&quot;:0},&quot;isEdited&quot;:false,&quot;manualOverride&quot;:{&quot;isManuallyOverridden&quot;:false,&quot;citeprocText&quot;:&quot;(De Lucia et al., 2020; Moretta et al., 2022)&quot;,&quot;manualOverrideText&quot;:&quot;&quot;},&quot;citationTag&quot;:&quot;MENDELEY_CITATION_v3_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&quot;,&quot;citationItems&quot;:[{&quot;id&quot;:&quot;2a073a44-7530-36b3-8c08-704207622a52&quot;,&quot;itemData&quot;:{&quot;type&quot;:&quot;article-journal&quot;,&quot;id&quot;:&quot;2a073a44-7530-36b3-8c08-704207622a52&quot;,&quot;title&quot;:&quot;Alteration of interoceptive sensitivity: expanding the spectrum of behavioural disorders in amyotrophic lateral sclerosis&quot;,&quot;author&quot;:[{&quot;family&quot;:&quot;Moretta&quot;,&quot;given&quot;:&quot;Pasquale&quot;,&quot;parse-names&quot;:false,&quot;dropping-particle&quot;:&quot;&quot;,&quot;non-dropping-particle&quot;:&quot;&quot;},{&quot;family&quot;:&quot;Spisto&quot;,&quot;given&quot;:&quot;Myriam&quot;,&quot;parse-names&quot;:false,&quot;dropping-particle&quot;:&quot;&quot;,&quot;non-dropping-particle&quot;:&quot;&quot;},{&quot;family&quot;:&quot;Ausiello&quot;,&quot;given&quot;:&quot;Francesco Pio&quot;,&quot;parse-names&quot;:false,&quot;dropping-particle&quot;:&quot;&quot;,&quot;non-dropping-particle&quot;:&quot;&quot;},{&quot;family&quot;:&quot;Iodice&quot;,&quot;given&quot;:&quot;Rosa&quot;,&quot;parse-names&quot;:false,&quot;dropping-particle&quot;:&quot;&quot;,&quot;non-dropping-particle&quot;:&quot;&quot;},{&quot;family&quot;:&quot;Lucia&quot;,&quot;given&quot;:&quot;Natascia&quot;,&quot;parse-names&quot;:false,&quot;dropping-particle&quot;:&quot;&quot;,&quot;non-dropping-particle&quot;:&quot;De&quot;},{&quot;family&quot;:&quot;Santangelo&quot;,&quot;given&quot;:&quot;Gabriella&quot;,&quot;parse-names&quot;:false,&quot;dropping-particle&quot;:&quot;&quot;,&quot;non-dropping-particle&quot;:&quot;&quot;},{&quot;family&quot;:&quot;Trojano&quot;,&quot;given&quot;:&quot;Luigi&quot;,&quot;parse-names&quot;:false,&quot;dropping-particle&quot;:&quot;&quot;,&quot;non-dropping-particle&quot;:&quot;&quot;},{&quot;family&quot;:&quot;Salvatore&quot;,&quot;given&quot;:&quot;Elena&quot;,&quot;parse-names&quot;:false,&quot;dropping-particle&quot;:&quot;&quot;,&quot;non-dropping-particle&quot;:&quot;&quot;},{&quot;family&quot;:&quot;Dubbioso&quot;,&quot;given&quot;:&quot;Raffaele&quot;,&quot;parse-names&quot;:false,&quot;dropping-particle&quot;:&quot;&quot;,&quot;non-dropping-particle&quot;:&quot;&quot;}],&quot;container-title&quot;:&quot;Neurological Sciences&quot;,&quot;DOI&quot;:&quot;10.1007/s10072-022-06231-4&quot;,&quot;ISSN&quot;:&quot;1590-1874&quot;,&quot;issued&quot;:{&quot;date-parts&quot;:[[2022,9,25]]},&quot;page&quot;:&quot;5403-5410&quot;,&quot;issue&quot;:&quot;9&quot;,&quot;volume&quot;:&quot;43&quot;,&quot;container-title-short&quot;:&quot;&quot;},&quot;isTemporary&quot;:false},{&quot;id&quot;:&quot;815366dd-c710-336d-9ff0-0c4639760ea7&quot;,&quot;itemData&quot;:{&quot;type&quot;:&quot;article-journal&quot;,&quot;id&quot;:&quot;815366dd-c710-336d-9ff0-0c4639760ea7&quot;,&quot;title&quot;:&quot;The emotional impact of COVID-19 outbreak in amyotrophic lateral sclerosis patients: evaluation of depression, anxiety and interoceptive awareness&quot;,&quot;author&quot;:[{&quot;family&quot;:&quot;Lucia&quot;,&quot;given&quot;:&quot;Natascia&quot;,&quot;parse-names&quot;:false,&quot;dropping-particle&quot;:&quot;&quot;,&quot;non-dropping-particle&quot;:&quot;De&quot;},{&quot;family&quot;:&quot;Ausiello&quot;,&quot;given&quot;:&quot;Francesco Pio&quot;,&quot;parse-names&quot;:false,&quot;dropping-particle&quot;:&quot;&quot;,&quot;non-dropping-particle&quot;:&quot;&quot;},{&quot;family&quot;:&quot;Spisto&quot;,&quot;given&quot;:&quot;Myriam&quot;,&quot;parse-names&quot;:false,&quot;dropping-particle&quot;:&quot;&quot;,&quot;non-dropping-particle&quot;:&quot;&quot;},{&quot;family&quot;:&quot;Manganelli&quot;,&quot;given&quot;:&quot;Fiore&quot;,&quot;parse-names&quot;:false,&quot;dropping-particle&quot;:&quot;&quot;,&quot;non-dropping-particle&quot;:&quot;&quot;},{&quot;family&quot;:&quot;Salvatore&quot;,&quot;given&quot;:&quot;Elena&quot;,&quot;parse-names&quot;:false,&quot;dropping-particle&quot;:&quot;&quot;,&quot;non-dropping-particle&quot;:&quot;&quot;},{&quot;family&quot;:&quot;Dubbioso&quot;,&quot;given&quot;:&quot;Raffaele&quot;,&quot;parse-names&quot;:false,&quot;dropping-particle&quot;:&quot;&quot;,&quot;non-dropping-particle&quot;:&quot;&quot;}],&quot;container-title&quot;:&quot;Neurological Sciences&quot;,&quot;DOI&quot;:&quot;10.1007/s10072-020-04592-2&quot;,&quot;ISSN&quot;:&quot;15903478&quot;,&quot;PMID&quot;:&quot;32666406&quot;,&quot;issued&quot;:{&quot;date-parts&quot;:[[2020]]},&quot;page&quot;:&quot;2339-2341&quot;,&quot;publisher&quot;:&quot;Neurological Sciences&quot;,&quot;issue&quot;:&quot;9&quot;,&quot;volume&quot;:&quot;41&quot;,&quot;container-title-short&quot;:&quot;&quot;},&quot;isTemporary&quot;:false}]},{&quot;citationID&quot;:&quot;MENDELEY_CITATION_fb0fcb93-87ba-4a8c-bf7e-853d104f91aa&quot;,&quot;properties&quot;:{&quot;noteIndex&quot;:0},&quot;isEdited&quot;:false,&quot;manualOverride&quot;:{&quot;isManuallyOverridden&quot;:false,&quot;citeprocText&quot;:&quot;(Ferraro et al., 2023)&quot;,&quot;manualOverrideText&quot;:&quot;&quot;},&quot;citationTag&quot;:&quot;MENDELEY_CITATION_v3_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&quot;,&quot;citationItems&quot;:[{&quot;id&quot;:&quot;8fba3dbe-166b-3bc9-a68c-87029c3ca1ca&quot;,&quot;itemData&quot;:{&quot;type&quot;:&quot;article-journal&quot;,&quot;id&quot;:&quot;8fba3dbe-166b-3bc9-a68c-87029c3ca1ca&quot;,&quot;title&quot;:&quot;Mild behavioral impairment as a potential marker of predementia risk states in motor neuron diseases&quot;,&quot;author&quot;:[{&quot;family&quot;:&quot;Ferraro&quot;,&quot;given&quot;:&quot;Pilar M.&quot;,&quot;parse-names&quot;:false,&quot;dropping-particle&quot;:&quot;&quot;,&quot;non-dropping-particle&quot;:&quot;&quot;},{&quot;family&quot;:&quot;Gervino&quot;,&quot;given&quot;:&quot;Ester&quot;,&quot;parse-names&quot;:false,&quot;dropping-particle&quot;:&quot;&quot;,&quot;non-dropping-particle&quot;:&quot;&quot;},{&quot;family&quot;:&quot;Maria&quot;,&quot;given&quot;:&quot;Emiliano&quot;,&quot;parse-names&quot;:false,&quot;dropping-particle&quot;:&quot;&quot;,&quot;non-dropping-particle&quot;:&quot;De&quot;},{&quot;family&quot;:&quot;Meo&quot;,&quot;given&quot;:&quot;Giuseppe&quot;,&quot;parse-names&quot;:false,&quot;dropping-particle&quot;:&quot;&quot;,&quot;non-dropping-particle&quot;:&quot;&quot;},{&quot;family&quot;:&quot;Ponzano&quot;,&quot;given&quot;:&quot;Marta&quot;,&quot;parse-names&quot;:false,&quot;dropping-particle&quot;:&quot;&quot;,&quot;non-dropping-particle&quot;:&quot;&quot;},{&quot;family&quot;:&quot;Pardini&quot;,&quot;given&quot;:&quot;Matteo&quot;,&quot;parse-names&quot;:false,&quot;dropping-particle&quot;:&quot;&quot;,&quot;non-dropping-particle&quot;:&quot;&quot;},{&quot;family&quot;:&quot;Signori&quot;,&quot;given&quot;:&quot;Alessio&quot;,&quot;parse-names&quot;:false,&quot;dropping-particle&quot;:&quot;&quot;,&quot;non-dropping-particle&quot;:&quot;&quot;},{&quot;family&quot;:&quot;Schenone&quot;,&quot;given&quot;:&quot;Angelo&quot;,&quot;parse-names&quot;:false,&quot;dropping-particle&quot;:&quot;&quot;,&quot;non-dropping-particle&quot;:&quot;&quot;},{&quot;family&quot;:&quot;Roccatagliata&quot;,&quot;given&quot;:&quot;Luca&quot;,&quot;parse-names&quot;:false,&quot;dropping-particle&quot;:&quot;&quot;,&quot;non-dropping-particle&quot;:&quot;&quot;},{&quot;family&quot;:&quot;Caponnetto&quot;,&quot;given&quot;:&quot;Claudia&quot;,&quot;parse-names&quot;:false,&quot;dropping-particle&quot;:&quot;&quot;,&quot;non-dropping-particle&quot;:&quot;&quot;}],&quot;container-title&quot;:&quot;European Journal of Neurology&quot;,&quot;container-title-short&quot;:&quot;Eur J Neurol&quot;,&quot;DOI&quot;:&quot;10.1111/ene.15570&quot;,&quot;ISSN&quot;:&quot;1351-5101&quot;,&quot;issued&quot;:{&quot;date-parts&quot;:[[2023,1,2]]},&quot;page&quot;:&quot;47-56&quot;,&quot;issue&quot;:&quot;1&quot;,&quot;volume&quot;:&quot;30&quot;},&quot;isTemporary&quot;:false}]},{&quot;citationID&quot;:&quot;MENDELEY_CITATION_ff202553-1761-4957-bf04-3bdbfe374a43&quot;,&quot;properties&quot;:{&quot;noteIndex&quot;:0},&quot;isEdited&quot;:false,&quot;manualOverride&quot;:{&quot;isManuallyOverridden&quot;:false,&quot;citeprocText&quot;:&quot;(Ferrara et al., 2019; Piscitelli et al., 2020; Zamberletti et al., 2017)&quot;,&quot;manualOverrideText&quot;:&quot;&quot;},&quot;citationItems&quot;:[{&quot;id&quot;:&quot;a230c647-d12a-30ff-9871-57706a0a1cd7&quot;,&quot;itemData&quot;:{&quot;type&quot;:&quot;article-journal&quot;,&quot;id&quot;:&quot;a230c647-d12a-30ff-9871-57706a0a1cd7&quot;,&quot;title&quot;:&quot;Protective Effects of &lt;i&gt;N&lt;/i&gt; -Oleoylglycine in a Mouse Model of Mild Traumatic Brain Injury&quot;,&quot;author&quot;:[{&quot;family&quot;:&quot;Piscitelli&quot;,&quot;given&quot;:&quot;Fabiana&quot;,&quot;parse-names&quot;:false,&quot;dropping-particle&quot;:&quot;&quot;,&quot;non-dropping-particle&quot;:&quot;&quot;},{&quot;family&quot;:&quot;Guida&quot;,&quot;given&quot;:&quot;Francesca&quot;,&quot;parse-names&quot;:false,&quot;dropping-particle&quot;:&quot;&quot;,&quot;non-dropping-particle&quot;:&quot;&quot;},{&quot;family&quot;:&quot;Luongo&quot;,&quot;given&quot;:&quot;Livio&quot;,&quot;parse-names&quot;:false,&quot;dropping-particle&quot;:&quot;&quot;,&quot;non-dropping-particle&quot;:&quot;&quot;},{&quot;family&quot;:&quot;Iannotti&quot;,&quot;given&quot;:&quot;Fabio Arturo&quot;,&quot;parse-names&quot;:false,&quot;dropping-particle&quot;:&quot;&quot;,&quot;non-dropping-particle&quot;:&quot;&quot;},{&quot;family&quot;:&quot;Boccella&quot;,&quot;given&quot;:&quot;Serena&quot;,&quot;parse-names&quot;:false,&quot;dropping-particle&quot;:&quot;&quot;,&quot;non-dropping-particle&quot;:&quot;&quot;},{&quot;family&quot;:&quot;Verde&quot;,&quot;given&quot;:&quot;Roberta&quot;,&quot;parse-names&quot;:false,&quot;dropping-particle&quot;:&quot;&quot;,&quot;non-dropping-particle&quot;:&quot;&quot;},{&quot;family&quot;:&quot;Lauritano&quot;,&quot;given&quot;:&quot;Anna&quot;,&quot;parse-names&quot;:false,&quot;dropping-particle&quot;:&quot;&quot;,&quot;non-dropping-particle&quot;:&quot;&quot;},{&quot;family&quot;:&quot;Imperatore&quot;,&quot;given&quot;:&quot;Roberta&quot;,&quot;parse-names&quot;:false,&quot;dropping-particle&quot;:&quot;&quot;,&quot;non-dropping-particle&quot;:&quot;&quot;},{&quot;family&quot;:&quot;Smoum&quot;,&quot;given&quot;:&quot;Reem&quot;,&quot;parse-names&quot;:false,&quot;dropping-particle&quot;:&quot;&quot;,&quot;non-dropping-particle&quot;:&quot;&quot;},{&quot;family&quot;:&quot;Cristino&quot;,&quot;given&quot;:&quot;Luigia&quot;,&quot;parse-names&quot;:false,&quot;dropping-particle&quot;:&quot;&quot;,&quot;non-dropping-particle&quot;:&quot;&quot;},{&quot;family&quot;:&quot;Lichtman&quot;,&quot;given&quot;:&quot;Aron H.&quot;,&quot;parse-names&quot;:false,&quot;dropping-particle&quot;:&quot;&quot;,&quot;non-dropping-particle&quot;:&quot;&quot;},{&quot;family&quot;:&quot;Parker&quot;,&quot;given&quot;:&quot;Linda A.&quot;,&quot;parse-names&quot;:false,&quot;dropping-particle&quot;:&quot;&quot;,&quot;non-dropping-particle&quot;:&quot;&quot;},{&quot;family&quot;:&quot;Mechoulam&quot;,&quot;given&quot;:&quot;Raphael&quot;,&quot;parse-names&quot;:false,&quot;dropping-particle&quot;:&quot;&quot;,&quot;non-dropping-particle&quot;:&quot;&quot;},{&quot;family&quot;:&quot;Maione&quot;,&quot;given&quot;:&quot;Sabatino&quot;,&quot;parse-names&quot;:false,&quot;dropping-particle&quot;:&quot;&quot;,&quot;non-dropping-particle&quot;:&quot;&quot;},{&quot;family&quot;:&quot;Marzo&quot;,&quot;given&quot;:&quot;Vincenzo&quot;,&quot;parse-names&quot;:false,&quot;dropping-particle&quot;:&quot;&quot;,&quot;non-dropping-particle&quot;:&quot;Di&quot;}],&quot;container-title&quot;:&quot;ACS Chemical Neuroscience&quot;,&quot;DOI&quot;:&quot;10.1021/acschemneuro.9b00633&quot;,&quot;ISSN&quot;:&quot;1948-7193&quot;,&quot;issued&quot;:{&quot;date-parts&quot;:[[2020,4,15]]},&quot;page&quot;:&quot;1117-1128&quot;,&quot;issue&quot;:&quot;8&quot;,&quot;volume&quot;:&quot;11&quot;,&quot;container-title-short&quot;:&quot;ACS Chem Neurosci&quot;},&quot;isTemporary&quot;:false},{&quot;id&quot;:&quot;5fa1400a-48ed-3f8f-a724-77d835103d36&quot;,&quot;itemData&quot;:{&quot;type&quot;:&quot;article-journal&quot;,&quot;id&quot;:&quot;5fa1400a-48ed-3f8f-a724-77d835103d36&quot;,&quot;title&quot;:&quot;Lifelong imbalanced LA/ALA intake impairs emotional and cognitive behavior via changes in brain endocannabinoid system&quot;,&quot;author&quot;:[{&quot;family&quot;:&quot;Zamberletti&quot;,&quot;given&quot;:&quot;Erica&quot;,&quot;parse-names&quot;:false,&quot;dropping-particle&quot;:&quot;&quot;,&quot;non-dropping-particle&quot;:&quot;&quot;},{&quot;family&quot;:&quot;Piscitelli&quot;,&quot;given&quot;:&quot;Fabiana&quot;,&quot;parse-names&quot;:false,&quot;dropping-particle&quot;:&quot;&quot;,&quot;non-dropping-particle&quot;:&quot;&quot;},{&quot;family&quot;:&quot;Castro&quot;,&quot;given&quot;:&quot;Valentina&quot;,&quot;parse-names&quot;:false,&quot;dropping-particle&quot;:&quot;&quot;,&quot;non-dropping-particle&quot;:&quot;De&quot;},{&quot;family&quot;:&quot;Murru&quot;,&quot;given&quot;:&quot;Elisabetta&quot;,&quot;parse-names&quot;:false,&quot;dropping-particle&quot;:&quot;&quot;,&quot;non-dropping-particle&quot;:&quot;&quot;},{&quot;family&quot;:&quot;Gabaglio&quot;,&quot;given&quot;:&quot;Marina&quot;,&quot;parse-names&quot;:false,&quot;dropping-particle&quot;:&quot;&quot;,&quot;non-dropping-particle&quot;:&quot;&quot;},{&quot;family&quot;:&quot;Colucci&quot;,&quot;given&quot;:&quot;Paola&quot;,&quot;parse-names&quot;:false,&quot;dropping-particle&quot;:&quot;&quot;,&quot;non-dropping-particle&quot;:&quot;&quot;},{&quot;family&quot;:&quot;Fanali&quot;,&quot;given&quot;:&quot;Chiara&quot;,&quot;parse-names&quot;:false,&quot;dropping-particle&quot;:&quot;&quot;,&quot;non-dropping-particle&quot;:&quot;&quot;},{&quot;family&quot;:&quot;Prini&quot;,&quot;given&quot;:&quot;Pamela&quot;,&quot;parse-names&quot;:false,&quot;dropping-particle&quot;:&quot;&quot;,&quot;non-dropping-particle&quot;:&quot;&quot;},{&quot;family&quot;:&quot;Bisogno&quot;,&quot;given&quot;:&quot;Tiziana&quot;,&quot;parse-names&quot;:false,&quot;dropping-particle&quot;:&quot;&quot;,&quot;non-dropping-particle&quot;:&quot;&quot;},{&quot;family&quot;:&quot;Maccarrone&quot;,&quot;given&quot;:&quot;Mauro&quot;,&quot;parse-names&quot;:false,&quot;dropping-particle&quot;:&quot;&quot;,&quot;non-dropping-particle&quot;:&quot;&quot;},{&quot;family&quot;:&quot;Campolongo&quot;,&quot;given&quot;:&quot;Patrizia&quot;,&quot;parse-names&quot;:false,&quot;dropping-particle&quot;:&quot;&quot;,&quot;non-dropping-particle&quot;:&quot;&quot;},{&quot;family&quot;:&quot;Banni&quot;,&quot;given&quot;:&quot;Sebastiano&quot;,&quot;parse-names&quot;:false,&quot;dropping-particle&quot;:&quot;&quot;,&quot;non-dropping-particle&quot;:&quot;&quot;},{&quot;family&quot;:&quot;Rubino&quot;,&quot;given&quot;:&quot;Tiziana&quot;,&quot;parse-names&quot;:false,&quot;dropping-particle&quot;:&quot;&quot;,&quot;non-dropping-particle&quot;:&quot;&quot;},{&quot;family&quot;:&quot;Parolaro&quot;,&quot;given&quot;:&quot;Daniela&quot;,&quot;parse-names&quot;:false,&quot;dropping-particle&quot;:&quot;&quot;,&quot;non-dropping-particle&quot;:&quot;&quot;}],&quot;container-title&quot;:&quot;Journal of Lipid Research&quot;,&quot;container-title-short&quot;:&quot;J Lipid Res&quot;,&quot;DOI&quot;:&quot;10.1194/jlr.M068387&quot;,&quot;ISSN&quot;:&quot;00222275&quot;,&quot;issued&quot;:{&quot;date-parts&quot;:[[2017,2]]},&quot;page&quot;:&quot;301-316&quot;,&quot;issue&quot;:&quot;2&quot;,&quot;volume&quot;:&quot;58&quot;},&quot;isTemporary&quot;:false},{&quot;id&quot;:&quot;6a32afc2-81fe-3b10-9dde-e129ba7fac7b&quot;,&quot;itemData&quot;:{&quot;type&quot;:&quot;article-journal&quot;,&quot;id&quot;:&quot;6a32afc2-81fe-3b10-9dde-e129ba7fac7b&quot;,&quot;title&quot;:&quot;Altered Metabolism of Phospholipases, Diacylglycerols, Endocannabinoids, and &lt;i&gt;N&lt;/i&gt; -Acylethanolamines in Patients with Mastocytosis&quot;,&quot;author&quot;:[{&quot;family&quot;:&quot;Ferrara&quot;,&quot;given&quot;:&quot;Anne Lise&quot;,&quot;parse-names&quot;:false,&quot;dropping-particle&quot;:&quot;&quot;,&quot;non-dropping-particle&quot;:&quot;&quot;},{&quot;family&quot;:&quot;Piscitelli&quot;,&quot;given&quot;:&quot;Fabiana&quot;,&quot;parse-names&quot;:false,&quot;dropping-particle&quot;:&quot;&quot;,&quot;non-dropping-particle&quot;:&quot;&quot;},{&quot;family&quot;:&quot;Petraroli&quot;,&quot;given&quot;:&quot;Angelica&quot;,&quot;parse-names&quot;:false,&quot;dropping-particle&quot;:&quot;&quot;,&quot;non-dropping-particle&quot;:&quot;&quot;},{&quot;family&quot;:&quot;Parente&quot;,&quot;given&quot;:&quot;Roberta&quot;,&quot;parse-names&quot;:false,&quot;dropping-particle&quot;:&quot;&quot;,&quot;non-dropping-particle&quot;:&quot;&quot;},{&quot;family&quot;:&quot;Galdiero&quot;,&quot;given&quot;:&quot;Maria Rosaria&quot;,&quot;parse-names&quot;:false,&quot;dropping-particle&quot;:&quot;&quot;,&quot;non-dropping-particle&quot;:&quot;&quot;},{&quot;family&quot;:&quot;Varricchi&quot;,&quot;given&quot;:&quot;Gilda&quot;,&quot;parse-names&quot;:false,&quot;dropping-particle&quot;:&quot;&quot;,&quot;non-dropping-particle&quot;:&quot;&quot;},{&quot;family&quot;:&quot;Marone&quot;,&quot;given&quot;:&quot;Giancarlo&quot;,&quot;parse-names&quot;:false,&quot;dropping-particle&quot;:&quot;&quot;,&quot;non-dropping-particle&quot;:&quot;&quot;},{&quot;family&quot;:&quot;Triggiani&quot;,&quot;given&quot;:&quot;Massimo&quot;,&quot;parse-names&quot;:false,&quot;dropping-particle&quot;:&quot;&quot;,&quot;non-dropping-particle&quot;:&quot;&quot;},{&quot;family&quot;:&quot;Marzo&quot;,&quot;given&quot;:&quot;Vincenzo&quot;,&quot;parse-names&quot;:false,&quot;dropping-particle&quot;:&quot;&quot;,&quot;non-dropping-particle&quot;:&quot;Di&quot;},{&quot;family&quot;:&quot;Loffredo&quot;,&quot;given&quot;:&quot;Stefania&quot;,&quot;parse-names&quot;:false,&quot;dropping-particle&quot;:&quot;&quot;,&quot;non-dropping-particle&quot;:&quot;&quot;}],&quot;container-title&quot;:&quot;Journal of Immunology Research&quot;,&quot;container-title-short&quot;:&quot;J Immunol Res&quot;,&quot;DOI&quot;:&quot;10.1155/2019/5836476&quot;,&quot;ISSN&quot;:&quot;2314-8861&quot;,&quot;issued&quot;:{&quot;date-parts&quot;:[[2019,7,1]]},&quot;page&quot;:&quot;1-14&quot;,&quot;abstract&quot;:&quot;&lt;p&gt; &lt;italic&gt;Background&lt;/italic&gt; . Mastocytosis is a condition characterized by the expansion and accumulation of mast cells (MCs) in various organs. The symptoms are related to the increased release of MC-derived mediators that exert local and distant effects. MCs are a source and target of phospholipase enzymes (PLs), which catalyze the cleavage of membrane phospholipids releasing lipid mediators (e.g., diacylglycerols (DAGs) and the endocannabinoid (EC) 2-arachidonoylglycerol (2-AG)). To date, there are no data on the role of these lipid mediators in mastocytosis. Here, we analyzed plasma levels of PLA &lt;sub&gt;2&lt;/sub&gt; , PLC, DAG, ECs, and EC-related &lt;italic&gt;N&lt;/italic&gt; -acylethanolamines in patients with mastocytosis. &lt;italic&gt;Methods&lt;/italic&gt; . In 23 patients with mastocytosis and 23 healthy individuals, we measured plasma PLA &lt;sub&gt;2&lt;/sub&gt; and PLC activities, DAG, 2-AG, anandamide (AEA), palmitoylethanolamide (PEA), and oleoylethanolamide (OEA). &lt;italic&gt;Results&lt;/italic&gt; . Plasma PLA &lt;sub&gt;2&lt;/sub&gt; and PLC activities were increased in mastocytosis patients compared to controls. Concentrations of DAG (18:1 20:4 and 18:0 20:4), two second messengers produced by PLC, were higher in mastocytosis compared to controls, whereas the concentrations of their metabolite, 2-AG, were not altered. AEA was decreased in mastocytosis patients compared to controls; by contrast, AEA congener, PEA, was increased. PLA &lt;sub&gt;2&lt;/sub&gt; and PLC activities were increased only in patients with mediator-related symptoms. Moreover, PLC activity was positively correlated with disease severity and tryptase concentrations. By contrast, AEA was negatively correlated with tryptase concentrations. &lt;italic&gt;Conclusions&lt;/italic&gt; . PLs and some lipid mediators are altered in patients with mastocytosis. Our results may pave the way for investigating the functions of these mediators in the pathophysiology of mastocytosis and provide new potential biomarkers and therapeutic targets. &lt;/p&gt;&quot;,&quot;volume&quot;:&quot;2019&quot;},&quot;isTemporary&quot;:false}],&quot;citationTag&quot;:&quot;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ymLk15ych0MDDIlLlkI0xNA2w==">CgMxLjA4AHIhMVJuWXhPXzhpUElmeGNySk1XZ0FKOHpJNGEwcW1IaW9O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9F3D35-BBB1-4819-A746-718B00C85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2608</Words>
  <Characters>14868</Characters>
  <Application>Microsoft Office Word</Application>
  <DocSecurity>0</DocSecurity>
  <Lines>123</Lines>
  <Paragraphs>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RAFFAELE DUBBIOSO</dc:creator>
  <cp:lastModifiedBy>Raffaele Dubbioso</cp:lastModifiedBy>
  <cp:revision>27</cp:revision>
  <dcterms:created xsi:type="dcterms:W3CDTF">2024-01-09T10:09:00Z</dcterms:created>
  <dcterms:modified xsi:type="dcterms:W3CDTF">2024-05-26T17:46:00Z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2024-02-14T08:52:57Z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5e21911a-d50e-4258-9da7-4f59fe747493</vt:lpwstr>
  </property>
  <property fmtid="{D5CDD505-2E9C-101B-9397-08002B2CF9AE}" pid="8" name="MSIP_Label_2ad0b24d-6422-44b0-b3de-abb3a9e8c81a_ContentBits">
    <vt:lpwstr>0</vt:lpwstr>
  </property>
</Properties>
</file>