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1D975" w14:textId="77777777" w:rsidR="00B86119" w:rsidRDefault="00B86119" w:rsidP="00B86119">
      <w:pPr>
        <w:pStyle w:val="EndNoteBibliography"/>
        <w:spacing w:after="0" w:line="360" w:lineRule="auto"/>
        <w:ind w:left="360" w:hanging="360"/>
        <w:rPr>
          <w:rFonts w:ascii="Times New Roman" w:hAnsi="Times New Roman" w:cs="Times New Roman"/>
          <w:kern w:val="24"/>
          <w:position w:val="19"/>
          <w:sz w:val="24"/>
          <w:szCs w:val="24"/>
        </w:rPr>
      </w:pPr>
    </w:p>
    <w:p w14:paraId="3BB02AE8" w14:textId="77777777" w:rsidR="00B86119" w:rsidRPr="00D75B0B" w:rsidRDefault="00B86119" w:rsidP="00B86119">
      <w:pPr>
        <w:pStyle w:val="EndNoteBibliography"/>
        <w:spacing w:after="0" w:line="360" w:lineRule="auto"/>
        <w:ind w:left="360" w:hanging="360"/>
        <w:jc w:val="center"/>
        <w:rPr>
          <w:rFonts w:ascii="Times New Roman" w:hAnsi="Times New Roman" w:cs="Times New Roman"/>
          <w:color w:val="EE0000"/>
          <w:kern w:val="24"/>
          <w:position w:val="19"/>
          <w:sz w:val="24"/>
          <w:szCs w:val="24"/>
        </w:rPr>
      </w:pPr>
      <w:r w:rsidRPr="00D75B0B">
        <w:rPr>
          <w:rFonts w:eastAsia="Times New Roman" w:cs="Times New Roman"/>
          <w:color w:val="EE0000"/>
        </w:rPr>
        <w:drawing>
          <wp:inline distT="0" distB="0" distL="0" distR="0" wp14:anchorId="4D0B4F1E" wp14:editId="45E70EBC">
            <wp:extent cx="5611008" cy="2372056"/>
            <wp:effectExtent l="0" t="0" r="8890" b="9525"/>
            <wp:docPr id="335940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94084" name="Picture 3359408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1008" cy="237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AD21B" w14:textId="77777777" w:rsidR="00B86119" w:rsidRPr="00D75B0B" w:rsidRDefault="00B86119" w:rsidP="00B86119">
      <w:pPr>
        <w:pStyle w:val="EndNoteBibliography"/>
        <w:spacing w:after="0"/>
        <w:ind w:left="360"/>
        <w:rPr>
          <w:rFonts w:ascii="Times New Roman" w:hAnsi="Times New Roman" w:cs="Times New Roman"/>
          <w:color w:val="EE0000"/>
          <w:kern w:val="24"/>
          <w:position w:val="19"/>
          <w:sz w:val="24"/>
          <w:szCs w:val="24"/>
        </w:rPr>
      </w:pPr>
      <w:r w:rsidRPr="00D75B0B">
        <w:rPr>
          <w:rFonts w:ascii="Times New Roman" w:hAnsi="Times New Roman" w:cs="Times New Roman"/>
          <w:b/>
          <w:bCs/>
          <w:color w:val="EE0000"/>
          <w:kern w:val="24"/>
          <w:position w:val="19"/>
          <w:sz w:val="24"/>
          <w:szCs w:val="24"/>
        </w:rPr>
        <w:t xml:space="preserve">Supplemental Fig 1: Documentation of arachidonylglycerol isomerization and isomer abundance in analyzed plasma samples.  A) </w:t>
      </w:r>
      <w:r w:rsidRPr="00D75B0B">
        <w:rPr>
          <w:rFonts w:ascii="Times New Roman" w:hAnsi="Times New Roman" w:cs="Times New Roman"/>
          <w:color w:val="EE0000"/>
          <w:kern w:val="24"/>
          <w:position w:val="19"/>
          <w:sz w:val="24"/>
          <w:szCs w:val="24"/>
        </w:rPr>
        <w:t>Deuterated 2-arachidonoyl</w:t>
      </w:r>
      <w:r>
        <w:rPr>
          <w:rFonts w:ascii="Times New Roman" w:hAnsi="Times New Roman" w:cs="Times New Roman"/>
          <w:color w:val="EE0000"/>
          <w:kern w:val="24"/>
          <w:position w:val="19"/>
          <w:sz w:val="24"/>
          <w:szCs w:val="24"/>
        </w:rPr>
        <w:t xml:space="preserve"> </w:t>
      </w:r>
      <w:r w:rsidRPr="00D75B0B">
        <w:rPr>
          <w:rFonts w:ascii="Times New Roman" w:hAnsi="Times New Roman" w:cs="Times New Roman"/>
          <w:color w:val="EE0000"/>
          <w:kern w:val="24"/>
          <w:position w:val="19"/>
          <w:sz w:val="24"/>
          <w:szCs w:val="24"/>
        </w:rPr>
        <w:t xml:space="preserve">glycerol (d5 2-AG) levels in calibration standards and a representative sample are shown.  The d5-2-AG solution used shows ~10% isomerization at the time of use.  Samples showed an average of 5% greater d5 1-AG than calibration solutions (p &lt;0.001) suggesting significant, yet minimal isomerization during sample processing. </w:t>
      </w:r>
      <w:r w:rsidRPr="00D75B0B">
        <w:rPr>
          <w:rFonts w:ascii="Times New Roman" w:hAnsi="Times New Roman" w:cs="Times New Roman"/>
          <w:b/>
          <w:bCs/>
          <w:color w:val="EE0000"/>
          <w:kern w:val="24"/>
          <w:position w:val="19"/>
          <w:sz w:val="24"/>
          <w:szCs w:val="24"/>
        </w:rPr>
        <w:t>B)</w:t>
      </w:r>
      <w:r w:rsidRPr="00D75B0B">
        <w:rPr>
          <w:rFonts w:ascii="Times New Roman" w:hAnsi="Times New Roman" w:cs="Times New Roman"/>
          <w:color w:val="EE0000"/>
          <w:kern w:val="24"/>
          <w:position w:val="19"/>
          <w:sz w:val="24"/>
          <w:szCs w:val="24"/>
        </w:rPr>
        <w:t xml:space="preserve"> Relative abundanc</w:t>
      </w:r>
      <w:r>
        <w:rPr>
          <w:rFonts w:ascii="Times New Roman" w:hAnsi="Times New Roman" w:cs="Times New Roman"/>
          <w:color w:val="EE0000"/>
          <w:kern w:val="24"/>
          <w:position w:val="19"/>
          <w:sz w:val="24"/>
          <w:szCs w:val="24"/>
        </w:rPr>
        <w:t>e</w:t>
      </w:r>
      <w:r w:rsidRPr="00D75B0B">
        <w:rPr>
          <w:rFonts w:ascii="Times New Roman" w:hAnsi="Times New Roman" w:cs="Times New Roman"/>
          <w:color w:val="EE0000"/>
          <w:kern w:val="24"/>
          <w:position w:val="19"/>
          <w:sz w:val="24"/>
          <w:szCs w:val="24"/>
        </w:rPr>
        <w:t xml:space="preserve"> of native 2-AG and 1-AG in level 3 calibration standard (1:1 concentration), National Institues of Technology Standard Reference Material 1950, Metabolites in Human Plasma (NIST SRM 1950), and a representative sample. We consider NIST SRM 1950 to represent maximally isomerized plasma monoacylglycerols due to the procedures used to prepare this material.   </w:t>
      </w:r>
    </w:p>
    <w:p w14:paraId="1E9950DD" w14:textId="77777777" w:rsidR="00B86119" w:rsidRDefault="00B86119"/>
    <w:sectPr w:rsidR="00B86119" w:rsidSect="001E12C6">
      <w:headerReference w:type="default" r:id="rId5"/>
      <w:pgSz w:w="12240" w:h="15840"/>
      <w:pgMar w:top="1152" w:right="864" w:bottom="864" w:left="864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200619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2D1E29" w14:textId="77777777" w:rsidR="00225637" w:rsidRDefault="00B8611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EAD8E4" w14:textId="77777777" w:rsidR="00225637" w:rsidRDefault="00B861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119"/>
    <w:rsid w:val="00B8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775B9"/>
  <w15:chartTrackingRefBased/>
  <w15:docId w15:val="{2037F5C8-3BD4-40CF-B175-4D70E5B1B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119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61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119"/>
    <w:rPr>
      <w:kern w:val="2"/>
      <w:sz w:val="24"/>
      <w:szCs w:val="24"/>
      <w14:ligatures w14:val="standardContextual"/>
    </w:rPr>
  </w:style>
  <w:style w:type="paragraph" w:customStyle="1" w:styleId="EndNoteBibliography">
    <w:name w:val="EndNote Bibliography"/>
    <w:basedOn w:val="Normal"/>
    <w:link w:val="EndNoteBibliographyChar"/>
    <w:rsid w:val="00B86119"/>
    <w:pPr>
      <w:spacing w:after="200" w:line="240" w:lineRule="auto"/>
    </w:pPr>
    <w:rPr>
      <w:rFonts w:ascii="Aptos" w:eastAsiaTheme="minorEastAsia" w:hAnsi="Aptos"/>
      <w:noProof/>
      <w:kern w:val="0"/>
      <w:sz w:val="22"/>
      <w:szCs w:val="22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B86119"/>
    <w:rPr>
      <w:rFonts w:ascii="Aptos" w:eastAsiaTheme="minorEastAsia" w:hAnsi="Aptos"/>
      <w:noProof/>
    </w:rPr>
  </w:style>
  <w:style w:type="character" w:styleId="LineNumber">
    <w:name w:val="line number"/>
    <w:basedOn w:val="DefaultParagraphFont"/>
    <w:uiPriority w:val="99"/>
    <w:semiHidden/>
    <w:unhideWhenUsed/>
    <w:rsid w:val="00B861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Shen, Leslie</dc:creator>
  <cp:keywords/>
  <dc:description/>
  <cp:lastModifiedBy>Shen, Leslie</cp:lastModifiedBy>
  <cp:revision>1</cp:revision>
  <dcterms:created xsi:type="dcterms:W3CDTF">2026-08-03T22:28:00Z</dcterms:created>
  <dcterms:modified xsi:type="dcterms:W3CDTF">2026-08-03T22:29:00Z</dcterms:modified>
</cp:coreProperties>
</file>