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850C6" w14:textId="672A4F26" w:rsidR="004D1EFE" w:rsidRPr="00870822" w:rsidRDefault="004D1EFE" w:rsidP="004D1EFE">
      <w:pPr>
        <w:pStyle w:val="NormalWeb"/>
        <w:spacing w:before="0" w:beforeAutospacing="0" w:line="360" w:lineRule="auto"/>
        <w:jc w:val="both"/>
        <w:rPr>
          <w:rFonts w:ascii="Arial" w:hAnsi="Arial" w:cs="Arial"/>
          <w:b/>
          <w:bCs/>
        </w:rPr>
      </w:pPr>
      <w:r w:rsidRPr="00870822">
        <w:rPr>
          <w:rFonts w:ascii="Arial" w:hAnsi="Arial" w:cs="Arial"/>
          <w:b/>
          <w:bCs/>
        </w:rPr>
        <w:t>Supplementary Figure</w:t>
      </w:r>
      <w:r>
        <w:rPr>
          <w:rFonts w:ascii="Arial" w:hAnsi="Arial" w:cs="Arial"/>
          <w:b/>
          <w:bCs/>
        </w:rPr>
        <w:t>s and</w:t>
      </w:r>
      <w:r w:rsidRPr="00870822">
        <w:rPr>
          <w:rFonts w:ascii="Arial" w:hAnsi="Arial" w:cs="Arial"/>
          <w:b/>
          <w:bCs/>
        </w:rPr>
        <w:t xml:space="preserve"> Legends</w:t>
      </w:r>
    </w:p>
    <w:p w14:paraId="7A7F87E7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0BF09A" wp14:editId="3C1A0B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283075"/>
            <wp:effectExtent l="0" t="0" r="0" b="0"/>
            <wp:wrapSquare wrapText="bothSides"/>
            <wp:docPr id="865022503" name="Picture 7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022503" name="Picture 7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DB02B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 w:rsidRPr="00870822">
        <w:rPr>
          <w:rFonts w:ascii="Arial" w:hAnsi="Arial" w:cs="Arial"/>
          <w:b/>
          <w:bCs/>
        </w:rPr>
        <w:t xml:space="preserve">S-Figure 1. PST levels are increased in Alzheimer’s Disease (AD), </w:t>
      </w:r>
      <w:proofErr w:type="spellStart"/>
      <w:r w:rsidRPr="00870822">
        <w:rPr>
          <w:rFonts w:ascii="Arial" w:hAnsi="Arial" w:cs="Arial"/>
          <w:b/>
          <w:bCs/>
        </w:rPr>
        <w:t>CorticoBasal</w:t>
      </w:r>
      <w:proofErr w:type="spellEnd"/>
      <w:r w:rsidRPr="00870822">
        <w:rPr>
          <w:rFonts w:ascii="Arial" w:hAnsi="Arial" w:cs="Arial"/>
          <w:b/>
          <w:bCs/>
        </w:rPr>
        <w:t xml:space="preserve"> Degeneration (CBD), and PS19 mice, and PST treatment increases Tau phosphorylation. (A) </w:t>
      </w:r>
      <w:r w:rsidRPr="00870822">
        <w:rPr>
          <w:rFonts w:ascii="Arial" w:hAnsi="Arial" w:cs="Arial"/>
        </w:rPr>
        <w:t xml:space="preserve">Representative immunoblots of prefrontal cortex </w:t>
      </w:r>
      <w:r>
        <w:rPr>
          <w:rFonts w:ascii="Arial" w:hAnsi="Arial" w:cs="Arial"/>
        </w:rPr>
        <w:t xml:space="preserve">(PFC) </w:t>
      </w:r>
      <w:r w:rsidRPr="00870822">
        <w:rPr>
          <w:rFonts w:ascii="Arial" w:hAnsi="Arial" w:cs="Arial"/>
        </w:rPr>
        <w:t xml:space="preserve">samples from AD subjects (Braak 6 vs. Braak 0–2) showing increased p-Tau (S202/T205) in samples with lower PST levels. </w:t>
      </w:r>
      <w:r w:rsidRPr="00870822">
        <w:rPr>
          <w:rFonts w:ascii="Arial" w:hAnsi="Arial" w:cs="Arial"/>
          <w:b/>
          <w:bCs/>
        </w:rPr>
        <w:t>(B–D)</w:t>
      </w:r>
      <w:r w:rsidRPr="00870822">
        <w:rPr>
          <w:rFonts w:ascii="Arial" w:hAnsi="Arial" w:cs="Arial"/>
        </w:rPr>
        <w:t xml:space="preserve"> PST levels in human brain tissue. (</w:t>
      </w:r>
      <w:r w:rsidRPr="00870822">
        <w:rPr>
          <w:rFonts w:ascii="Arial" w:hAnsi="Arial" w:cs="Arial"/>
          <w:b/>
          <w:bCs/>
        </w:rPr>
        <w:t>B</w:t>
      </w:r>
      <w:r w:rsidRPr="00870822">
        <w:rPr>
          <w:rFonts w:ascii="Arial" w:hAnsi="Arial" w:cs="Arial"/>
        </w:rPr>
        <w:t>) Quantification of PFC PST (Braak 0-2: n=18, Braak 6: n=20) and (</w:t>
      </w:r>
      <w:r w:rsidRPr="00870822">
        <w:rPr>
          <w:rFonts w:ascii="Arial" w:hAnsi="Arial" w:cs="Arial"/>
          <w:b/>
          <w:bCs/>
        </w:rPr>
        <w:t>C</w:t>
      </w:r>
      <w:r w:rsidRPr="00870822">
        <w:rPr>
          <w:rFonts w:ascii="Arial" w:hAnsi="Arial" w:cs="Arial"/>
        </w:rPr>
        <w:t>) hippocampal/entorhinal cortex (HC/EC) PST in AD cases shows significantly higher PST levels in Braak 6 than in Braak 0–2 (Braak 0-2: n=18, Braak 6: n=16). (</w:t>
      </w:r>
      <w:r w:rsidRPr="00870822">
        <w:rPr>
          <w:rFonts w:ascii="Arial" w:hAnsi="Arial" w:cs="Arial"/>
          <w:b/>
          <w:bCs/>
        </w:rPr>
        <w:t>D</w:t>
      </w:r>
      <w:r w:rsidRPr="00870822">
        <w:rPr>
          <w:rFonts w:ascii="Arial" w:hAnsi="Arial" w:cs="Arial"/>
        </w:rPr>
        <w:t xml:space="preserve">) CBD cases similarly show higher PST in Braak 3 (n=8) relative to Braak 0 (n=8). </w:t>
      </w:r>
      <w:r w:rsidRPr="00870822">
        <w:rPr>
          <w:rFonts w:ascii="Arial" w:hAnsi="Arial" w:cs="Arial"/>
          <w:b/>
          <w:bCs/>
        </w:rPr>
        <w:t>(E–H)</w:t>
      </w:r>
      <w:r w:rsidRPr="00870822">
        <w:rPr>
          <w:rFonts w:ascii="Arial" w:hAnsi="Arial" w:cs="Arial"/>
        </w:rPr>
        <w:t xml:space="preserve"> CST suppresses Tau phosphorylation in PS19 hippocampal tissue. CST-treated PS19 mice show significantly reduced (</w:t>
      </w:r>
      <w:r w:rsidRPr="00870822">
        <w:rPr>
          <w:rFonts w:ascii="Arial" w:hAnsi="Arial" w:cs="Arial"/>
          <w:b/>
          <w:bCs/>
        </w:rPr>
        <w:t>E</w:t>
      </w:r>
      <w:r w:rsidRPr="00870822">
        <w:rPr>
          <w:rFonts w:ascii="Arial" w:hAnsi="Arial" w:cs="Arial"/>
        </w:rPr>
        <w:t>) p-Tau at S202/T205 and (</w:t>
      </w:r>
      <w:r w:rsidRPr="00870822">
        <w:rPr>
          <w:rFonts w:ascii="Arial" w:hAnsi="Arial" w:cs="Arial"/>
          <w:b/>
          <w:bCs/>
        </w:rPr>
        <w:t>F</w:t>
      </w:r>
      <w:r w:rsidRPr="00870822">
        <w:rPr>
          <w:rFonts w:ascii="Arial" w:hAnsi="Arial" w:cs="Arial"/>
        </w:rPr>
        <w:t>) S396/404. (</w:t>
      </w:r>
      <w:r w:rsidRPr="00870822">
        <w:rPr>
          <w:rFonts w:ascii="Arial" w:hAnsi="Arial" w:cs="Arial"/>
          <w:b/>
          <w:bCs/>
        </w:rPr>
        <w:t>G&amp;H</w:t>
      </w:r>
      <w:r w:rsidRPr="00870822">
        <w:rPr>
          <w:rFonts w:ascii="Arial" w:hAnsi="Arial" w:cs="Arial"/>
        </w:rPr>
        <w:t xml:space="preserve">) Ratios of p-Tau/total Tau for both epitopes. </w:t>
      </w:r>
      <w:r w:rsidRPr="00870822">
        <w:rPr>
          <w:rFonts w:ascii="Arial" w:hAnsi="Arial" w:cs="Arial"/>
          <w:b/>
          <w:bCs/>
        </w:rPr>
        <w:t>(I)</w:t>
      </w:r>
      <w:r w:rsidRPr="00870822">
        <w:rPr>
          <w:rFonts w:ascii="Arial" w:hAnsi="Arial" w:cs="Arial"/>
        </w:rPr>
        <w:t xml:space="preserve"> CST reduces and PST increases Tau phosphorylation in the AAV2-P301S hTau (OTSC) model. </w:t>
      </w:r>
      <w:r w:rsidRPr="00870822">
        <w:rPr>
          <w:rFonts w:ascii="Arial" w:hAnsi="Arial" w:cs="Arial"/>
        </w:rPr>
        <w:lastRenderedPageBreak/>
        <w:t xml:space="preserve">Western blots show decreased p-Tau (Ser202 and Ser396/404) in hippocampi treated with CST and increased Tau phosphorylation post-PST treatment compared with the PBS control. </w:t>
      </w:r>
      <w:r w:rsidRPr="00870822">
        <w:rPr>
          <w:rFonts w:ascii="Arial" w:hAnsi="Arial" w:cs="Arial"/>
          <w:b/>
          <w:bCs/>
        </w:rPr>
        <w:t>(J)</w:t>
      </w:r>
      <w:r w:rsidRPr="00870822">
        <w:rPr>
          <w:rFonts w:ascii="Arial" w:hAnsi="Arial" w:cs="Arial"/>
        </w:rPr>
        <w:t xml:space="preserve"> MC1 staining of CST, PST, and PBS-treated OTSC. </w:t>
      </w:r>
      <w:r>
        <w:rPr>
          <w:rFonts w:ascii="Arial" w:hAnsi="Arial" w:cs="Arial"/>
        </w:rPr>
        <w:t>A.U.: Arbitrary Unit.</w:t>
      </w:r>
      <w:r w:rsidRPr="00870822">
        <w:rPr>
          <w:rFonts w:ascii="Arial" w:hAnsi="Arial" w:cs="Arial"/>
        </w:rPr>
        <w:t xml:space="preserve"> Data are presented as mean ± SEM; statistical significance determined using appropriate tests *p &lt; 0.05, **p &lt; 0.01, </w:t>
      </w:r>
      <w:r w:rsidRPr="00870822">
        <w:rPr>
          <w:rFonts w:ascii="Arial" w:hAnsi="Arial" w:cs="Arial"/>
          <w:i/>
          <w:iCs/>
        </w:rPr>
        <w:t>***</w:t>
      </w:r>
      <w:r w:rsidRPr="00870822">
        <w:rPr>
          <w:rStyle w:val="Emphasis"/>
          <w:rFonts w:ascii="Arial" w:hAnsi="Arial" w:cs="Arial"/>
        </w:rPr>
        <w:t>p &lt; 0.001</w:t>
      </w:r>
      <w:r>
        <w:rPr>
          <w:rStyle w:val="Emphasis"/>
          <w:rFonts w:ascii="Arial" w:hAnsi="Arial" w:cs="Arial"/>
        </w:rPr>
        <w:t xml:space="preserve">, </w:t>
      </w:r>
      <w:r w:rsidRPr="00870822">
        <w:rPr>
          <w:rFonts w:ascii="Arial" w:hAnsi="Arial" w:cs="Arial"/>
        </w:rPr>
        <w:t>**</w:t>
      </w:r>
      <w:r>
        <w:rPr>
          <w:rFonts w:ascii="Arial" w:hAnsi="Arial" w:cs="Arial"/>
        </w:rPr>
        <w:t>**</w:t>
      </w:r>
      <w:r w:rsidRPr="00870822">
        <w:rPr>
          <w:rFonts w:ascii="Arial" w:hAnsi="Arial" w:cs="Arial"/>
        </w:rPr>
        <w:t>p &lt; 0.0</w:t>
      </w:r>
      <w:r>
        <w:rPr>
          <w:rFonts w:ascii="Arial" w:hAnsi="Arial" w:cs="Arial"/>
        </w:rPr>
        <w:t>00</w:t>
      </w:r>
      <w:r w:rsidRPr="00870822">
        <w:rPr>
          <w:rFonts w:ascii="Arial" w:hAnsi="Arial" w:cs="Arial"/>
        </w:rPr>
        <w:t>1</w:t>
      </w:r>
      <w:r w:rsidRPr="00870822">
        <w:rPr>
          <w:rStyle w:val="Emphasis"/>
          <w:rFonts w:ascii="Arial" w:hAnsi="Arial" w:cs="Arial"/>
        </w:rPr>
        <w:t>; NS, not significant</w:t>
      </w:r>
      <w:r w:rsidRPr="00870822">
        <w:rPr>
          <w:rFonts w:ascii="Arial" w:hAnsi="Arial" w:cs="Arial"/>
        </w:rPr>
        <w:t>.</w:t>
      </w:r>
    </w:p>
    <w:p w14:paraId="1BAC0FDB" w14:textId="77777777" w:rsidR="004D1EFE" w:rsidRPr="00870822" w:rsidRDefault="004D1EFE" w:rsidP="004D1EFE">
      <w:pPr>
        <w:rPr>
          <w:rFonts w:ascii="Arial" w:hAnsi="Arial" w:cs="Arial"/>
        </w:rPr>
      </w:pPr>
      <w:r w:rsidRPr="00870822">
        <w:rPr>
          <w:rFonts w:ascii="Arial" w:hAnsi="Arial" w:cs="Arial"/>
        </w:rPr>
        <w:br w:type="page"/>
      </w:r>
    </w:p>
    <w:p w14:paraId="32E8FACF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E325981" wp14:editId="7CA0939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3100" cy="5391150"/>
            <wp:effectExtent l="0" t="0" r="0" b="6350"/>
            <wp:wrapSquare wrapText="bothSides"/>
            <wp:docPr id="1756079715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079715" name="Picture 8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" r="3205" b="7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EA9E28" w14:textId="77777777" w:rsidR="004D1EFE" w:rsidRPr="00870822" w:rsidRDefault="004D1EFE" w:rsidP="004D1EFE">
      <w:pPr>
        <w:spacing w:line="360" w:lineRule="auto"/>
        <w:jc w:val="both"/>
        <w:rPr>
          <w:rStyle w:val="Emphasis"/>
          <w:rFonts w:ascii="Arial" w:hAnsi="Arial" w:cs="Arial"/>
          <w:i w:val="0"/>
          <w:iCs w:val="0"/>
        </w:rPr>
      </w:pPr>
      <w:r w:rsidRPr="00870822">
        <w:rPr>
          <w:rFonts w:ascii="Arial" w:hAnsi="Arial" w:cs="Arial"/>
          <w:b/>
          <w:bCs/>
        </w:rPr>
        <w:t xml:space="preserve">S-Figure 2. CST levels are decreased in PS19 mice, and CST preserves hippocampal structure in PS19 mice and exhibits rapid plasma uptake with measurable brain penetration. </w:t>
      </w:r>
      <w:r w:rsidRPr="00870822">
        <w:rPr>
          <w:rFonts w:ascii="Arial" w:eastAsia="Times New Roman" w:hAnsi="Arial" w:cs="Arial"/>
          <w:kern w:val="0"/>
          <w14:ligatures w14:val="none"/>
        </w:rPr>
        <w:t>CST levels are significantly reduced in the cortex (</w:t>
      </w:r>
      <w:proofErr w:type="spellStart"/>
      <w:r w:rsidRPr="00870822">
        <w:rPr>
          <w:rFonts w:ascii="Arial" w:eastAsia="Times New Roman" w:hAnsi="Arial" w:cs="Arial"/>
          <w:kern w:val="0"/>
          <w14:ligatures w14:val="none"/>
        </w:rPr>
        <w:t>nTg</w:t>
      </w:r>
      <w:proofErr w:type="spellEnd"/>
      <w:r w:rsidRPr="00870822">
        <w:rPr>
          <w:rFonts w:ascii="Arial" w:eastAsia="Times New Roman" w:hAnsi="Arial" w:cs="Arial"/>
          <w:kern w:val="0"/>
          <w14:ligatures w14:val="none"/>
        </w:rPr>
        <w:t>: n=6, PS19: n=6) (</w:t>
      </w:r>
      <w:r w:rsidRPr="00870822">
        <w:rPr>
          <w:rFonts w:ascii="Arial" w:eastAsia="Times New Roman" w:hAnsi="Arial" w:cs="Arial"/>
          <w:b/>
          <w:bCs/>
          <w:kern w:val="0"/>
          <w14:ligatures w14:val="none"/>
        </w:rPr>
        <w:t>A</w:t>
      </w:r>
      <w:r w:rsidRPr="00870822">
        <w:rPr>
          <w:rFonts w:ascii="Arial" w:eastAsia="Times New Roman" w:hAnsi="Arial" w:cs="Arial"/>
          <w:kern w:val="0"/>
          <w14:ligatures w14:val="none"/>
        </w:rPr>
        <w:t>) and plasma (</w:t>
      </w:r>
      <w:r w:rsidRPr="00870822">
        <w:rPr>
          <w:rFonts w:ascii="Arial" w:eastAsia="Times New Roman" w:hAnsi="Arial" w:cs="Arial"/>
          <w:b/>
          <w:bCs/>
          <w:kern w:val="0"/>
          <w14:ligatures w14:val="none"/>
        </w:rPr>
        <w:t>B</w:t>
      </w:r>
      <w:r w:rsidRPr="00870822">
        <w:rPr>
          <w:rFonts w:ascii="Arial" w:eastAsia="Times New Roman" w:hAnsi="Arial" w:cs="Arial"/>
          <w:kern w:val="0"/>
          <w14:ligatures w14:val="none"/>
        </w:rPr>
        <w:t xml:space="preserve">) of 9-month-old PS19 mice, indicating that CST deficiency occurs </w:t>
      </w:r>
      <w:r w:rsidRPr="00870822">
        <w:rPr>
          <w:rFonts w:ascii="Arial" w:eastAsia="Times New Roman" w:hAnsi="Arial" w:cs="Arial"/>
          <w:i/>
          <w:iCs/>
          <w:kern w:val="0"/>
          <w14:ligatures w14:val="none"/>
        </w:rPr>
        <w:t>in vivo</w:t>
      </w:r>
      <w:r w:rsidRPr="00870822">
        <w:rPr>
          <w:rFonts w:ascii="Arial" w:eastAsia="Times New Roman" w:hAnsi="Arial" w:cs="Arial"/>
          <w:kern w:val="0"/>
          <w14:ligatures w14:val="none"/>
        </w:rPr>
        <w:t xml:space="preserve"> in </w:t>
      </w:r>
      <w:r>
        <w:rPr>
          <w:rFonts w:ascii="Arial" w:eastAsia="Times New Roman" w:hAnsi="Arial" w:cs="Arial"/>
          <w:kern w:val="0"/>
          <w:lang w:eastAsia="zh-CN"/>
          <w14:ligatures w14:val="none"/>
        </w:rPr>
        <w:t>T</w:t>
      </w:r>
      <w:r w:rsidRPr="00870822">
        <w:rPr>
          <w:rFonts w:ascii="Arial" w:eastAsia="Times New Roman" w:hAnsi="Arial" w:cs="Arial"/>
          <w:kern w:val="0"/>
          <w14:ligatures w14:val="none"/>
        </w:rPr>
        <w:t xml:space="preserve">auopathy. </w:t>
      </w:r>
      <w:r w:rsidRPr="00870822">
        <w:rPr>
          <w:rFonts w:ascii="Arial" w:hAnsi="Arial" w:cs="Arial"/>
        </w:rPr>
        <w:t>(</w:t>
      </w:r>
      <w:r w:rsidRPr="00870822">
        <w:rPr>
          <w:rFonts w:ascii="Arial" w:hAnsi="Arial" w:cs="Arial"/>
          <w:b/>
          <w:bCs/>
        </w:rPr>
        <w:t>C</w:t>
      </w:r>
      <w:r w:rsidRPr="00870822">
        <w:rPr>
          <w:rFonts w:ascii="Arial" w:hAnsi="Arial" w:cs="Arial"/>
        </w:rPr>
        <w:t xml:space="preserve">) Sal/PS19 mice show significant thinning of DG and CA1, consistent with Tau-mediated neurodegeneration, whereas CST treatment restores thickness toward </w:t>
      </w:r>
      <w:proofErr w:type="spellStart"/>
      <w:r>
        <w:rPr>
          <w:rFonts w:ascii="Arial" w:hAnsi="Arial" w:cs="Arial"/>
        </w:rPr>
        <w:t>n</w:t>
      </w:r>
      <w:r w:rsidRPr="00870822">
        <w:rPr>
          <w:rFonts w:ascii="Arial" w:hAnsi="Arial" w:cs="Arial"/>
        </w:rPr>
        <w:t>T</w:t>
      </w:r>
      <w:r>
        <w:rPr>
          <w:rFonts w:ascii="Arial" w:hAnsi="Arial" w:cs="Arial"/>
        </w:rPr>
        <w:t>g</w:t>
      </w:r>
      <w:proofErr w:type="spellEnd"/>
      <w:r w:rsidRPr="00870822">
        <w:rPr>
          <w:rFonts w:ascii="Arial" w:hAnsi="Arial" w:cs="Arial"/>
        </w:rPr>
        <w:t xml:space="preserve"> levels. </w:t>
      </w:r>
      <w:r w:rsidRPr="00870822">
        <w:rPr>
          <w:rFonts w:ascii="Arial" w:hAnsi="Arial" w:cs="Arial"/>
          <w:b/>
          <w:bCs/>
        </w:rPr>
        <w:t>(D–F)</w:t>
      </w:r>
      <w:r w:rsidRPr="00870822">
        <w:rPr>
          <w:rFonts w:ascii="Arial" w:hAnsi="Arial" w:cs="Arial"/>
        </w:rPr>
        <w:t xml:space="preserve"> Pharmacokinetics of CST (5 mg/kg, i.p.). (</w:t>
      </w:r>
      <w:r w:rsidRPr="00870822">
        <w:rPr>
          <w:rFonts w:ascii="Arial" w:hAnsi="Arial" w:cs="Arial"/>
          <w:b/>
          <w:bCs/>
        </w:rPr>
        <w:t>D</w:t>
      </w:r>
      <w:r w:rsidRPr="00870822">
        <w:rPr>
          <w:rFonts w:ascii="Arial" w:hAnsi="Arial" w:cs="Arial"/>
        </w:rPr>
        <w:t>) Schematic of blood and brain collection. (</w:t>
      </w:r>
      <w:r w:rsidRPr="00870822">
        <w:rPr>
          <w:rFonts w:ascii="Arial" w:hAnsi="Arial" w:cs="Arial"/>
          <w:b/>
          <w:bCs/>
        </w:rPr>
        <w:t>E</w:t>
      </w:r>
      <w:r w:rsidRPr="00870822">
        <w:rPr>
          <w:rFonts w:ascii="Arial" w:hAnsi="Arial" w:cs="Arial"/>
        </w:rPr>
        <w:t>) Plasma PK shows rapid absorption into CST (</w:t>
      </w:r>
      <w:r w:rsidRPr="00AE2217">
        <w:rPr>
          <w:rFonts w:ascii="Arial" w:hAnsi="Arial" w:cs="Arial"/>
          <w:i/>
          <w:iCs/>
        </w:rPr>
        <w:t>T</w:t>
      </w:r>
      <w:r w:rsidRPr="00AE2217">
        <w:rPr>
          <w:rFonts w:ascii="Arial" w:hAnsi="Arial" w:cs="Arial"/>
          <w:vertAlign w:val="subscript"/>
        </w:rPr>
        <w:t>max</w:t>
      </w:r>
      <w:r w:rsidRPr="00870822">
        <w:rPr>
          <w:rFonts w:ascii="Arial" w:hAnsi="Arial" w:cs="Arial"/>
        </w:rPr>
        <w:t xml:space="preserve"> = 0.25 hr) and a short systemic half-life (</w:t>
      </w:r>
      <w:r w:rsidRPr="00870822">
        <w:rPr>
          <w:rFonts w:ascii="Arial" w:hAnsi="Arial" w:cs="Arial"/>
          <w:i/>
          <w:iCs/>
        </w:rPr>
        <w:t>t</w:t>
      </w:r>
      <w:r w:rsidRPr="00870822">
        <w:rPr>
          <w:rFonts w:ascii="Arial" w:hAnsi="Arial" w:cs="Arial"/>
          <w:vertAlign w:val="subscript"/>
        </w:rPr>
        <w:t>1/2</w:t>
      </w:r>
      <w:r w:rsidRPr="00870822">
        <w:rPr>
          <w:rFonts w:ascii="Arial" w:hAnsi="Arial" w:cs="Arial"/>
        </w:rPr>
        <w:t xml:space="preserve"> = 1.59 hr). (</w:t>
      </w:r>
      <w:r w:rsidRPr="00870822">
        <w:rPr>
          <w:rFonts w:ascii="Arial" w:hAnsi="Arial" w:cs="Arial"/>
          <w:b/>
          <w:bCs/>
        </w:rPr>
        <w:t>F</w:t>
      </w:r>
      <w:r w:rsidRPr="00870822">
        <w:rPr>
          <w:rFonts w:ascii="Arial" w:hAnsi="Arial" w:cs="Arial"/>
        </w:rPr>
        <w:t xml:space="preserve">) Brain PK confirms CNS </w:t>
      </w:r>
      <w:r w:rsidRPr="00870822">
        <w:rPr>
          <w:rFonts w:ascii="Arial" w:hAnsi="Arial" w:cs="Arial"/>
        </w:rPr>
        <w:lastRenderedPageBreak/>
        <w:t>entry with detectable CST levels and a longer brain half-life (</w:t>
      </w:r>
      <w:r w:rsidRPr="00870822">
        <w:rPr>
          <w:rFonts w:ascii="Arial" w:hAnsi="Arial" w:cs="Arial"/>
          <w:i/>
          <w:iCs/>
        </w:rPr>
        <w:t>t</w:t>
      </w:r>
      <w:r w:rsidRPr="00870822">
        <w:rPr>
          <w:rFonts w:ascii="Arial" w:hAnsi="Arial" w:cs="Arial"/>
          <w:vertAlign w:val="subscript"/>
        </w:rPr>
        <w:t>1/2</w:t>
      </w:r>
      <w:r w:rsidRPr="00870822">
        <w:rPr>
          <w:rFonts w:ascii="Arial" w:hAnsi="Arial" w:cs="Arial"/>
        </w:rPr>
        <w:t xml:space="preserve"> = 2.77 hr), supporting CST’s ability to engage central targets (n=3 at each time point). Data shown as mean ± SEM. Significance indicated as *p &lt; 0.05, **p &lt; 0.01, </w:t>
      </w:r>
      <w:r w:rsidRPr="00870822">
        <w:rPr>
          <w:rFonts w:ascii="Arial" w:hAnsi="Arial" w:cs="Arial"/>
          <w:i/>
          <w:iCs/>
        </w:rPr>
        <w:t>***</w:t>
      </w:r>
      <w:r w:rsidRPr="00870822">
        <w:rPr>
          <w:rStyle w:val="Emphasis"/>
          <w:rFonts w:ascii="Arial" w:hAnsi="Arial" w:cs="Arial"/>
        </w:rPr>
        <w:t>p &lt; 0.001</w:t>
      </w:r>
      <w:r>
        <w:rPr>
          <w:rStyle w:val="Emphasis"/>
          <w:rFonts w:ascii="Arial" w:hAnsi="Arial" w:cs="Arial"/>
        </w:rPr>
        <w:t xml:space="preserve">, </w:t>
      </w:r>
      <w:r w:rsidRPr="00870822">
        <w:rPr>
          <w:rFonts w:ascii="Arial" w:hAnsi="Arial" w:cs="Arial"/>
        </w:rPr>
        <w:t>**</w:t>
      </w:r>
      <w:r>
        <w:rPr>
          <w:rFonts w:ascii="Arial" w:hAnsi="Arial" w:cs="Arial"/>
        </w:rPr>
        <w:t>**</w:t>
      </w:r>
      <w:r w:rsidRPr="00870822">
        <w:rPr>
          <w:rFonts w:ascii="Arial" w:hAnsi="Arial" w:cs="Arial"/>
        </w:rPr>
        <w:t>p &lt; 0.0</w:t>
      </w:r>
      <w:r>
        <w:rPr>
          <w:rFonts w:ascii="Arial" w:hAnsi="Arial" w:cs="Arial"/>
        </w:rPr>
        <w:t>00</w:t>
      </w:r>
      <w:r w:rsidRPr="00870822">
        <w:rPr>
          <w:rFonts w:ascii="Arial" w:hAnsi="Arial" w:cs="Arial"/>
        </w:rPr>
        <w:t>1</w:t>
      </w:r>
      <w:r w:rsidRPr="00870822">
        <w:rPr>
          <w:rStyle w:val="Emphasis"/>
          <w:rFonts w:ascii="Arial" w:hAnsi="Arial" w:cs="Arial"/>
        </w:rPr>
        <w:t>; NS, not significant</w:t>
      </w:r>
      <w:r>
        <w:rPr>
          <w:rStyle w:val="Emphasis"/>
          <w:rFonts w:ascii="Arial" w:hAnsi="Arial" w:cs="Arial"/>
        </w:rPr>
        <w:t>.</w:t>
      </w:r>
      <w:r w:rsidRPr="00870822">
        <w:rPr>
          <w:rStyle w:val="Emphasis"/>
          <w:rFonts w:ascii="Arial" w:hAnsi="Arial" w:cs="Arial"/>
        </w:rPr>
        <w:br w:type="page"/>
      </w:r>
    </w:p>
    <w:p w14:paraId="79C23EE4" w14:textId="77777777" w:rsidR="004D1EFE" w:rsidRPr="00870822" w:rsidRDefault="004D1EFE" w:rsidP="004D1EFE">
      <w:pPr>
        <w:spacing w:line="360" w:lineRule="auto"/>
        <w:jc w:val="both"/>
        <w:rPr>
          <w:rStyle w:val="Emphasis"/>
          <w:rFonts w:ascii="Arial" w:hAnsi="Arial" w:cs="Arial"/>
          <w:i w:val="0"/>
          <w:iCs w:val="0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74AC6A5" wp14:editId="4AB38A0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83250" cy="3003550"/>
            <wp:effectExtent l="0" t="0" r="6350" b="6350"/>
            <wp:wrapSquare wrapText="bothSides"/>
            <wp:docPr id="685411642" name="Picture 9" descr="A collage of images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411642" name="Picture 9" descr="A collage of images of different colo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" t="3174" r="2564" b="2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3B348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 w:rsidRPr="00870822">
        <w:rPr>
          <w:rFonts w:ascii="Arial" w:hAnsi="Arial" w:cs="Arial"/>
          <w:b/>
          <w:bCs/>
        </w:rPr>
        <w:t>S-Figure 3. CST reduces hyperphosphorylated and misfolded Tau species in PS19 hippocampus. (A&amp;B)</w:t>
      </w:r>
      <w:r w:rsidRPr="00870822">
        <w:rPr>
          <w:rFonts w:ascii="Arial" w:hAnsi="Arial" w:cs="Arial"/>
        </w:rPr>
        <w:t xml:space="preserve"> AT100 immunostaining (p-Tau S212/T214) in CA1. (</w:t>
      </w:r>
      <w:r w:rsidRPr="00870822">
        <w:rPr>
          <w:rFonts w:ascii="Arial" w:hAnsi="Arial" w:cs="Arial"/>
          <w:b/>
          <w:bCs/>
        </w:rPr>
        <w:t>A</w:t>
      </w:r>
      <w:r w:rsidRPr="00870822">
        <w:rPr>
          <w:rFonts w:ascii="Arial" w:hAnsi="Arial" w:cs="Arial"/>
        </w:rPr>
        <w:t>) PS19 mice show pronounced AT100</w:t>
      </w:r>
      <w:r w:rsidRPr="00870822">
        <w:rPr>
          <w:rFonts w:ascii="Cambria Math" w:hAnsi="Cambria Math" w:cs="Cambria Math"/>
        </w:rPr>
        <w:t>⁺</w:t>
      </w:r>
      <w:r w:rsidRPr="00870822">
        <w:rPr>
          <w:rFonts w:ascii="Arial" w:hAnsi="Arial" w:cs="Arial"/>
        </w:rPr>
        <w:t xml:space="preserve"> Tau pathology compared with 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 xml:space="preserve"> controls, reflecting accumulation of late stage hyperphosphorylated Tau. CST treatment markedly decreases AT100 immunoreactivity (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>: n=2, Sal/PS9: n=3, CST/PS19: n=3). (</w:t>
      </w:r>
      <w:r w:rsidRPr="00870822">
        <w:rPr>
          <w:rFonts w:ascii="Arial" w:hAnsi="Arial" w:cs="Arial"/>
          <w:b/>
          <w:bCs/>
        </w:rPr>
        <w:t>B</w:t>
      </w:r>
      <w:r w:rsidRPr="00870822">
        <w:rPr>
          <w:rFonts w:ascii="Arial" w:hAnsi="Arial" w:cs="Arial"/>
        </w:rPr>
        <w:t>) Quantification of AT100</w:t>
      </w:r>
      <w:r w:rsidRPr="00870822">
        <w:rPr>
          <w:rFonts w:ascii="Cambria Math" w:hAnsi="Cambria Math" w:cs="Cambria Math"/>
        </w:rPr>
        <w:t>⁺</w:t>
      </w:r>
      <w:r w:rsidRPr="00870822">
        <w:rPr>
          <w:rFonts w:ascii="Arial" w:hAnsi="Arial" w:cs="Arial"/>
        </w:rPr>
        <w:t xml:space="preserve"> area confirms CST-mediated suppression of pathological Tau phosphorylation in CA1. </w:t>
      </w:r>
      <w:r w:rsidRPr="00870822">
        <w:rPr>
          <w:rFonts w:ascii="Arial" w:hAnsi="Arial" w:cs="Arial"/>
          <w:b/>
          <w:bCs/>
        </w:rPr>
        <w:t>(C&amp;D)</w:t>
      </w:r>
      <w:r w:rsidRPr="00870822">
        <w:rPr>
          <w:rFonts w:ascii="Arial" w:hAnsi="Arial" w:cs="Arial"/>
        </w:rPr>
        <w:t xml:space="preserve"> MC1 immunostaining (conformationally misfolded Tau) in CA3. (</w:t>
      </w:r>
      <w:r w:rsidRPr="00870822">
        <w:rPr>
          <w:rFonts w:ascii="Arial" w:hAnsi="Arial" w:cs="Arial"/>
          <w:b/>
          <w:bCs/>
        </w:rPr>
        <w:t>C</w:t>
      </w:r>
      <w:r w:rsidRPr="00870822">
        <w:rPr>
          <w:rFonts w:ascii="Arial" w:hAnsi="Arial" w:cs="Arial"/>
        </w:rPr>
        <w:t>) PS19 mice exhibit strong MC1</w:t>
      </w:r>
      <w:r w:rsidRPr="00870822">
        <w:rPr>
          <w:rFonts w:ascii="Cambria Math" w:hAnsi="Cambria Math" w:cs="Cambria Math"/>
        </w:rPr>
        <w:t>⁺</w:t>
      </w:r>
      <w:r w:rsidRPr="00870822">
        <w:rPr>
          <w:rFonts w:ascii="Arial" w:hAnsi="Arial" w:cs="Arial"/>
        </w:rPr>
        <w:t xml:space="preserve"> Tau accumulation, consistent with misfolded Tau species formation. CST reduces MC1 signal intensity and distribution. (</w:t>
      </w:r>
      <w:r w:rsidRPr="00870822">
        <w:rPr>
          <w:rFonts w:ascii="Arial" w:hAnsi="Arial" w:cs="Arial"/>
          <w:b/>
          <w:bCs/>
        </w:rPr>
        <w:t>D</w:t>
      </w:r>
      <w:r w:rsidRPr="00870822">
        <w:rPr>
          <w:rFonts w:ascii="Arial" w:hAnsi="Arial" w:cs="Arial"/>
        </w:rPr>
        <w:t>) Quantification of MC1</w:t>
      </w:r>
      <w:r w:rsidRPr="00870822">
        <w:rPr>
          <w:rFonts w:ascii="Cambria Math" w:hAnsi="Cambria Math" w:cs="Cambria Math"/>
        </w:rPr>
        <w:t>⁺</w:t>
      </w:r>
      <w:r w:rsidRPr="00870822">
        <w:rPr>
          <w:rFonts w:ascii="Arial" w:hAnsi="Arial" w:cs="Arial"/>
        </w:rPr>
        <w:t xml:space="preserve"> area shows a trend toward decreased misfolded Tau in CST-treated PS19 mice (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>: n=3, Sal/PS9: n=3, CST/PS19: n=3). Data are shown as mean ± SEM.</w:t>
      </w:r>
      <w:r>
        <w:rPr>
          <w:rFonts w:ascii="Arial" w:hAnsi="Arial" w:cs="Arial"/>
        </w:rPr>
        <w:t xml:space="preserve"> </w:t>
      </w:r>
      <w:r w:rsidRPr="00870822">
        <w:rPr>
          <w:rFonts w:ascii="Arial" w:hAnsi="Arial" w:cs="Arial"/>
        </w:rPr>
        <w:t xml:space="preserve">*p &lt; 0.05, **p &lt; 0.01, </w:t>
      </w:r>
      <w:r w:rsidRPr="00870822">
        <w:rPr>
          <w:rFonts w:ascii="Arial" w:hAnsi="Arial" w:cs="Arial"/>
          <w:i/>
          <w:iCs/>
        </w:rPr>
        <w:t>***</w:t>
      </w:r>
      <w:r w:rsidRPr="00870822">
        <w:rPr>
          <w:rStyle w:val="Emphasis"/>
          <w:rFonts w:ascii="Arial" w:hAnsi="Arial" w:cs="Arial"/>
        </w:rPr>
        <w:t>p &lt; 0.001</w:t>
      </w:r>
      <w:r>
        <w:rPr>
          <w:rStyle w:val="Emphasis"/>
          <w:rFonts w:ascii="Arial" w:hAnsi="Arial" w:cs="Arial"/>
        </w:rPr>
        <w:t xml:space="preserve">, </w:t>
      </w:r>
      <w:r w:rsidRPr="00870822">
        <w:rPr>
          <w:rFonts w:ascii="Arial" w:hAnsi="Arial" w:cs="Arial"/>
        </w:rPr>
        <w:t>**</w:t>
      </w:r>
      <w:r>
        <w:rPr>
          <w:rFonts w:ascii="Arial" w:hAnsi="Arial" w:cs="Arial"/>
        </w:rPr>
        <w:t>**</w:t>
      </w:r>
      <w:r w:rsidRPr="00870822">
        <w:rPr>
          <w:rFonts w:ascii="Arial" w:hAnsi="Arial" w:cs="Arial"/>
        </w:rPr>
        <w:t xml:space="preserve">p &lt; </w:t>
      </w:r>
      <w:proofErr w:type="gramStart"/>
      <w:r w:rsidRPr="00870822">
        <w:rPr>
          <w:rFonts w:ascii="Arial" w:hAnsi="Arial" w:cs="Arial"/>
        </w:rPr>
        <w:t>0.0</w:t>
      </w:r>
      <w:r>
        <w:rPr>
          <w:rFonts w:ascii="Arial" w:hAnsi="Arial" w:cs="Arial"/>
        </w:rPr>
        <w:t>00</w:t>
      </w:r>
      <w:r w:rsidRPr="00870822">
        <w:rPr>
          <w:rFonts w:ascii="Arial" w:hAnsi="Arial" w:cs="Arial"/>
        </w:rPr>
        <w:t>1</w:t>
      </w:r>
      <w:r w:rsidRPr="00870822">
        <w:rPr>
          <w:rStyle w:val="Emphasis"/>
          <w:rFonts w:ascii="Arial" w:hAnsi="Arial" w:cs="Arial"/>
        </w:rPr>
        <w:t>;</w:t>
      </w:r>
      <w:proofErr w:type="gramEnd"/>
      <w:r w:rsidRPr="00870822">
        <w:rPr>
          <w:rStyle w:val="Emphasis"/>
          <w:rFonts w:ascii="Arial" w:hAnsi="Arial" w:cs="Arial"/>
        </w:rPr>
        <w:t xml:space="preserve"> NS, not significant</w:t>
      </w:r>
      <w:r>
        <w:rPr>
          <w:rStyle w:val="Emphasis"/>
          <w:rFonts w:ascii="Arial" w:hAnsi="Arial" w:cs="Arial"/>
        </w:rPr>
        <w:t>.</w:t>
      </w:r>
    </w:p>
    <w:p w14:paraId="3F318DC6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4C2D91A" wp14:editId="220F9AE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19800" cy="6502400"/>
            <wp:effectExtent l="0" t="0" r="0" b="0"/>
            <wp:wrapSquare wrapText="bothSides"/>
            <wp:docPr id="89639250" name="Picture 10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9250" name="Picture 10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" t="2352" r="1394" b="1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65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8BCBE" w14:textId="77777777" w:rsidR="004D1EFE" w:rsidRDefault="004D1EFE" w:rsidP="004D1EFE">
      <w:pPr>
        <w:spacing w:line="360" w:lineRule="auto"/>
        <w:jc w:val="both"/>
        <w:rPr>
          <w:rFonts w:ascii="Arial" w:hAnsi="Arial" w:cs="Arial"/>
        </w:rPr>
      </w:pPr>
      <w:r w:rsidRPr="00870822">
        <w:rPr>
          <w:rFonts w:ascii="Arial" w:hAnsi="Arial" w:cs="Arial"/>
          <w:b/>
          <w:bCs/>
        </w:rPr>
        <w:t xml:space="preserve">S-Figure 4. CST restores vulnerable neuronal populations and normalizes transcriptional states in PS19 hippocampus. (A) </w:t>
      </w:r>
      <w:r w:rsidRPr="00870822">
        <w:rPr>
          <w:rFonts w:ascii="Arial" w:hAnsi="Arial" w:cs="Arial"/>
        </w:rPr>
        <w:t>Gene signature of the clusters identified and analyzed.</w:t>
      </w:r>
      <w:r w:rsidRPr="00870822">
        <w:rPr>
          <w:rFonts w:ascii="Arial" w:hAnsi="Arial" w:cs="Arial"/>
          <w:b/>
          <w:bCs/>
        </w:rPr>
        <w:t xml:space="preserve"> (B)</w:t>
      </w:r>
      <w:r w:rsidRPr="00870822">
        <w:rPr>
          <w:rFonts w:ascii="Arial" w:hAnsi="Arial" w:cs="Arial"/>
        </w:rPr>
        <w:t xml:space="preserve"> Cell-type composition derived from snRNA-seq. PS19/Sal mice show reduced proportions of CA1-ProS and SUB-</w:t>
      </w:r>
      <w:proofErr w:type="spellStart"/>
      <w:r w:rsidRPr="00870822">
        <w:rPr>
          <w:rFonts w:ascii="Arial" w:hAnsi="Arial" w:cs="Arial"/>
        </w:rPr>
        <w:t>ProS</w:t>
      </w:r>
      <w:proofErr w:type="spellEnd"/>
      <w:r w:rsidRPr="00870822">
        <w:rPr>
          <w:rFonts w:ascii="Arial" w:hAnsi="Arial" w:cs="Arial"/>
        </w:rPr>
        <w:t xml:space="preserve"> excitatory neurons, with expansion of microglia, reflecting Tau-driven neurodegeneration and inflammatory </w:t>
      </w:r>
      <w:r w:rsidRPr="00870822">
        <w:rPr>
          <w:rFonts w:ascii="Arial" w:hAnsi="Arial" w:cs="Arial"/>
        </w:rPr>
        <w:lastRenderedPageBreak/>
        <w:t xml:space="preserve">remodeling. CST treatment reverses these shifts, restoring neuronal populations and reducing microglial abundance toward 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 xml:space="preserve"> levels. </w:t>
      </w:r>
      <w:r w:rsidRPr="00870822">
        <w:rPr>
          <w:rFonts w:ascii="Arial" w:hAnsi="Arial" w:cs="Arial"/>
          <w:b/>
          <w:bCs/>
        </w:rPr>
        <w:t>(C)</w:t>
      </w:r>
      <w:r w:rsidRPr="00870822">
        <w:rPr>
          <w:rFonts w:ascii="Arial" w:hAnsi="Arial" w:cs="Arial"/>
        </w:rPr>
        <w:t xml:space="preserve"> UMAP visualization of key cell classes. PS19/Sal mice exhibit increased astrocyte population, marked loss of CA1-ProS and SUB-</w:t>
      </w:r>
      <w:proofErr w:type="spellStart"/>
      <w:r w:rsidRPr="00870822">
        <w:rPr>
          <w:rFonts w:ascii="Arial" w:hAnsi="Arial" w:cs="Arial"/>
        </w:rPr>
        <w:t>ProS</w:t>
      </w:r>
      <w:proofErr w:type="spellEnd"/>
      <w:r w:rsidRPr="00870822">
        <w:rPr>
          <w:rFonts w:ascii="Arial" w:hAnsi="Arial" w:cs="Arial"/>
        </w:rPr>
        <w:t xml:space="preserve"> nuclei and increased Micro-PVM clustering, whereas CST substantially rescues CA1-ProS and SUB-</w:t>
      </w:r>
      <w:proofErr w:type="spellStart"/>
      <w:r w:rsidRPr="00870822">
        <w:rPr>
          <w:rFonts w:ascii="Arial" w:hAnsi="Arial" w:cs="Arial"/>
        </w:rPr>
        <w:t>ProS</w:t>
      </w:r>
      <w:proofErr w:type="spellEnd"/>
      <w:r w:rsidRPr="00870822">
        <w:rPr>
          <w:rFonts w:ascii="Arial" w:hAnsi="Arial" w:cs="Arial"/>
        </w:rPr>
        <w:t xml:space="preserve"> representation and decreases activated microglia. (</w:t>
      </w:r>
      <w:r w:rsidRPr="00870822">
        <w:rPr>
          <w:rFonts w:ascii="Arial" w:hAnsi="Arial" w:cs="Arial"/>
          <w:b/>
          <w:bCs/>
        </w:rPr>
        <w:t>D</w:t>
      </w:r>
      <w:r w:rsidRPr="00870822">
        <w:rPr>
          <w:rFonts w:ascii="Arial" w:hAnsi="Arial" w:cs="Arial"/>
        </w:rPr>
        <w:t xml:space="preserve">) Upregulated pathways in Astro cluster of Sal/PS19 compared to 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 xml:space="preserve"> and CST/PS19 indicating an increased metabolic stress in Sal/PS19.</w:t>
      </w:r>
    </w:p>
    <w:p w14:paraId="2F0DC0BB" w14:textId="77777777" w:rsidR="004D1EFE" w:rsidRDefault="004D1EFE" w:rsidP="004D1EF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DA79B94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BB57ACF" wp14:editId="0C35459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48300" cy="3543300"/>
            <wp:effectExtent l="0" t="0" r="0" b="0"/>
            <wp:wrapSquare wrapText="bothSides"/>
            <wp:docPr id="733421748" name="Picture 11" descr="A chart of different types of cytok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421748" name="Picture 11" descr="A chart of different types of cytoki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9" t="2602" r="2674" b="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847D8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72B90374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EC67F1D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0074CAE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315A48D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05679EF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0908EF4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4C90B45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FC22DBC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7614CB5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 w:rsidRPr="00870822">
        <w:rPr>
          <w:rFonts w:ascii="Arial" w:hAnsi="Arial" w:cs="Arial"/>
          <w:b/>
          <w:bCs/>
        </w:rPr>
        <w:t>S-Figure 5. CST suppresses elevations in cortical and systemic levels of inflammatory cytokines/chemokines in PS19 mice. (A–F)</w:t>
      </w:r>
      <w:r w:rsidRPr="00870822">
        <w:rPr>
          <w:rFonts w:ascii="Arial" w:hAnsi="Arial" w:cs="Arial"/>
        </w:rPr>
        <w:t xml:space="preserve"> Cortex: PS19 mice show strong upregulation of pro-inflammatory cytokines and chemokines - including (</w:t>
      </w:r>
      <w:r w:rsidRPr="00870822">
        <w:rPr>
          <w:rFonts w:ascii="Arial" w:hAnsi="Arial" w:cs="Arial"/>
          <w:b/>
          <w:bCs/>
        </w:rPr>
        <w:t>A</w:t>
      </w:r>
      <w:r w:rsidRPr="00870822">
        <w:rPr>
          <w:rFonts w:ascii="Arial" w:hAnsi="Arial" w:cs="Arial"/>
        </w:rPr>
        <w:t>) IL-6, (</w:t>
      </w:r>
      <w:r w:rsidRPr="00870822">
        <w:rPr>
          <w:rFonts w:ascii="Arial" w:hAnsi="Arial" w:cs="Arial"/>
          <w:b/>
          <w:bCs/>
        </w:rPr>
        <w:t>B</w:t>
      </w:r>
      <w:r w:rsidRPr="00870822">
        <w:rPr>
          <w:rFonts w:ascii="Arial" w:hAnsi="Arial" w:cs="Arial"/>
        </w:rPr>
        <w:t>) CXCL10, (</w:t>
      </w:r>
      <w:r w:rsidRPr="00870822">
        <w:rPr>
          <w:rFonts w:ascii="Arial" w:hAnsi="Arial" w:cs="Arial"/>
          <w:b/>
          <w:bCs/>
        </w:rPr>
        <w:t>C</w:t>
      </w:r>
      <w:r w:rsidRPr="00870822">
        <w:rPr>
          <w:rFonts w:ascii="Arial" w:hAnsi="Arial" w:cs="Arial"/>
        </w:rPr>
        <w:t>) CXCL1, (</w:t>
      </w:r>
      <w:r w:rsidRPr="00870822">
        <w:rPr>
          <w:rFonts w:ascii="Arial" w:hAnsi="Arial" w:cs="Arial"/>
          <w:b/>
          <w:bCs/>
        </w:rPr>
        <w:t>D</w:t>
      </w:r>
      <w:r w:rsidRPr="00870822">
        <w:rPr>
          <w:rFonts w:ascii="Arial" w:hAnsi="Arial" w:cs="Arial"/>
        </w:rPr>
        <w:t>) CCL2, (</w:t>
      </w:r>
      <w:r w:rsidRPr="00870822">
        <w:rPr>
          <w:rFonts w:ascii="Arial" w:hAnsi="Arial" w:cs="Arial"/>
          <w:b/>
          <w:bCs/>
        </w:rPr>
        <w:t>E</w:t>
      </w:r>
      <w:r w:rsidRPr="00870822">
        <w:rPr>
          <w:rFonts w:ascii="Arial" w:hAnsi="Arial" w:cs="Arial"/>
        </w:rPr>
        <w:t>) CXCL2, and (</w:t>
      </w:r>
      <w:r w:rsidRPr="00870822">
        <w:rPr>
          <w:rFonts w:ascii="Arial" w:hAnsi="Arial" w:cs="Arial"/>
          <w:b/>
          <w:bCs/>
        </w:rPr>
        <w:t>F</w:t>
      </w:r>
      <w:r w:rsidRPr="00870822">
        <w:rPr>
          <w:rFonts w:ascii="Arial" w:hAnsi="Arial" w:cs="Arial"/>
        </w:rPr>
        <w:t>) TNFα - reflecting Tau-driven neuroinflammatory activation. CST treatment significantly reduces all measured factors, indicating potent suppression of central inflammatory signaling (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 xml:space="preserve">: n=5, Sal/PS19: n=6, CST/PS19: n=6). </w:t>
      </w:r>
      <w:r w:rsidRPr="00870822">
        <w:rPr>
          <w:rFonts w:ascii="Arial" w:hAnsi="Arial" w:cs="Arial"/>
          <w:b/>
          <w:bCs/>
        </w:rPr>
        <w:t>(G–L)</w:t>
      </w:r>
      <w:r w:rsidRPr="00870822">
        <w:rPr>
          <w:rFonts w:ascii="Arial" w:hAnsi="Arial" w:cs="Arial"/>
        </w:rPr>
        <w:t xml:space="preserve"> Plasma: Systemic inflammation mirrors cortical pathology, with PS19 mice exhibiting elevated circulating (</w:t>
      </w:r>
      <w:r w:rsidRPr="00870822">
        <w:rPr>
          <w:rFonts w:ascii="Arial" w:hAnsi="Arial" w:cs="Arial"/>
          <w:b/>
          <w:bCs/>
        </w:rPr>
        <w:t>G</w:t>
      </w:r>
      <w:r w:rsidRPr="00870822">
        <w:rPr>
          <w:rFonts w:ascii="Arial" w:hAnsi="Arial" w:cs="Arial"/>
        </w:rPr>
        <w:t>) IL-6, (</w:t>
      </w:r>
      <w:r w:rsidRPr="00870822">
        <w:rPr>
          <w:rFonts w:ascii="Arial" w:hAnsi="Arial" w:cs="Arial"/>
          <w:b/>
          <w:bCs/>
        </w:rPr>
        <w:t>H</w:t>
      </w:r>
      <w:r w:rsidRPr="00870822">
        <w:rPr>
          <w:rFonts w:ascii="Arial" w:hAnsi="Arial" w:cs="Arial"/>
        </w:rPr>
        <w:t>) CXCL10, (</w:t>
      </w:r>
      <w:r w:rsidRPr="00870822">
        <w:rPr>
          <w:rFonts w:ascii="Arial" w:hAnsi="Arial" w:cs="Arial"/>
          <w:b/>
          <w:bCs/>
        </w:rPr>
        <w:t>I</w:t>
      </w:r>
      <w:r w:rsidRPr="00870822">
        <w:rPr>
          <w:rFonts w:ascii="Arial" w:hAnsi="Arial" w:cs="Arial"/>
        </w:rPr>
        <w:t>) CXCL1, (</w:t>
      </w:r>
      <w:r w:rsidRPr="00870822">
        <w:rPr>
          <w:rFonts w:ascii="Arial" w:hAnsi="Arial" w:cs="Arial"/>
          <w:b/>
          <w:bCs/>
        </w:rPr>
        <w:t>J</w:t>
      </w:r>
      <w:r w:rsidRPr="00870822">
        <w:rPr>
          <w:rFonts w:ascii="Arial" w:hAnsi="Arial" w:cs="Arial"/>
        </w:rPr>
        <w:t>) CCL2, (</w:t>
      </w:r>
      <w:r w:rsidRPr="00870822">
        <w:rPr>
          <w:rFonts w:ascii="Arial" w:hAnsi="Arial" w:cs="Arial"/>
          <w:b/>
          <w:bCs/>
        </w:rPr>
        <w:t>K</w:t>
      </w:r>
      <w:r w:rsidRPr="00870822">
        <w:rPr>
          <w:rFonts w:ascii="Arial" w:hAnsi="Arial" w:cs="Arial"/>
        </w:rPr>
        <w:t>) CXCL2, and (</w:t>
      </w:r>
      <w:r w:rsidRPr="00870822">
        <w:rPr>
          <w:rFonts w:ascii="Arial" w:hAnsi="Arial" w:cs="Arial"/>
          <w:b/>
          <w:bCs/>
        </w:rPr>
        <w:t>L</w:t>
      </w:r>
      <w:r w:rsidRPr="00870822">
        <w:rPr>
          <w:rFonts w:ascii="Arial" w:hAnsi="Arial" w:cs="Arial"/>
        </w:rPr>
        <w:t>) TNFα. CST markedly lowers these plasma biomarkers, demonstrating that CST attenuates both central and peripheral inflammatory responses (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>: n=5, Sal/PS19: n=5, CST/PS19: n=6). Data shown as mean ± SEM.</w:t>
      </w:r>
    </w:p>
    <w:p w14:paraId="0AC87334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2BABADE" wp14:editId="009FC5C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56250" cy="2673350"/>
            <wp:effectExtent l="0" t="0" r="6350" b="6350"/>
            <wp:wrapSquare wrapText="bothSides"/>
            <wp:docPr id="1327084215" name="Picture 12" descr="A collage of images of st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84215" name="Picture 12" descr="A collage of images of sta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0" t="2948" r="3846" b="1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0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85540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FEB5D67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36B1A80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7EE4716B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CE01CAB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CB89D44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1762F0B" w14:textId="77777777" w:rsidR="004D1EFE" w:rsidRDefault="004D1EFE" w:rsidP="004D1EF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DF77DB5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 w:rsidRPr="00870822">
        <w:rPr>
          <w:rFonts w:ascii="Arial" w:hAnsi="Arial" w:cs="Arial"/>
          <w:b/>
          <w:bCs/>
        </w:rPr>
        <w:t>S-Figure 6. CST reduces microglial activation in the 5xFAD model of amyloid-driven neuroinflammation. (A)</w:t>
      </w:r>
      <w:r w:rsidRPr="00870822">
        <w:rPr>
          <w:rFonts w:ascii="Arial" w:hAnsi="Arial" w:cs="Arial"/>
        </w:rPr>
        <w:t xml:space="preserve"> CD68 immunostaining in hippocampal sections from 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>, 5xFAD+Sal, and 5xFAD+CST mice. 5xFAD mice exhibit widespread CD68</w:t>
      </w:r>
      <w:r w:rsidRPr="00870822">
        <w:rPr>
          <w:rFonts w:ascii="Cambria Math" w:hAnsi="Cambria Math" w:cs="Cambria Math"/>
        </w:rPr>
        <w:t>⁺</w:t>
      </w:r>
      <w:r w:rsidRPr="00870822">
        <w:rPr>
          <w:rFonts w:ascii="Arial" w:hAnsi="Arial" w:cs="Arial"/>
        </w:rPr>
        <w:t xml:space="preserve"> microglial activation, reflecting amyloid-induced innate immune activation. CST treatment markedly reduces CD68 signal intensity and distribution. </w:t>
      </w:r>
      <w:r w:rsidRPr="00870822">
        <w:rPr>
          <w:rFonts w:ascii="Arial" w:hAnsi="Arial" w:cs="Arial"/>
          <w:b/>
          <w:bCs/>
        </w:rPr>
        <w:t>(B</w:t>
      </w:r>
      <w:r>
        <w:rPr>
          <w:rFonts w:ascii="Arial" w:hAnsi="Arial" w:cs="Arial"/>
          <w:b/>
          <w:bCs/>
        </w:rPr>
        <w:t>&amp;</w:t>
      </w:r>
      <w:r w:rsidRPr="00870822">
        <w:rPr>
          <w:rFonts w:ascii="Arial" w:hAnsi="Arial" w:cs="Arial"/>
          <w:b/>
          <w:bCs/>
        </w:rPr>
        <w:t>C)</w:t>
      </w:r>
      <w:r w:rsidRPr="00870822">
        <w:rPr>
          <w:rFonts w:ascii="Arial" w:hAnsi="Arial" w:cs="Arial"/>
        </w:rPr>
        <w:t xml:space="preserve"> Quantification of CD68</w:t>
      </w:r>
      <w:r w:rsidRPr="00870822">
        <w:rPr>
          <w:rFonts w:ascii="Cambria Math" w:hAnsi="Cambria Math" w:cs="Cambria Math"/>
        </w:rPr>
        <w:t>⁺</w:t>
      </w:r>
      <w:r w:rsidRPr="00870822">
        <w:rPr>
          <w:rFonts w:ascii="Arial" w:hAnsi="Arial" w:cs="Arial"/>
        </w:rPr>
        <w:t xml:space="preserve"> area in hippocampus (B) and cortex (C). CST significantly lowers microglial activation in both regions, demonstrating its ability to suppress amyloid-associated neuroinflammatory responses (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>: n=3, Sal/5xFAD: n=5, CST/5xFAD: n=6). Data shown as mean ± SEM.</w:t>
      </w:r>
      <w:r>
        <w:rPr>
          <w:rFonts w:ascii="Arial" w:hAnsi="Arial" w:cs="Arial"/>
        </w:rPr>
        <w:t xml:space="preserve"> </w:t>
      </w:r>
      <w:r w:rsidRPr="00870822">
        <w:rPr>
          <w:rFonts w:ascii="Arial" w:hAnsi="Arial" w:cs="Arial"/>
        </w:rPr>
        <w:t xml:space="preserve">*p &lt; 0.05, **p &lt; 0.01, </w:t>
      </w:r>
      <w:r w:rsidRPr="00870822">
        <w:rPr>
          <w:rFonts w:ascii="Arial" w:hAnsi="Arial" w:cs="Arial"/>
          <w:i/>
          <w:iCs/>
        </w:rPr>
        <w:t>***</w:t>
      </w:r>
      <w:r w:rsidRPr="00870822">
        <w:rPr>
          <w:rStyle w:val="Emphasis"/>
          <w:rFonts w:ascii="Arial" w:hAnsi="Arial" w:cs="Arial"/>
        </w:rPr>
        <w:t>p &lt; 0.001</w:t>
      </w:r>
      <w:r>
        <w:rPr>
          <w:rStyle w:val="Emphasis"/>
          <w:rFonts w:ascii="Arial" w:hAnsi="Arial" w:cs="Arial"/>
        </w:rPr>
        <w:t xml:space="preserve">, </w:t>
      </w:r>
      <w:r w:rsidRPr="00870822">
        <w:rPr>
          <w:rFonts w:ascii="Arial" w:hAnsi="Arial" w:cs="Arial"/>
        </w:rPr>
        <w:t>**</w:t>
      </w:r>
      <w:r>
        <w:rPr>
          <w:rFonts w:ascii="Arial" w:hAnsi="Arial" w:cs="Arial"/>
        </w:rPr>
        <w:t>**</w:t>
      </w:r>
      <w:r w:rsidRPr="00870822">
        <w:rPr>
          <w:rFonts w:ascii="Arial" w:hAnsi="Arial" w:cs="Arial"/>
        </w:rPr>
        <w:t xml:space="preserve">p &lt; </w:t>
      </w:r>
      <w:proofErr w:type="gramStart"/>
      <w:r w:rsidRPr="00870822">
        <w:rPr>
          <w:rFonts w:ascii="Arial" w:hAnsi="Arial" w:cs="Arial"/>
        </w:rPr>
        <w:t>0.0</w:t>
      </w:r>
      <w:r>
        <w:rPr>
          <w:rFonts w:ascii="Arial" w:hAnsi="Arial" w:cs="Arial"/>
        </w:rPr>
        <w:t>00</w:t>
      </w:r>
      <w:r w:rsidRPr="00870822">
        <w:rPr>
          <w:rFonts w:ascii="Arial" w:hAnsi="Arial" w:cs="Arial"/>
        </w:rPr>
        <w:t>1</w:t>
      </w:r>
      <w:r w:rsidRPr="00870822">
        <w:rPr>
          <w:rStyle w:val="Emphasis"/>
          <w:rFonts w:ascii="Arial" w:hAnsi="Arial" w:cs="Arial"/>
        </w:rPr>
        <w:t>;</w:t>
      </w:r>
      <w:proofErr w:type="gramEnd"/>
      <w:r w:rsidRPr="00870822">
        <w:rPr>
          <w:rStyle w:val="Emphasis"/>
          <w:rFonts w:ascii="Arial" w:hAnsi="Arial" w:cs="Arial"/>
        </w:rPr>
        <w:t xml:space="preserve"> NS, not significant</w:t>
      </w:r>
      <w:r>
        <w:rPr>
          <w:rStyle w:val="Emphasis"/>
          <w:rFonts w:ascii="Arial" w:hAnsi="Arial" w:cs="Arial"/>
        </w:rPr>
        <w:t>.</w:t>
      </w:r>
    </w:p>
    <w:p w14:paraId="3A9E51E2" w14:textId="77777777" w:rsidR="004D1EFE" w:rsidRPr="00870822" w:rsidRDefault="004D1EFE" w:rsidP="004D1EFE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C72D86F" wp14:editId="2CE5C0D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137025"/>
            <wp:effectExtent l="0" t="0" r="0" b="3175"/>
            <wp:wrapSquare wrapText="bothSides"/>
            <wp:docPr id="1011565296" name="Picture 13" descr="A collage of different colored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65296" name="Picture 13" descr="A collage of different colored graph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82FBA" w14:textId="77777777" w:rsidR="004D1EFE" w:rsidRPr="005A0D0F" w:rsidRDefault="004D1EFE" w:rsidP="004D1EFE">
      <w:pPr>
        <w:spacing w:line="360" w:lineRule="auto"/>
        <w:jc w:val="both"/>
        <w:rPr>
          <w:rFonts w:ascii="Arial" w:hAnsi="Arial" w:cs="Arial"/>
        </w:rPr>
      </w:pPr>
      <w:r w:rsidRPr="00870822">
        <w:rPr>
          <w:rFonts w:ascii="Arial" w:hAnsi="Arial" w:cs="Arial"/>
          <w:b/>
          <w:bCs/>
        </w:rPr>
        <w:t xml:space="preserve">S-Figure 7. CST counteracts adrenergic stimulation–induced Tau misfolding and integrates with measurements of norepinephrine signaling. (A) </w:t>
      </w:r>
      <w:r w:rsidRPr="00870822">
        <w:rPr>
          <w:rFonts w:ascii="Arial" w:hAnsi="Arial" w:cs="Arial"/>
        </w:rPr>
        <w:t xml:space="preserve">CST treatment reduces ADRA1 and increases ADRA2 expression in PS19 hippocampus. (B) qPCR analysis of ADRA1B, ADRA1D, ADRA2A, ADRA2C in hippocampus of </w:t>
      </w:r>
      <w:proofErr w:type="spellStart"/>
      <w:r w:rsidRPr="00870822">
        <w:rPr>
          <w:rFonts w:ascii="Arial" w:hAnsi="Arial" w:cs="Arial"/>
        </w:rPr>
        <w:t>nTg</w:t>
      </w:r>
      <w:proofErr w:type="spellEnd"/>
      <w:r w:rsidRPr="00870822">
        <w:rPr>
          <w:rFonts w:ascii="Arial" w:hAnsi="Arial" w:cs="Arial"/>
        </w:rPr>
        <w:t>, Sal/PS19, CST/PS19 (n=4).</w:t>
      </w:r>
      <w:r w:rsidRPr="00870822">
        <w:rPr>
          <w:rFonts w:ascii="Arial" w:hAnsi="Arial" w:cs="Arial"/>
          <w:b/>
          <w:bCs/>
        </w:rPr>
        <w:t xml:space="preserve"> (C-D) </w:t>
      </w:r>
      <w:r w:rsidRPr="00870822">
        <w:rPr>
          <w:rFonts w:ascii="Arial" w:hAnsi="Arial" w:cs="Arial"/>
        </w:rPr>
        <w:t xml:space="preserve">Cortex Norepinephrine (NE) measurement in PS19 </w:t>
      </w:r>
      <w:r w:rsidRPr="00870822">
        <w:rPr>
          <w:rFonts w:ascii="Arial" w:hAnsi="Arial" w:cs="Arial"/>
          <w:b/>
          <w:bCs/>
        </w:rPr>
        <w:t>(C)</w:t>
      </w:r>
      <w:r w:rsidRPr="00870822">
        <w:rPr>
          <w:rFonts w:ascii="Arial" w:hAnsi="Arial" w:cs="Arial"/>
        </w:rPr>
        <w:t xml:space="preserve"> and 5xFAD mice </w:t>
      </w:r>
      <w:r w:rsidRPr="00870822">
        <w:rPr>
          <w:rFonts w:ascii="Arial" w:hAnsi="Arial" w:cs="Arial"/>
          <w:b/>
          <w:bCs/>
        </w:rPr>
        <w:t xml:space="preserve">(D) </w:t>
      </w:r>
      <w:r w:rsidRPr="00870822">
        <w:rPr>
          <w:rFonts w:ascii="Arial" w:hAnsi="Arial" w:cs="Arial"/>
        </w:rPr>
        <w:t>after CST treatment.</w:t>
      </w:r>
      <w:r w:rsidRPr="00870822">
        <w:rPr>
          <w:rFonts w:ascii="Arial" w:hAnsi="Arial" w:cs="Arial"/>
          <w:b/>
          <w:bCs/>
        </w:rPr>
        <w:t xml:space="preserve"> (E)</w:t>
      </w:r>
      <w:r w:rsidRPr="00870822">
        <w:rPr>
          <w:rFonts w:ascii="Arial" w:hAnsi="Arial" w:cs="Arial"/>
        </w:rPr>
        <w:t xml:space="preserve"> CST prevents epinephrine</w:t>
      </w:r>
      <w:r>
        <w:rPr>
          <w:rFonts w:ascii="Arial" w:hAnsi="Arial" w:cs="Arial"/>
        </w:rPr>
        <w:t xml:space="preserve"> (EPI)</w:t>
      </w:r>
      <w:r w:rsidRPr="00870822">
        <w:rPr>
          <w:rFonts w:ascii="Arial" w:hAnsi="Arial" w:cs="Arial"/>
        </w:rPr>
        <w:t>-induced accumulation of misfolded Tau. Quantification of MC1</w:t>
      </w:r>
      <w:r w:rsidRPr="00870822">
        <w:rPr>
          <w:rFonts w:ascii="Cambria Math" w:hAnsi="Cambria Math" w:cs="Cambria Math"/>
        </w:rPr>
        <w:t>⁺</w:t>
      </w:r>
      <w:r w:rsidRPr="00870822">
        <w:rPr>
          <w:rFonts w:ascii="Arial" w:hAnsi="Arial" w:cs="Arial"/>
        </w:rPr>
        <w:t xml:space="preserve"> Tau in hippocampal sections shows that EPI markedly increases misfolded Tau species, consistent with adrenergic/PKA pathway overactivation. CST alone shows minimal MC1 staining and significantly reduces EPI-driven Tau misfolding when co-administered, indicating that CST antagonizes ADR–mediated pathogenic Tau conformations. Data are shown as mean ± SEM; statistical significance is indicated.</w:t>
      </w:r>
      <w:r>
        <w:rPr>
          <w:rFonts w:ascii="Arial" w:hAnsi="Arial" w:cs="Arial"/>
        </w:rPr>
        <w:t xml:space="preserve"> </w:t>
      </w:r>
      <w:r w:rsidRPr="00870822">
        <w:rPr>
          <w:rFonts w:ascii="Arial" w:hAnsi="Arial" w:cs="Arial"/>
        </w:rPr>
        <w:t xml:space="preserve">*p &lt; 0.05, **p &lt; 0.01, </w:t>
      </w:r>
      <w:r w:rsidRPr="00870822">
        <w:rPr>
          <w:rFonts w:ascii="Arial" w:hAnsi="Arial" w:cs="Arial"/>
          <w:i/>
          <w:iCs/>
        </w:rPr>
        <w:t>***</w:t>
      </w:r>
      <w:r w:rsidRPr="00870822">
        <w:rPr>
          <w:rStyle w:val="Emphasis"/>
          <w:rFonts w:ascii="Arial" w:hAnsi="Arial" w:cs="Arial"/>
        </w:rPr>
        <w:t>p &lt; 0.001</w:t>
      </w:r>
      <w:r>
        <w:rPr>
          <w:rStyle w:val="Emphasis"/>
          <w:rFonts w:ascii="Arial" w:hAnsi="Arial" w:cs="Arial"/>
        </w:rPr>
        <w:t xml:space="preserve">, </w:t>
      </w:r>
      <w:r w:rsidRPr="00870822">
        <w:rPr>
          <w:rFonts w:ascii="Arial" w:hAnsi="Arial" w:cs="Arial"/>
        </w:rPr>
        <w:t>**</w:t>
      </w:r>
      <w:r>
        <w:rPr>
          <w:rFonts w:ascii="Arial" w:hAnsi="Arial" w:cs="Arial"/>
        </w:rPr>
        <w:t>**</w:t>
      </w:r>
      <w:r w:rsidRPr="00870822">
        <w:rPr>
          <w:rFonts w:ascii="Arial" w:hAnsi="Arial" w:cs="Arial"/>
        </w:rPr>
        <w:t>p &lt; 0.0</w:t>
      </w:r>
      <w:r>
        <w:rPr>
          <w:rFonts w:ascii="Arial" w:hAnsi="Arial" w:cs="Arial"/>
        </w:rPr>
        <w:t>00</w:t>
      </w:r>
      <w:r w:rsidRPr="00870822">
        <w:rPr>
          <w:rFonts w:ascii="Arial" w:hAnsi="Arial" w:cs="Arial"/>
        </w:rPr>
        <w:t>1</w:t>
      </w:r>
      <w:r w:rsidRPr="00870822">
        <w:rPr>
          <w:rStyle w:val="Emphasis"/>
          <w:rFonts w:ascii="Arial" w:hAnsi="Arial" w:cs="Arial"/>
        </w:rPr>
        <w:t>; NS, not significant</w:t>
      </w:r>
      <w:r>
        <w:rPr>
          <w:rStyle w:val="Emphasis"/>
          <w:rFonts w:ascii="Arial" w:hAnsi="Arial" w:cs="Arial"/>
        </w:rPr>
        <w:t>.</w:t>
      </w:r>
    </w:p>
    <w:p w14:paraId="40194F72" w14:textId="77777777" w:rsidR="004E74F9" w:rsidRDefault="004E74F9"/>
    <w:sectPr w:rsidR="004E7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FE"/>
    <w:rsid w:val="0002052F"/>
    <w:rsid w:val="0006675D"/>
    <w:rsid w:val="000C6840"/>
    <w:rsid w:val="000F2E30"/>
    <w:rsid w:val="00112853"/>
    <w:rsid w:val="001D1116"/>
    <w:rsid w:val="001F55D3"/>
    <w:rsid w:val="001F7DB8"/>
    <w:rsid w:val="00210D39"/>
    <w:rsid w:val="002507AD"/>
    <w:rsid w:val="00270A56"/>
    <w:rsid w:val="00274FBB"/>
    <w:rsid w:val="002C057B"/>
    <w:rsid w:val="00313A6E"/>
    <w:rsid w:val="00313B18"/>
    <w:rsid w:val="00330728"/>
    <w:rsid w:val="00334B44"/>
    <w:rsid w:val="00345FAE"/>
    <w:rsid w:val="0039293A"/>
    <w:rsid w:val="003C1871"/>
    <w:rsid w:val="003D2029"/>
    <w:rsid w:val="003E73DB"/>
    <w:rsid w:val="00404C8E"/>
    <w:rsid w:val="0043345A"/>
    <w:rsid w:val="004508DD"/>
    <w:rsid w:val="0048797A"/>
    <w:rsid w:val="0049397D"/>
    <w:rsid w:val="0049546B"/>
    <w:rsid w:val="004B470B"/>
    <w:rsid w:val="004D1EFE"/>
    <w:rsid w:val="004E1885"/>
    <w:rsid w:val="004E74F9"/>
    <w:rsid w:val="004F595B"/>
    <w:rsid w:val="004F70B6"/>
    <w:rsid w:val="0050658B"/>
    <w:rsid w:val="00511AD8"/>
    <w:rsid w:val="0054600B"/>
    <w:rsid w:val="00575D19"/>
    <w:rsid w:val="005B6489"/>
    <w:rsid w:val="005C2E64"/>
    <w:rsid w:val="005C43B9"/>
    <w:rsid w:val="005C499F"/>
    <w:rsid w:val="005E1C72"/>
    <w:rsid w:val="005E3309"/>
    <w:rsid w:val="0060361D"/>
    <w:rsid w:val="006203AE"/>
    <w:rsid w:val="00652664"/>
    <w:rsid w:val="00657EE6"/>
    <w:rsid w:val="00685E5E"/>
    <w:rsid w:val="007033F4"/>
    <w:rsid w:val="007205E1"/>
    <w:rsid w:val="00746398"/>
    <w:rsid w:val="00770D10"/>
    <w:rsid w:val="00782A2F"/>
    <w:rsid w:val="0079542B"/>
    <w:rsid w:val="00797267"/>
    <w:rsid w:val="00797885"/>
    <w:rsid w:val="007A798F"/>
    <w:rsid w:val="007C4D48"/>
    <w:rsid w:val="007D10B8"/>
    <w:rsid w:val="007D2122"/>
    <w:rsid w:val="00801966"/>
    <w:rsid w:val="008250D5"/>
    <w:rsid w:val="008600AC"/>
    <w:rsid w:val="008723E8"/>
    <w:rsid w:val="0087260E"/>
    <w:rsid w:val="008944BB"/>
    <w:rsid w:val="00894ABC"/>
    <w:rsid w:val="008B58A5"/>
    <w:rsid w:val="009150A8"/>
    <w:rsid w:val="0095489F"/>
    <w:rsid w:val="00994B3C"/>
    <w:rsid w:val="00994EA4"/>
    <w:rsid w:val="009A3A5D"/>
    <w:rsid w:val="009B1A05"/>
    <w:rsid w:val="009B40DE"/>
    <w:rsid w:val="009B57B4"/>
    <w:rsid w:val="009C503E"/>
    <w:rsid w:val="009D532C"/>
    <w:rsid w:val="009F48BA"/>
    <w:rsid w:val="009F6EFB"/>
    <w:rsid w:val="00A05796"/>
    <w:rsid w:val="00A2657A"/>
    <w:rsid w:val="00A27CAD"/>
    <w:rsid w:val="00A37C4C"/>
    <w:rsid w:val="00A47795"/>
    <w:rsid w:val="00A5527A"/>
    <w:rsid w:val="00A567FB"/>
    <w:rsid w:val="00A667C9"/>
    <w:rsid w:val="00A81421"/>
    <w:rsid w:val="00AC5E96"/>
    <w:rsid w:val="00B12B05"/>
    <w:rsid w:val="00B25E04"/>
    <w:rsid w:val="00B32389"/>
    <w:rsid w:val="00B9741E"/>
    <w:rsid w:val="00BC54AE"/>
    <w:rsid w:val="00C12C9B"/>
    <w:rsid w:val="00C17037"/>
    <w:rsid w:val="00C31D9E"/>
    <w:rsid w:val="00C327FB"/>
    <w:rsid w:val="00C445D4"/>
    <w:rsid w:val="00C6155B"/>
    <w:rsid w:val="00C73BF9"/>
    <w:rsid w:val="00C804C3"/>
    <w:rsid w:val="00C956FD"/>
    <w:rsid w:val="00CB77D7"/>
    <w:rsid w:val="00CD26C6"/>
    <w:rsid w:val="00CD6652"/>
    <w:rsid w:val="00CE7DAD"/>
    <w:rsid w:val="00CF42B3"/>
    <w:rsid w:val="00D03F4C"/>
    <w:rsid w:val="00D3769C"/>
    <w:rsid w:val="00D5187A"/>
    <w:rsid w:val="00D875DD"/>
    <w:rsid w:val="00D97D48"/>
    <w:rsid w:val="00DB4DB5"/>
    <w:rsid w:val="00DD3873"/>
    <w:rsid w:val="00DE4112"/>
    <w:rsid w:val="00E07F71"/>
    <w:rsid w:val="00E1431A"/>
    <w:rsid w:val="00E44356"/>
    <w:rsid w:val="00E6474A"/>
    <w:rsid w:val="00E8103C"/>
    <w:rsid w:val="00EC1835"/>
    <w:rsid w:val="00EC5B33"/>
    <w:rsid w:val="00EE10EE"/>
    <w:rsid w:val="00EE3E61"/>
    <w:rsid w:val="00F6278D"/>
    <w:rsid w:val="00F83C70"/>
    <w:rsid w:val="00FA32EE"/>
    <w:rsid w:val="00FE23D7"/>
    <w:rsid w:val="00FE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0EAE13"/>
  <w15:chartTrackingRefBased/>
  <w15:docId w15:val="{D63FDDF1-939D-2046-8DC6-88F2B907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EFE"/>
    <w:rPr>
      <w:rFonts w:eastAsia="SimSu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E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E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E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E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E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E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E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E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E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E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E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E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E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E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E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E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E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EFE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E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EFE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4D1E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E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E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EFE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4D1EFE"/>
    <w:rPr>
      <w:i/>
      <w:iCs/>
    </w:rPr>
  </w:style>
  <w:style w:type="paragraph" w:styleId="NormalWeb">
    <w:name w:val="Normal (Web)"/>
    <w:basedOn w:val="Normal"/>
    <w:link w:val="NormalWebChar"/>
    <w:uiPriority w:val="99"/>
    <w:unhideWhenUsed/>
    <w:rsid w:val="004D1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4D1EF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1015</Words>
  <Characters>6012</Characters>
  <Application>Microsoft Office Word</Application>
  <DocSecurity>0</DocSecurity>
  <Lines>115</Lines>
  <Paragraphs>9</Paragraphs>
  <ScaleCrop>false</ScaleCrop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Mahata, Sushil</dc:creator>
  <cp:keywords/>
  <dc:description/>
  <cp:lastModifiedBy>Mahata, Sushil</cp:lastModifiedBy>
  <cp:revision>1</cp:revision>
  <dcterms:created xsi:type="dcterms:W3CDTF">2026-01-04T07:09:00Z</dcterms:created>
  <dcterms:modified xsi:type="dcterms:W3CDTF">2026-01-04T07:10:00Z</dcterms:modified>
</cp:coreProperties>
</file>