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65B" w:rsidRPr="002C2600" w:rsidRDefault="0020765B" w:rsidP="0020765B">
      <w:pPr>
        <w:spacing w:after="160" w:line="259" w:lineRule="auto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Supplementary </w:t>
      </w:r>
      <w:r w:rsidRPr="002C2600">
        <w:rPr>
          <w:rFonts w:asciiTheme="majorHAnsi" w:hAnsiTheme="majorHAnsi" w:cstheme="majorHAnsi"/>
          <w:b/>
        </w:rPr>
        <w:t>Table 1</w:t>
      </w:r>
      <w:r>
        <w:rPr>
          <w:rFonts w:asciiTheme="majorHAnsi" w:hAnsiTheme="majorHAnsi" w:cstheme="majorHAnsi"/>
          <w:b/>
        </w:rPr>
        <w:t>. S</w:t>
      </w:r>
      <w:r w:rsidRPr="002C2600">
        <w:rPr>
          <w:rFonts w:asciiTheme="majorHAnsi" w:hAnsiTheme="majorHAnsi" w:cstheme="majorHAnsi"/>
          <w:b/>
        </w:rPr>
        <w:t>ample characteristics</w:t>
      </w:r>
      <w:r>
        <w:rPr>
          <w:rFonts w:asciiTheme="majorHAnsi" w:hAnsiTheme="majorHAnsi" w:cstheme="majorHAnsi"/>
          <w:b/>
        </w:rPr>
        <w:t xml:space="preserve"> among alcohol consumers aged ≥19 in the 2018 International Cannabis Policy Study provincial sample, weighted (n=4,928)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2835"/>
      </w:tblGrid>
      <w:tr w:rsidR="0020765B" w:rsidRPr="00983A56" w:rsidTr="001A4E80"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b/>
                <w:sz w:val="20"/>
                <w:szCs w:val="20"/>
              </w:rPr>
              <w:t>Variable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b/>
                <w:sz w:val="20"/>
                <w:szCs w:val="20"/>
              </w:rPr>
              <w:t>% (n)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Mean age (years)</w:t>
            </w:r>
          </w:p>
        </w:tc>
        <w:tc>
          <w:tcPr>
            <w:tcW w:w="2835" w:type="dxa"/>
          </w:tcPr>
          <w:p w:rsidR="0020765B" w:rsidRPr="00C14335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14335">
              <w:rPr>
                <w:rFonts w:asciiTheme="majorHAnsi" w:hAnsiTheme="majorHAnsi" w:cstheme="majorHAnsi"/>
                <w:sz w:val="20"/>
                <w:szCs w:val="20"/>
              </w:rPr>
              <w:t>44.5 (SD=12.4)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20765B" w:rsidRPr="00C14335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Age group </w:t>
            </w:r>
          </w:p>
        </w:tc>
        <w:tc>
          <w:tcPr>
            <w:tcW w:w="2835" w:type="dxa"/>
          </w:tcPr>
          <w:p w:rsidR="0020765B" w:rsidRPr="00C14335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9</w:t>
            </w: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>-25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5.8% (285)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26-35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24.1% (1,190)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36-45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22.4% (1,104)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46-55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23.9% (1,179)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56-65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23.8% (1,171)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35" w:type="dxa"/>
          </w:tcPr>
          <w:p w:rsidR="0020765B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Sex </w:t>
            </w:r>
          </w:p>
        </w:tc>
        <w:tc>
          <w:tcPr>
            <w:tcW w:w="2835" w:type="dxa"/>
          </w:tcPr>
          <w:p w:rsidR="0020765B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Female</w:t>
            </w:r>
          </w:p>
        </w:tc>
        <w:tc>
          <w:tcPr>
            <w:tcW w:w="2835" w:type="dxa"/>
          </w:tcPr>
          <w:p w:rsidR="0020765B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44.3% (2,182)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Male </w:t>
            </w:r>
          </w:p>
        </w:tc>
        <w:tc>
          <w:tcPr>
            <w:tcW w:w="2835" w:type="dxa"/>
          </w:tcPr>
          <w:p w:rsidR="0020765B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55.7% (2,746)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Province</w:t>
            </w:r>
          </w:p>
        </w:tc>
        <w:tc>
          <w:tcPr>
            <w:tcW w:w="2835" w:type="dxa"/>
          </w:tcPr>
          <w:p w:rsidR="0020765B" w:rsidRPr="00DD559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0765B" w:rsidRPr="00983A56" w:rsidTr="001A4E80">
        <w:tc>
          <w:tcPr>
            <w:tcW w:w="5103" w:type="dxa"/>
          </w:tcPr>
          <w:p w:rsidR="0020765B" w:rsidRPr="004B18D1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B18D1">
              <w:rPr>
                <w:rFonts w:asciiTheme="majorHAnsi" w:hAnsiTheme="majorHAnsi" w:cstheme="majorHAnsi"/>
                <w:sz w:val="20"/>
                <w:szCs w:val="20"/>
              </w:rPr>
              <w:t>British Columbia</w:t>
            </w:r>
          </w:p>
        </w:tc>
        <w:tc>
          <w:tcPr>
            <w:tcW w:w="2835" w:type="dxa"/>
          </w:tcPr>
          <w:p w:rsidR="0020765B" w:rsidRPr="00DD559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D5596">
              <w:rPr>
                <w:sz w:val="20"/>
                <w:szCs w:val="20"/>
              </w:rPr>
              <w:t>13.3</w:t>
            </w:r>
            <w:r>
              <w:rPr>
                <w:sz w:val="20"/>
                <w:szCs w:val="20"/>
              </w:rPr>
              <w:t>% (658)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4B18D1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B18D1">
              <w:rPr>
                <w:rFonts w:asciiTheme="majorHAnsi" w:hAnsiTheme="majorHAnsi" w:cstheme="majorHAnsi"/>
                <w:sz w:val="20"/>
                <w:szCs w:val="20"/>
              </w:rPr>
              <w:t>Alberta</w:t>
            </w:r>
          </w:p>
        </w:tc>
        <w:tc>
          <w:tcPr>
            <w:tcW w:w="2835" w:type="dxa"/>
          </w:tcPr>
          <w:p w:rsidR="0020765B" w:rsidRPr="00DD559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D5596">
              <w:rPr>
                <w:sz w:val="20"/>
                <w:szCs w:val="20"/>
              </w:rPr>
              <w:t>12.1</w:t>
            </w:r>
            <w:r>
              <w:rPr>
                <w:sz w:val="20"/>
                <w:szCs w:val="20"/>
              </w:rPr>
              <w:t>% (594)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4B18D1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B18D1">
              <w:rPr>
                <w:rFonts w:asciiTheme="majorHAnsi" w:hAnsiTheme="majorHAnsi" w:cstheme="majorHAnsi"/>
                <w:sz w:val="20"/>
                <w:szCs w:val="20"/>
              </w:rPr>
              <w:t>Saskatchewan</w:t>
            </w:r>
          </w:p>
        </w:tc>
        <w:tc>
          <w:tcPr>
            <w:tcW w:w="2835" w:type="dxa"/>
          </w:tcPr>
          <w:p w:rsidR="0020765B" w:rsidRPr="00DD559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D5596">
              <w:rPr>
                <w:sz w:val="20"/>
                <w:szCs w:val="20"/>
              </w:rPr>
              <w:t>3.4</w:t>
            </w:r>
            <w:r>
              <w:rPr>
                <w:sz w:val="20"/>
                <w:szCs w:val="20"/>
              </w:rPr>
              <w:t>% (169)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4B18D1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B18D1">
              <w:rPr>
                <w:rFonts w:asciiTheme="majorHAnsi" w:hAnsiTheme="majorHAnsi" w:cstheme="majorHAnsi"/>
                <w:sz w:val="20"/>
                <w:szCs w:val="20"/>
              </w:rPr>
              <w:t>Manitoba</w:t>
            </w:r>
          </w:p>
        </w:tc>
        <w:tc>
          <w:tcPr>
            <w:tcW w:w="2835" w:type="dxa"/>
          </w:tcPr>
          <w:p w:rsidR="0020765B" w:rsidRPr="00DD559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D5596">
              <w:rPr>
                <w:sz w:val="20"/>
                <w:szCs w:val="20"/>
              </w:rPr>
              <w:t>3.7</w:t>
            </w:r>
            <w:r>
              <w:rPr>
                <w:sz w:val="20"/>
                <w:szCs w:val="20"/>
              </w:rPr>
              <w:t>% (184)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4B18D1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B18D1">
              <w:rPr>
                <w:rFonts w:asciiTheme="majorHAnsi" w:hAnsiTheme="majorHAnsi" w:cstheme="majorHAnsi"/>
                <w:sz w:val="20"/>
                <w:szCs w:val="20"/>
              </w:rPr>
              <w:t>Ontario</w:t>
            </w:r>
          </w:p>
        </w:tc>
        <w:tc>
          <w:tcPr>
            <w:tcW w:w="2835" w:type="dxa"/>
          </w:tcPr>
          <w:p w:rsidR="0020765B" w:rsidRPr="00DD559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D5596">
              <w:rPr>
                <w:sz w:val="20"/>
                <w:szCs w:val="20"/>
              </w:rPr>
              <w:t>37.9</w:t>
            </w:r>
            <w:r>
              <w:rPr>
                <w:sz w:val="20"/>
                <w:szCs w:val="20"/>
              </w:rPr>
              <w:t>% (1,868)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4B18D1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B18D1">
              <w:rPr>
                <w:rFonts w:asciiTheme="majorHAnsi" w:hAnsiTheme="majorHAnsi" w:cstheme="majorHAnsi"/>
                <w:sz w:val="20"/>
                <w:szCs w:val="20"/>
              </w:rPr>
              <w:t>Quebec</w:t>
            </w:r>
          </w:p>
        </w:tc>
        <w:tc>
          <w:tcPr>
            <w:tcW w:w="2835" w:type="dxa"/>
          </w:tcPr>
          <w:p w:rsidR="0020765B" w:rsidRPr="00DD559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D5596">
              <w:rPr>
                <w:sz w:val="20"/>
                <w:szCs w:val="20"/>
              </w:rPr>
              <w:t>23.0</w:t>
            </w:r>
            <w:r>
              <w:rPr>
                <w:sz w:val="20"/>
                <w:szCs w:val="20"/>
              </w:rPr>
              <w:t>% (1,132)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4B18D1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B18D1">
              <w:rPr>
                <w:rFonts w:asciiTheme="majorHAnsi" w:hAnsiTheme="majorHAnsi" w:cstheme="majorHAnsi"/>
                <w:sz w:val="20"/>
                <w:szCs w:val="20"/>
              </w:rPr>
              <w:t>New Brunswick</w:t>
            </w:r>
          </w:p>
        </w:tc>
        <w:tc>
          <w:tcPr>
            <w:tcW w:w="2835" w:type="dxa"/>
          </w:tcPr>
          <w:p w:rsidR="0020765B" w:rsidRPr="00DD559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D5596">
              <w:rPr>
                <w:sz w:val="20"/>
                <w:szCs w:val="20"/>
              </w:rPr>
              <w:t>2.0</w:t>
            </w:r>
            <w:r>
              <w:rPr>
                <w:sz w:val="20"/>
                <w:szCs w:val="20"/>
              </w:rPr>
              <w:t>% (96)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4B18D1" w:rsidRDefault="0020765B" w:rsidP="001A4E8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B18D1">
              <w:rPr>
                <w:rFonts w:asciiTheme="majorHAnsi" w:hAnsiTheme="majorHAnsi" w:cstheme="majorHAnsi"/>
                <w:sz w:val="20"/>
                <w:szCs w:val="20"/>
              </w:rPr>
              <w:t>Nova Scotia</w:t>
            </w:r>
          </w:p>
        </w:tc>
        <w:tc>
          <w:tcPr>
            <w:tcW w:w="2835" w:type="dxa"/>
          </w:tcPr>
          <w:p w:rsidR="0020765B" w:rsidRPr="00DD559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DD5596">
              <w:rPr>
                <w:sz w:val="20"/>
                <w:szCs w:val="20"/>
              </w:rPr>
              <w:t>2.7</w:t>
            </w:r>
            <w:r>
              <w:rPr>
                <w:sz w:val="20"/>
                <w:szCs w:val="20"/>
              </w:rPr>
              <w:t>% (131)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DD559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Newfoundland &amp; Labrador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DD5596">
              <w:rPr>
                <w:sz w:val="20"/>
                <w:szCs w:val="20"/>
              </w:rPr>
              <w:t>.4</w:t>
            </w:r>
            <w:r>
              <w:rPr>
                <w:sz w:val="20"/>
                <w:szCs w:val="20"/>
              </w:rPr>
              <w:t>% (20)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35" w:type="dxa"/>
          </w:tcPr>
          <w:p w:rsidR="0020765B" w:rsidRDefault="0020765B" w:rsidP="001A4E80">
            <w:pPr>
              <w:jc w:val="center"/>
              <w:rPr>
                <w:sz w:val="20"/>
                <w:szCs w:val="20"/>
              </w:rPr>
            </w:pP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b/>
                <w:sz w:val="20"/>
                <w:szCs w:val="20"/>
              </w:rPr>
              <w:t>Ethnicity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White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82.1% (4,048)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Indigenous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3.5% (172)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Other/Mixed/Unstated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14.4% (708)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b/>
                <w:sz w:val="20"/>
                <w:szCs w:val="20"/>
              </w:rPr>
              <w:t>Highest education level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High school or less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31.1% (1,531)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Some college/university or technical/vocational training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37.7% (1,857)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Bachelor’s degree or higher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31.3% (1,540)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b/>
                <w:sz w:val="20"/>
                <w:szCs w:val="20"/>
              </w:rPr>
              <w:t>Personal gross income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&lt;$50,000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39.5% (1,945)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$50,000 to &lt;$70,000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18.8% (928)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$70,000 to &lt;$100,000 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19.0% (937)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≥$100,000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14.4% (711)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Unstated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8.3% (408)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b/>
                <w:sz w:val="20"/>
                <w:szCs w:val="20"/>
                <w:vertAlign w:val="superscript"/>
              </w:rPr>
            </w:pPr>
            <w:r w:rsidRPr="00983A56">
              <w:rPr>
                <w:rFonts w:asciiTheme="majorHAnsi" w:hAnsiTheme="majorHAnsi" w:cstheme="majorHAnsi"/>
                <w:b/>
                <w:sz w:val="20"/>
                <w:szCs w:val="20"/>
              </w:rPr>
              <w:t>Alcohol use</w:t>
            </w:r>
            <w:r w:rsidRPr="00983A56">
              <w:rPr>
                <w:rFonts w:asciiTheme="majorHAnsi" w:hAnsiTheme="majorHAnsi" w:cstheme="majorHAnsi"/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Low volume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77.4% (3,814)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Risky volume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7.0% (345)</w:t>
            </w:r>
          </w:p>
        </w:tc>
      </w:tr>
      <w:tr w:rsidR="0020765B" w:rsidRPr="00983A56" w:rsidTr="001A4E80"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High volume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4.0% (195)</w:t>
            </w:r>
          </w:p>
        </w:tc>
      </w:tr>
      <w:tr w:rsidR="0020765B" w:rsidRPr="00983A56" w:rsidTr="001A4E80">
        <w:trPr>
          <w:trHeight w:val="309"/>
        </w:trPr>
        <w:tc>
          <w:tcPr>
            <w:tcW w:w="5103" w:type="dxa"/>
          </w:tcPr>
          <w:p w:rsidR="0020765B" w:rsidRPr="00983A56" w:rsidRDefault="0020765B" w:rsidP="001A4E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83A56">
              <w:rPr>
                <w:rFonts w:asciiTheme="majorHAnsi" w:hAnsiTheme="majorHAnsi" w:cstheme="majorHAnsi"/>
                <w:sz w:val="20"/>
                <w:szCs w:val="20"/>
              </w:rPr>
              <w:t xml:space="preserve">     Unstated</w:t>
            </w:r>
          </w:p>
        </w:tc>
        <w:tc>
          <w:tcPr>
            <w:tcW w:w="2835" w:type="dxa"/>
          </w:tcPr>
          <w:p w:rsidR="0020765B" w:rsidRPr="00983A56" w:rsidRDefault="0020765B" w:rsidP="001A4E8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11.7% (575)</w:t>
            </w:r>
          </w:p>
        </w:tc>
      </w:tr>
    </w:tbl>
    <w:p w:rsidR="00924B89" w:rsidRPr="0020765B" w:rsidRDefault="0020765B">
      <w:pPr>
        <w:rPr>
          <w:rFonts w:asciiTheme="majorHAnsi" w:hAnsiTheme="majorHAnsi" w:cstheme="majorHAnsi"/>
          <w:sz w:val="16"/>
          <w:szCs w:val="16"/>
        </w:rPr>
      </w:pPr>
      <w:r w:rsidRPr="00CA21F8">
        <w:rPr>
          <w:rFonts w:asciiTheme="majorHAnsi" w:hAnsiTheme="majorHAnsi" w:cstheme="majorHAnsi"/>
          <w:sz w:val="16"/>
          <w:szCs w:val="16"/>
          <w:vertAlign w:val="superscript"/>
        </w:rPr>
        <w:t>*</w:t>
      </w:r>
      <w:r w:rsidRPr="00CA21F8">
        <w:rPr>
          <w:rFonts w:asciiTheme="majorHAnsi" w:hAnsiTheme="majorHAnsi" w:cstheme="majorHAnsi"/>
          <w:sz w:val="16"/>
          <w:szCs w:val="16"/>
        </w:rPr>
        <w:t xml:space="preserve">Categories of alcohol use defined according to Canada’s Low-Risk Alcohol Drinking Guidelines </w:t>
      </w:r>
      <w:r w:rsidRPr="00CA21F8">
        <w:rPr>
          <w:rFonts w:asciiTheme="majorHAnsi" w:hAnsiTheme="majorHAnsi" w:cstheme="majorHAnsi"/>
          <w:sz w:val="16"/>
          <w:szCs w:val="16"/>
        </w:rPr>
        <w:fldChar w:fldCharType="begin"/>
      </w:r>
      <w:r>
        <w:rPr>
          <w:rFonts w:asciiTheme="majorHAnsi" w:hAnsiTheme="majorHAnsi" w:cstheme="majorHAnsi"/>
          <w:sz w:val="16"/>
          <w:szCs w:val="16"/>
        </w:rPr>
        <w:instrText xml:space="preserve"> ADDIN EN.CITE &lt;EndNote&gt;&lt;Cite&gt;&lt;Author&gt;Butt&lt;/Author&gt;&lt;Year&gt;2011&lt;/Year&gt;&lt;RecNum&gt;708&lt;/RecNum&gt;&lt;DisplayText&gt;(Butt et al., 2011)&lt;/DisplayText&gt;&lt;record&gt;&lt;rec-number&gt;708&lt;/rec-number&gt;&lt;foreign-keys&gt;&lt;key app="EN" db-id="dvsaswwsy5r2zqe0206pvvdla0sw25z020dd" timestamp="1575921459"&gt;708&lt;/key&gt;&lt;/foreign-keys&gt;&lt;ref-type name="Report"&gt;27&lt;/ref-type&gt;&lt;contributors&gt;&lt;authors&gt;&lt;author&gt;Butt, Peter&lt;/author&gt;&lt;author&gt;Beirness, Doug&lt;/author&gt;&lt;author&gt;Stockwell, Tim&lt;/author&gt;&lt;author&gt;Gliksman, Louis&lt;/author&gt;&lt;author&gt;Paradis, Catherine&lt;/author&gt;&lt;/authors&gt;&lt;/contributors&gt;&lt;titles&gt;&lt;title&gt;Alcohol and Health in Canada: A Summary of Evidence and Guidelines for Low-Risk Drinking.&lt;/title&gt;&lt;/titles&gt;&lt;number&gt;ISBN 978-1-926705-79-8&lt;/number&gt;&lt;dates&gt;&lt;year&gt;2011&lt;/year&gt;&lt;/dates&gt;&lt;pub-location&gt;Ottawa, ON&lt;/pub-location&gt;&lt;publisher&gt;Canadian Centre on Substance Abuse&lt;/publisher&gt;&lt;urls&gt;&lt;related-urls&gt;&lt;url&gt;https://www.uvic.ca/research/centres/cisur/assets/docs/report-alcohol-and-health-in-canada.pdf&lt;/url&gt;&lt;/related-urls&gt;&lt;/urls&gt;&lt;/record&gt;&lt;/Cite&gt;&lt;/EndNote&gt;</w:instrText>
      </w:r>
      <w:r w:rsidRPr="00CA21F8">
        <w:rPr>
          <w:rFonts w:asciiTheme="majorHAnsi" w:hAnsiTheme="majorHAnsi" w:cstheme="majorHAnsi"/>
          <w:sz w:val="16"/>
          <w:szCs w:val="16"/>
        </w:rPr>
        <w:fldChar w:fldCharType="separate"/>
      </w:r>
      <w:r>
        <w:rPr>
          <w:rFonts w:asciiTheme="majorHAnsi" w:hAnsiTheme="majorHAnsi" w:cstheme="majorHAnsi"/>
          <w:noProof/>
          <w:sz w:val="16"/>
          <w:szCs w:val="16"/>
        </w:rPr>
        <w:t>(Butt et al., 2011)</w:t>
      </w:r>
      <w:r w:rsidRPr="00CA21F8">
        <w:rPr>
          <w:rFonts w:asciiTheme="majorHAnsi" w:hAnsiTheme="majorHAnsi" w:cstheme="majorHAnsi"/>
          <w:sz w:val="16"/>
          <w:szCs w:val="16"/>
        </w:rPr>
        <w:fldChar w:fldCharType="end"/>
      </w:r>
      <w:r w:rsidRPr="00CA21F8">
        <w:rPr>
          <w:rFonts w:asciiTheme="majorHAnsi" w:hAnsiTheme="majorHAnsi" w:cstheme="majorHAnsi"/>
          <w:sz w:val="16"/>
          <w:szCs w:val="16"/>
        </w:rPr>
        <w:t>: low volume: ≤10/≤15 drinks/week for females and males, respectively; risky volume: 11-19/16-29 drinks/week for females and males, respectively; high volume: ≥20/≥30 drinks/week for females and males, respectively.</w:t>
      </w:r>
      <w:bookmarkStart w:id="0" w:name="_GoBack"/>
      <w:bookmarkEnd w:id="0"/>
    </w:p>
    <w:sectPr w:rsidR="00924B89" w:rsidRPr="002076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5B"/>
    <w:rsid w:val="0020765B"/>
    <w:rsid w:val="0092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1B9E3"/>
  <w15:chartTrackingRefBased/>
  <w15:docId w15:val="{485B802F-5556-4E77-B644-75B2919D5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765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7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2221</Characters>
  <Application>Microsoft Office Word</Application>
  <DocSecurity>0</DocSecurity>
  <Lines>18</Lines>
  <Paragraphs>5</Paragraphs>
  <ScaleCrop>false</ScaleCrop>
  <Company>University of Waterloo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Goodman</dc:creator>
  <cp:keywords/>
  <dc:description/>
  <cp:lastModifiedBy>Samantha Goodman</cp:lastModifiedBy>
  <cp:revision>1</cp:revision>
  <dcterms:created xsi:type="dcterms:W3CDTF">2020-11-13T21:18:00Z</dcterms:created>
  <dcterms:modified xsi:type="dcterms:W3CDTF">2020-11-13T21:18:00Z</dcterms:modified>
</cp:coreProperties>
</file>