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A59EB"/>
    <w:p w14:paraId="2E4B116E">
      <w:r>
        <w:drawing>
          <wp:inline distT="0" distB="0" distL="114300" distR="114300">
            <wp:extent cx="5272405" cy="2230120"/>
            <wp:effectExtent l="0" t="0" r="4445" b="177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CE874">
      <w:r>
        <w:rPr>
          <w:rFonts w:hint="eastAsia"/>
          <w:lang w:val="en-US" w:eastAsia="zh-CN"/>
        </w:rPr>
        <w:t>Figure S1. Secondary validation analyses of the dual-modal random forest model. (A) Calibration curve showing the agreement between predicted probabilities and observed outcomes (Brier score = 0.0168). (B) Decision curve analysis (DCA) comparing the net benefit of the dual-modal model against treat-all and treat-none strategies across clinically relevant threshold probabilities (0.05-0.85).</w:t>
      </w:r>
      <w:r>
        <w:br w:type="page"/>
      </w:r>
    </w:p>
    <w:p w14:paraId="46E4707E"/>
    <w:p w14:paraId="47E034E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Table S1. Bootstrap stability analysis of candidate features across 100 resampling iterations.</w:t>
      </w:r>
    </w:p>
    <w:tbl>
      <w:tblPr>
        <w:tblStyle w:val="2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4"/>
        <w:gridCol w:w="2975"/>
        <w:gridCol w:w="1381"/>
      </w:tblGrid>
      <w:tr w14:paraId="39F1EE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E28C461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Feature</w:t>
            </w:r>
          </w:p>
        </w:tc>
        <w:tc>
          <w:tcPr>
            <w:tcW w:w="1745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A327B8D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Stability (n=100)</w:t>
            </w:r>
          </w:p>
        </w:tc>
        <w:tc>
          <w:tcPr>
            <w:tcW w:w="81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09E8D3D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&gt;70%</w:t>
            </w:r>
          </w:p>
        </w:tc>
      </w:tr>
      <w:tr w14:paraId="7214DD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26AD1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Oleamide</w:t>
            </w:r>
          </w:p>
        </w:tc>
        <w:tc>
          <w:tcPr>
            <w:tcW w:w="17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DF482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0.79</w:t>
            </w:r>
          </w:p>
        </w:tc>
        <w:tc>
          <w:tcPr>
            <w:tcW w:w="8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CBCDD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05805D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18196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Alliin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38211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0.76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2A853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14BFAB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A620E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Linoleoylglycerol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18098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0.38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1EAF7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No</w:t>
            </w:r>
          </w:p>
        </w:tc>
      </w:tr>
      <w:tr w14:paraId="2EA825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7A370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Glycylvaline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9D2A4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0.15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B0B72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No</w:t>
            </w:r>
          </w:p>
        </w:tc>
      </w:tr>
      <w:tr w14:paraId="45453F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955F8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12-HETE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98A03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0.97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B48BF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536438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079A8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Linoleamide</w:t>
            </w:r>
            <w:r>
              <w:rPr>
                <w:rFonts w:hint="eastAsia"/>
                <w:b w:val="0"/>
                <w:bCs w:val="0"/>
              </w:rPr>
              <w:t xml:space="preserve"> (18:2n6)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AD4E4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0.71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A4874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4396D5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662E7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Oleoylglycerol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788C8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0.04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53FC3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No</w:t>
            </w:r>
          </w:p>
        </w:tc>
      </w:tr>
      <w:tr w14:paraId="0FCB7C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5E927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Hydroxyoctanoylcarnitine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8E995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0.31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79E04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No</w:t>
            </w:r>
          </w:p>
        </w:tc>
      </w:tr>
      <w:tr w14:paraId="392BC0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FF248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palmitamide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B9A36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0.71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F174A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2181D7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E4109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Beta-cryptoxanthin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CB440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0.94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93DE6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300C39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568F0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Fibrinopeptide A516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E6B81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CDDF9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04DA5A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26A63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 xml:space="preserve">Glucuronide </w:t>
            </w:r>
            <w:r>
              <w:rPr>
                <w:rFonts w:hint="eastAsia"/>
                <w:b w:val="0"/>
                <w:bCs w:val="0"/>
              </w:rPr>
              <w:t xml:space="preserve">of 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C10H18O2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F6E8A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0.75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88B3C">
            <w:pPr>
              <w:bidi w:val="0"/>
              <w:jc w:val="center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31E184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F8BF6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Sex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E1D52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533D7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No</w:t>
            </w:r>
          </w:p>
        </w:tc>
      </w:tr>
      <w:tr w14:paraId="6F4191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96CFD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Age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34639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0.27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4FA91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No</w:t>
            </w:r>
          </w:p>
        </w:tc>
      </w:tr>
      <w:tr w14:paraId="4C8711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1249F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Medical history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AA778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0.75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AB9E1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3D7BB8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5EFB6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HDL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6F750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0.91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C51BC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6B1E9F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CB482F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FBG</w:t>
            </w:r>
          </w:p>
        </w:tc>
        <w:tc>
          <w:tcPr>
            <w:tcW w:w="17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993389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0.76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44B100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</w:tbl>
    <w:p w14:paraId="4B0BC15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177D0B2A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Table S2. LASSO-regularized multivariable logistic regression coefficients and retention status.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9"/>
        <w:gridCol w:w="1955"/>
        <w:gridCol w:w="1635"/>
      </w:tblGrid>
      <w:tr w14:paraId="119BA3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58BF9D3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Variable</w:t>
            </w:r>
          </w:p>
        </w:tc>
        <w:tc>
          <w:tcPr>
            <w:tcW w:w="114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601492D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Coefficient</w:t>
            </w:r>
          </w:p>
        </w:tc>
        <w:tc>
          <w:tcPr>
            <w:tcW w:w="959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FB78FF0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Retained</w:t>
            </w:r>
          </w:p>
        </w:tc>
      </w:tr>
      <w:tr w14:paraId="191E66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FAFC1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Glycylvaline</w:t>
            </w:r>
          </w:p>
        </w:tc>
        <w:tc>
          <w:tcPr>
            <w:tcW w:w="114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CC45B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6C14A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No</w:t>
            </w:r>
          </w:p>
        </w:tc>
      </w:tr>
      <w:tr w14:paraId="285A19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349B1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Alliin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DAC03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-0.4192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ED215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6E8608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B909D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Linoleoylglycerol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BD571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449CF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No</w:t>
            </w:r>
          </w:p>
        </w:tc>
      </w:tr>
      <w:tr w14:paraId="6C47DB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912CF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Oleamide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B7DF2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-0.2558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ED132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346CAF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42090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12-HETE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0D0A1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-0.0272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BE3AF">
            <w:pPr>
              <w:bidi w:val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Yes</w:t>
            </w:r>
          </w:p>
        </w:tc>
      </w:tr>
      <w:tr w14:paraId="32A54D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CF494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Oleoylglycerol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59C20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C5DEB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No</w:t>
            </w:r>
          </w:p>
        </w:tc>
      </w:tr>
      <w:tr w14:paraId="1FD0CF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A7E8D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Linoleamide </w:t>
            </w:r>
            <w:r>
              <w:rPr>
                <w:rFonts w:hint="eastAsia"/>
                <w:b w:val="0"/>
                <w:bCs w:val="0"/>
              </w:rPr>
              <w:t>(18:2n6)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25BBC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-0.3434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69DA6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Yes</w:t>
            </w:r>
          </w:p>
        </w:tc>
      </w:tr>
      <w:tr w14:paraId="252CE6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37B31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Hydroxyoctanoylcarnitine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CA64E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0.2858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71AF0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Yes</w:t>
            </w:r>
          </w:p>
        </w:tc>
      </w:tr>
      <w:tr w14:paraId="0CDE89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8DC88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Palmitamide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A9B54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-0.3187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0E741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Yes</w:t>
            </w:r>
          </w:p>
        </w:tc>
      </w:tr>
      <w:tr w14:paraId="78F0EB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6C29E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Beta-cryptoxanthin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02810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-1.4089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5BA8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Yes</w:t>
            </w:r>
          </w:p>
        </w:tc>
      </w:tr>
      <w:tr w14:paraId="73CA82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3DB39">
            <w:pPr>
              <w:bidi w:val="0"/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Fibrinopeptide A516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86957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-0.9529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3972E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Yes</w:t>
            </w:r>
          </w:p>
        </w:tc>
      </w:tr>
      <w:tr w14:paraId="5728B2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C76E0">
            <w:pPr>
              <w:bidi w:val="0"/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Glucuronide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</w:rPr>
              <w:t xml:space="preserve">of </w:t>
            </w:r>
            <w:r>
              <w:rPr>
                <w:rFonts w:hint="eastAsia"/>
                <w:lang w:val="en-US" w:eastAsia="zh-CN"/>
              </w:rPr>
              <w:t>C10H18O2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BD7DB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3.3492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086B9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Yes</w:t>
            </w:r>
          </w:p>
        </w:tc>
      </w:tr>
      <w:tr w14:paraId="0F3810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49224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Sex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CFE88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E6D1A">
            <w:pPr>
              <w:bidi w:val="0"/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No</w:t>
            </w:r>
          </w:p>
        </w:tc>
      </w:tr>
      <w:tr w14:paraId="413838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3697F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Age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F7AC3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8CDF0">
            <w:pPr>
              <w:bidi w:val="0"/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No</w:t>
            </w:r>
          </w:p>
        </w:tc>
      </w:tr>
      <w:tr w14:paraId="06C806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834CD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Medical 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history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F72E2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1.0136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C6405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Yes</w:t>
            </w:r>
          </w:p>
        </w:tc>
      </w:tr>
      <w:tr w14:paraId="4ECE76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76BFA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HDL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F2C19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-1.1413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58FC5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Yes</w:t>
            </w:r>
          </w:p>
        </w:tc>
      </w:tr>
      <w:tr w14:paraId="1B6131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204BB5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FBG</w:t>
            </w:r>
          </w:p>
        </w:tc>
        <w:tc>
          <w:tcPr>
            <w:tcW w:w="11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F196BD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-1.9467</w:t>
            </w:r>
          </w:p>
        </w:tc>
        <w:tc>
          <w:tcPr>
            <w:tcW w:w="9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7217C8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Yes</w:t>
            </w:r>
          </w:p>
        </w:tc>
      </w:tr>
    </w:tbl>
    <w:p w14:paraId="0BC57E08"/>
    <w:p w14:paraId="4B5BE1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060568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Table S3. Nested 5</w:t>
      </w:r>
      <w:r>
        <w:rPr>
          <w:rFonts w:hint="default" w:ascii="Times New Roman" w:hAnsi="Times New Roman" w:cs="Times New Roman"/>
          <w:lang w:val="en-US" w:eastAsia="zh-CN"/>
        </w:rPr>
        <w:t>×</w:t>
      </w:r>
      <w:r>
        <w:rPr>
          <w:rFonts w:hint="eastAsia"/>
          <w:lang w:val="en-US" w:eastAsia="zh-CN"/>
        </w:rPr>
        <w:t>3-fold cross-validation results of the dual-modal random forest model.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3"/>
        <w:gridCol w:w="1233"/>
        <w:gridCol w:w="1085"/>
        <w:gridCol w:w="1528"/>
        <w:gridCol w:w="1325"/>
        <w:gridCol w:w="1325"/>
      </w:tblGrid>
      <w:tr w14:paraId="260F71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9A76D52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Fold</w:t>
            </w:r>
          </w:p>
        </w:tc>
        <w:tc>
          <w:tcPr>
            <w:tcW w:w="72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1B454AE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Train N</w:t>
            </w:r>
          </w:p>
        </w:tc>
        <w:tc>
          <w:tcPr>
            <w:tcW w:w="63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411DE77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Test N</w:t>
            </w:r>
          </w:p>
        </w:tc>
        <w:tc>
          <w:tcPr>
            <w:tcW w:w="89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8A913AB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Best mtry</w:t>
            </w:r>
          </w:p>
        </w:tc>
        <w:tc>
          <w:tcPr>
            <w:tcW w:w="77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B2484FB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Inner AUC</w:t>
            </w:r>
          </w:p>
        </w:tc>
        <w:tc>
          <w:tcPr>
            <w:tcW w:w="77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903CEC7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Outer AUC</w:t>
            </w:r>
          </w:p>
        </w:tc>
      </w:tr>
      <w:tr w14:paraId="464A29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010B1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AFA0D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74</w:t>
            </w: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2DCF8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E2AF9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76BD9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0.9495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ABD2B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0.9556</w:t>
            </w:r>
          </w:p>
        </w:tc>
      </w:tr>
      <w:tr w14:paraId="08D41C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06747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41C59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74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4ECDE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61C60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3986E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0.9533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2CB7A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0.8556</w:t>
            </w:r>
          </w:p>
        </w:tc>
      </w:tr>
      <w:tr w14:paraId="6C10EF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167BE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245B3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74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E9E1F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AB306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FBB4D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0.9195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EC444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0.9611</w:t>
            </w:r>
          </w:p>
        </w:tc>
      </w:tr>
      <w:tr w14:paraId="31CAA8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A7A88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03D55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75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13D90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ED401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5B47E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0.9369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DD963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0.975</w:t>
            </w:r>
          </w:p>
        </w:tc>
      </w:tr>
      <w:tr w14:paraId="558BA1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09BAC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E91A6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75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5A142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23BD7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F7CDB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0.893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D197F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72D2B2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9CE39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8BD1E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FF10D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78E30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1A09C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BC716">
            <w:pPr>
              <w:bidi w:val="0"/>
              <w:jc w:val="center"/>
              <w:rPr>
                <w:rFonts w:hint="eastAsia"/>
              </w:rPr>
            </w:pPr>
          </w:p>
        </w:tc>
      </w:tr>
      <w:tr w14:paraId="602D32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54A5C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Mean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B97F3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3AD3D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0B63C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1268C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09F91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0.9494</w:t>
            </w:r>
          </w:p>
        </w:tc>
      </w:tr>
      <w:tr w14:paraId="1DC402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A9224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SD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9716A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5D5B8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B735C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AB1E4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9F5B2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0.0494</w:t>
            </w:r>
          </w:p>
        </w:tc>
      </w:tr>
      <w:tr w14:paraId="23749F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6F7F3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95% CI Lower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474CA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76EF3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A9814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065C7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A47A7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0.8656</w:t>
            </w:r>
          </w:p>
        </w:tc>
      </w:tr>
      <w:tr w14:paraId="2F51DB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6A7D58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95% CI Upper</w:t>
            </w:r>
          </w:p>
        </w:tc>
        <w:tc>
          <w:tcPr>
            <w:tcW w:w="7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6D0DC6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182272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8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17D2E7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14F246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7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8480C42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0.9975</w:t>
            </w:r>
          </w:p>
        </w:tc>
      </w:tr>
    </w:tbl>
    <w:p w14:paraId="4FF6BF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459DB"/>
    <w:rsid w:val="16910D90"/>
    <w:rsid w:val="17FB2C27"/>
    <w:rsid w:val="2AF771F4"/>
    <w:rsid w:val="2E9F4E4D"/>
    <w:rsid w:val="32176B57"/>
    <w:rsid w:val="367459DB"/>
    <w:rsid w:val="36D47FCC"/>
    <w:rsid w:val="4EE66705"/>
    <w:rsid w:val="50212524"/>
    <w:rsid w:val="56DE2F1C"/>
    <w:rsid w:val="65A215B9"/>
    <w:rsid w:val="7B9D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170</Words>
  <Characters>886</Characters>
  <Lines>0</Lines>
  <Paragraphs>0</Paragraphs>
  <TotalTime>241</TotalTime>
  <ScaleCrop>false</ScaleCrop>
  <LinksUpToDate>false</LinksUpToDate>
  <CharactersWithSpaces>900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2026-04-28T08:25:00Z</dcterms:created>
  <dc:creator>Administrator</dc:creator>
  <cp:lastModifiedBy>Administrator</cp:lastModifiedBy>
  <dcterms:modified xsi:type="dcterms:W3CDTF">2026-04-30T09:12:54Z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64F8B6866E364BD6A5613D8FB53AED78_11</vt:lpwstr>
  </property>
  <property fmtid="{D5CDD505-2E9C-101B-9397-08002B2CF9AE}" pid="4" name="KSOTemplateDocerSaveRecord">
    <vt:lpwstr>eyJoZGlkIjoiMzIwMmQ3Njc3ZjU2MjVmM2VmY2Y2M2Y1MTVkMjhiMTEiLCJ1c2VySWQiOiI2NjY2MTg3MjEifQ==</vt:lpwstr>
  </property>
</Properties>
</file>