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326C0" w14:textId="77777777" w:rsidR="0048550F" w:rsidRDefault="0048550F" w:rsidP="00E1514F">
      <w:pPr>
        <w:pStyle w:val="Lgende"/>
      </w:pPr>
    </w:p>
    <w:p w14:paraId="27876F0D" w14:textId="749DAD02" w:rsidR="008D4590" w:rsidRPr="00BE79EA" w:rsidRDefault="008D4590" w:rsidP="00E1514F">
      <w:pPr>
        <w:pStyle w:val="Lgende"/>
        <w:rPr>
          <w:i/>
          <w:iCs/>
        </w:rPr>
      </w:pPr>
      <w:r w:rsidRPr="00A90D5A">
        <w:rPr>
          <w:b/>
          <w:bCs/>
        </w:rPr>
        <w:t xml:space="preserve">Supplementary Table </w:t>
      </w:r>
      <w:r w:rsidRPr="00A90D5A">
        <w:rPr>
          <w:b/>
          <w:bCs/>
        </w:rPr>
        <w:fldChar w:fldCharType="begin"/>
      </w:r>
      <w:r w:rsidRPr="00A90D5A">
        <w:rPr>
          <w:b/>
          <w:bCs/>
        </w:rPr>
        <w:instrText xml:space="preserve"> SEQ Supplementary_Table \* ARABIC </w:instrText>
      </w:r>
      <w:r w:rsidRPr="00A90D5A">
        <w:rPr>
          <w:b/>
          <w:bCs/>
        </w:rPr>
        <w:fldChar w:fldCharType="separate"/>
      </w:r>
      <w:r w:rsidRPr="00A90D5A">
        <w:rPr>
          <w:b/>
          <w:bCs/>
          <w:noProof/>
        </w:rPr>
        <w:t>1</w:t>
      </w:r>
      <w:r w:rsidRPr="00A90D5A">
        <w:rPr>
          <w:b/>
          <w:bCs/>
          <w:noProof/>
        </w:rPr>
        <w:fldChar w:fldCharType="end"/>
      </w:r>
      <w:r w:rsidRPr="00A90D5A">
        <w:rPr>
          <w:b/>
          <w:bCs/>
        </w:rPr>
        <w:t>:</w:t>
      </w:r>
      <w:r w:rsidRPr="00BE79EA">
        <w:t xml:space="preserve"> Characteristics of studies </w:t>
      </w:r>
      <w:r w:rsidR="00BE79EA" w:rsidRPr="00BE79EA">
        <w:t>included</w:t>
      </w:r>
    </w:p>
    <w:tbl>
      <w:tblPr>
        <w:tblW w:w="13754" w:type="dxa"/>
        <w:tblInd w:w="-142" w:type="dxa"/>
        <w:tblCellMar>
          <w:left w:w="70" w:type="dxa"/>
          <w:right w:w="70" w:type="dxa"/>
        </w:tblCellMar>
        <w:tblLook w:val="04A0" w:firstRow="1" w:lastRow="0" w:firstColumn="1" w:lastColumn="0" w:noHBand="0" w:noVBand="1"/>
      </w:tblPr>
      <w:tblGrid>
        <w:gridCol w:w="2410"/>
        <w:gridCol w:w="773"/>
        <w:gridCol w:w="1212"/>
        <w:gridCol w:w="1082"/>
        <w:gridCol w:w="1180"/>
        <w:gridCol w:w="1707"/>
        <w:gridCol w:w="1105"/>
        <w:gridCol w:w="1197"/>
        <w:gridCol w:w="882"/>
        <w:gridCol w:w="1077"/>
        <w:gridCol w:w="1129"/>
      </w:tblGrid>
      <w:tr w:rsidR="00A40703" w:rsidRPr="00B05F3A" w14:paraId="4D006236" w14:textId="77777777" w:rsidTr="00E43530">
        <w:trPr>
          <w:trHeight w:val="290"/>
        </w:trPr>
        <w:tc>
          <w:tcPr>
            <w:tcW w:w="2410" w:type="dxa"/>
            <w:tcBorders>
              <w:top w:val="single" w:sz="12" w:space="0" w:color="auto"/>
              <w:left w:val="nil"/>
              <w:bottom w:val="single" w:sz="12" w:space="0" w:color="auto"/>
              <w:right w:val="nil"/>
            </w:tcBorders>
            <w:noWrap/>
            <w:hideMark/>
          </w:tcPr>
          <w:p w14:paraId="05B892DA" w14:textId="1B5F41AB" w:rsidR="00A40703" w:rsidRPr="009E5B06" w:rsidRDefault="00A40703"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Author</w:t>
            </w:r>
          </w:p>
        </w:tc>
        <w:tc>
          <w:tcPr>
            <w:tcW w:w="773" w:type="dxa"/>
            <w:tcBorders>
              <w:top w:val="single" w:sz="12" w:space="0" w:color="auto"/>
              <w:left w:val="nil"/>
              <w:bottom w:val="single" w:sz="12" w:space="0" w:color="auto"/>
              <w:right w:val="nil"/>
            </w:tcBorders>
            <w:noWrap/>
            <w:hideMark/>
          </w:tcPr>
          <w:p w14:paraId="14E65737" w14:textId="327BD72C" w:rsidR="00A40703" w:rsidRPr="009E5B06" w:rsidRDefault="00A40703"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Study year</w:t>
            </w:r>
            <w:r w:rsidR="00425445" w:rsidRPr="009E5B06">
              <w:rPr>
                <w:rFonts w:ascii="Garamond" w:eastAsia="Times New Roman" w:hAnsi="Garamond" w:cs="Calibri"/>
                <w:i/>
                <w:iCs/>
                <w:color w:val="000000"/>
                <w:kern w:val="0"/>
                <w:sz w:val="20"/>
                <w:szCs w:val="20"/>
                <w:vertAlign w:val="superscript"/>
                <w:lang w:eastAsia="fr-FR"/>
                <w14:ligatures w14:val="none"/>
              </w:rPr>
              <w:t>1</w:t>
            </w:r>
          </w:p>
        </w:tc>
        <w:tc>
          <w:tcPr>
            <w:tcW w:w="1212" w:type="dxa"/>
            <w:tcBorders>
              <w:top w:val="single" w:sz="12" w:space="0" w:color="auto"/>
              <w:left w:val="nil"/>
              <w:bottom w:val="single" w:sz="12" w:space="0" w:color="auto"/>
              <w:right w:val="nil"/>
            </w:tcBorders>
            <w:noWrap/>
            <w:hideMark/>
          </w:tcPr>
          <w:p w14:paraId="63AC9E4A" w14:textId="516B614A" w:rsidR="00A40703" w:rsidRPr="009E5B06" w:rsidRDefault="00A40703"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Country</w:t>
            </w:r>
          </w:p>
        </w:tc>
        <w:tc>
          <w:tcPr>
            <w:tcW w:w="1082" w:type="dxa"/>
            <w:tcBorders>
              <w:top w:val="single" w:sz="12" w:space="0" w:color="auto"/>
              <w:left w:val="nil"/>
              <w:bottom w:val="single" w:sz="12" w:space="0" w:color="auto"/>
              <w:right w:val="nil"/>
            </w:tcBorders>
            <w:noWrap/>
            <w:hideMark/>
          </w:tcPr>
          <w:p w14:paraId="70415765" w14:textId="124490F2" w:rsidR="00A40703" w:rsidRPr="009E5B06" w:rsidRDefault="00A40703"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Design</w:t>
            </w:r>
          </w:p>
        </w:tc>
        <w:tc>
          <w:tcPr>
            <w:tcW w:w="1180" w:type="dxa"/>
            <w:tcBorders>
              <w:top w:val="single" w:sz="12" w:space="0" w:color="auto"/>
              <w:left w:val="nil"/>
              <w:bottom w:val="single" w:sz="12" w:space="0" w:color="auto"/>
              <w:right w:val="nil"/>
            </w:tcBorders>
            <w:noWrap/>
            <w:hideMark/>
          </w:tcPr>
          <w:p w14:paraId="15C2A7B8" w14:textId="25C603BC" w:rsidR="00A40703" w:rsidRPr="009E5B06" w:rsidRDefault="00A40703"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Setting</w:t>
            </w:r>
          </w:p>
        </w:tc>
        <w:tc>
          <w:tcPr>
            <w:tcW w:w="1707" w:type="dxa"/>
            <w:tcBorders>
              <w:top w:val="single" w:sz="12" w:space="0" w:color="auto"/>
              <w:left w:val="nil"/>
              <w:bottom w:val="single" w:sz="12" w:space="0" w:color="auto"/>
              <w:right w:val="nil"/>
            </w:tcBorders>
            <w:noWrap/>
            <w:hideMark/>
          </w:tcPr>
          <w:p w14:paraId="67A8F237" w14:textId="25029F99" w:rsidR="00A40703" w:rsidRPr="009E5B06" w:rsidRDefault="00A40703"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Participant</w:t>
            </w:r>
          </w:p>
        </w:tc>
        <w:tc>
          <w:tcPr>
            <w:tcW w:w="1105" w:type="dxa"/>
            <w:tcBorders>
              <w:top w:val="single" w:sz="12" w:space="0" w:color="auto"/>
              <w:left w:val="nil"/>
              <w:bottom w:val="single" w:sz="12" w:space="0" w:color="auto"/>
              <w:right w:val="nil"/>
            </w:tcBorders>
            <w:noWrap/>
            <w:hideMark/>
          </w:tcPr>
          <w:p w14:paraId="576126E8" w14:textId="612D1B8D" w:rsidR="00A40703" w:rsidRPr="009E5B06" w:rsidRDefault="00A40703"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Sampling</w:t>
            </w:r>
          </w:p>
        </w:tc>
        <w:tc>
          <w:tcPr>
            <w:tcW w:w="1197" w:type="dxa"/>
            <w:tcBorders>
              <w:top w:val="single" w:sz="12" w:space="0" w:color="auto"/>
              <w:left w:val="nil"/>
              <w:bottom w:val="single" w:sz="12" w:space="0" w:color="auto"/>
              <w:right w:val="nil"/>
            </w:tcBorders>
            <w:noWrap/>
            <w:hideMark/>
          </w:tcPr>
          <w:p w14:paraId="451E86F2" w14:textId="20E7E65F" w:rsidR="00A40703" w:rsidRPr="009E5B06" w:rsidRDefault="00A40703"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Mpox gene sequencing</w:t>
            </w:r>
          </w:p>
        </w:tc>
        <w:tc>
          <w:tcPr>
            <w:tcW w:w="882" w:type="dxa"/>
            <w:tcBorders>
              <w:top w:val="single" w:sz="12" w:space="0" w:color="auto"/>
              <w:left w:val="nil"/>
              <w:bottom w:val="single" w:sz="12" w:space="0" w:color="auto"/>
              <w:right w:val="nil"/>
            </w:tcBorders>
            <w:noWrap/>
            <w:hideMark/>
          </w:tcPr>
          <w:p w14:paraId="3F2BC4A3" w14:textId="77777777" w:rsidR="00A40703" w:rsidRPr="009E5B06" w:rsidRDefault="00A40703"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Risk of bias</w:t>
            </w:r>
          </w:p>
        </w:tc>
        <w:tc>
          <w:tcPr>
            <w:tcW w:w="1077" w:type="dxa"/>
            <w:tcBorders>
              <w:top w:val="single" w:sz="12" w:space="0" w:color="auto"/>
              <w:left w:val="nil"/>
              <w:bottom w:val="single" w:sz="12" w:space="0" w:color="auto"/>
              <w:right w:val="nil"/>
            </w:tcBorders>
            <w:noWrap/>
            <w:hideMark/>
          </w:tcPr>
          <w:p w14:paraId="0D236913" w14:textId="0361D662" w:rsidR="00A40703" w:rsidRPr="009E5B06" w:rsidRDefault="00A40703"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Confirmed cases</w:t>
            </w:r>
            <w:r w:rsidR="00D903DD" w:rsidRPr="009E5B06">
              <w:rPr>
                <w:rFonts w:ascii="Garamond" w:eastAsia="Times New Roman" w:hAnsi="Garamond" w:cs="Calibri"/>
                <w:color w:val="000000"/>
                <w:kern w:val="0"/>
                <w:sz w:val="20"/>
                <w:szCs w:val="20"/>
                <w:lang w:eastAsia="fr-FR"/>
                <w14:ligatures w14:val="none"/>
              </w:rPr>
              <w:t xml:space="preserve"> (n)</w:t>
            </w:r>
          </w:p>
        </w:tc>
        <w:tc>
          <w:tcPr>
            <w:tcW w:w="1125" w:type="dxa"/>
            <w:tcBorders>
              <w:top w:val="single" w:sz="12" w:space="0" w:color="auto"/>
              <w:left w:val="nil"/>
              <w:bottom w:val="single" w:sz="12" w:space="0" w:color="auto"/>
              <w:right w:val="nil"/>
            </w:tcBorders>
            <w:noWrap/>
            <w:hideMark/>
          </w:tcPr>
          <w:p w14:paraId="0BF83B1C" w14:textId="6B68B653" w:rsidR="00A40703" w:rsidRPr="009E5B06" w:rsidRDefault="00B05F3A"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Case fatality rate</w:t>
            </w:r>
            <w:r w:rsidR="00D46672" w:rsidRPr="009E5B06">
              <w:rPr>
                <w:rFonts w:ascii="Garamond" w:eastAsia="Times New Roman" w:hAnsi="Garamond" w:cs="Calibri"/>
                <w:color w:val="000000"/>
                <w:kern w:val="0"/>
                <w:sz w:val="20"/>
                <w:szCs w:val="20"/>
                <w:lang w:eastAsia="fr-FR"/>
                <w14:ligatures w14:val="none"/>
              </w:rPr>
              <w:t xml:space="preserve"> (%)</w:t>
            </w:r>
            <w:r w:rsidR="00A40703" w:rsidRPr="009E5B06">
              <w:rPr>
                <w:rFonts w:ascii="Garamond" w:eastAsia="Times New Roman" w:hAnsi="Garamond" w:cs="Calibri"/>
                <w:color w:val="000000"/>
                <w:kern w:val="0"/>
                <w:sz w:val="20"/>
                <w:szCs w:val="20"/>
                <w:lang w:eastAsia="fr-FR"/>
                <w14:ligatures w14:val="none"/>
              </w:rPr>
              <w:t xml:space="preserve"> </w:t>
            </w:r>
          </w:p>
        </w:tc>
      </w:tr>
      <w:tr w:rsidR="005C0718" w:rsidRPr="00B05F3A" w14:paraId="50F0D3F2" w14:textId="77777777" w:rsidTr="00E43530">
        <w:trPr>
          <w:trHeight w:val="290"/>
        </w:trPr>
        <w:tc>
          <w:tcPr>
            <w:tcW w:w="2410" w:type="dxa"/>
            <w:tcBorders>
              <w:top w:val="nil"/>
              <w:left w:val="nil"/>
              <w:bottom w:val="nil"/>
              <w:right w:val="nil"/>
            </w:tcBorders>
            <w:noWrap/>
            <w:hideMark/>
          </w:tcPr>
          <w:p w14:paraId="22C47E92" w14:textId="086F4EAF"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Breman</w:t>
            </w:r>
            <w:r w:rsidR="005556DB" w:rsidRPr="009E5B06">
              <w:rPr>
                <w:rFonts w:ascii="Garamond" w:eastAsia="Times New Roman" w:hAnsi="Garamond" w:cs="Calibri"/>
                <w:color w:val="000000"/>
                <w:kern w:val="0"/>
                <w:sz w:val="20"/>
                <w:szCs w:val="20"/>
                <w:lang w:eastAsia="fr-FR"/>
                <w14:ligatures w14:val="none"/>
              </w:rPr>
              <w:t xml:space="preserve"> </w:t>
            </w:r>
            <w:r w:rsidR="005556DB" w:rsidRPr="009E5B06">
              <w:rPr>
                <w:rFonts w:ascii="Garamond" w:eastAsia="Times New Roman" w:hAnsi="Garamond" w:cs="Calibri"/>
                <w:i/>
                <w:iCs/>
                <w:color w:val="000000"/>
                <w:kern w:val="0"/>
                <w:sz w:val="20"/>
                <w:szCs w:val="20"/>
                <w:lang w:eastAsia="fr-FR"/>
                <w14:ligatures w14:val="none"/>
              </w:rPr>
              <w:t xml:space="preserve">et al. </w:t>
            </w:r>
            <w:r w:rsidR="005556DB" w:rsidRPr="009E5B06">
              <w:rPr>
                <w:rFonts w:ascii="Garamond" w:eastAsia="Times New Roman" w:hAnsi="Garamond" w:cs="Calibri"/>
                <w:i/>
                <w:iCs/>
                <w:color w:val="000000"/>
                <w:kern w:val="0"/>
                <w:sz w:val="20"/>
                <w:szCs w:val="20"/>
                <w:lang w:eastAsia="fr-FR"/>
                <w14:ligatures w14:val="none"/>
              </w:rPr>
              <w:fldChar w:fldCharType="begin"/>
            </w:r>
            <w:r w:rsidR="005556DB" w:rsidRPr="009E5B06">
              <w:rPr>
                <w:rFonts w:ascii="Garamond" w:eastAsia="Times New Roman" w:hAnsi="Garamond" w:cs="Calibri"/>
                <w:i/>
                <w:iCs/>
                <w:color w:val="000000"/>
                <w:kern w:val="0"/>
                <w:sz w:val="20"/>
                <w:szCs w:val="20"/>
                <w:lang w:eastAsia="fr-FR"/>
                <w14:ligatures w14:val="none"/>
              </w:rPr>
              <w:instrText xml:space="preserve"> ADDIN ZOTERO_ITEM CSL_CITATION {"citationID":"7Qh5PFCo","properties":{"formattedCitation":"[1]","plainCitation":"[1]","noteIndex":0},"citationItems":[{"id":3843,"uris":["http://zotero.org/users/1791235/items/WJLXLDJ4"],"itemData":{"id":3843,"type":"article-journal","abstract":"Increasing attention has been given to human monkeypox since the achievement of global smallpox eradication. Monkeypox, which was first described in Central Africa in 1970, resembles smallpox clinically but differs from it epidemiologically. Forty-seven cases of human monkeypox have occurred since 1970 in 5 Central and West African countries; 38 of these cases have been reported from Zaire. The evolution of the illness and the sequelae of monkeypox and smallpox are the same; monkeypox has a case-fatality rate of about 17%. Children below 10 years of age comprise 83% of the cases. All cases have occurred in tropical rainforest areas and clustering of cases has been observed in certain zones within countries and within families. Person-to-person spread may have occurred in 4 cases; the secondary attack rate among susceptible, very close family members was 7.5% (3 cases/40 contacts) and among all susceptible contacts was 3.3% (4 cases/123 contacts)-much lower than the 25-40% secondary attack rate that occurs with smallpox. Although the low transmission rate and the low frequency of disease indicate that monkeypox is not a public health problem, more data are needed.Whilst many animals near human monkeypox cases have been demonstrated to have orthopoxvirus antibodies, the natural reservoir(s) and the vector(s) of monkeypox virus are unknown. Studies are in progress to identify the natural cycle of monkeypox virus and to define better the clinical and epidemiological features of this disease.","container-title":"Bulletin of the World Health Organization","ISSN":"0042-9686","issue":"2","journalAbbreviation":"Bull World Health Organ","language":"eng","note":"PMID: 6249508\nPMCID: PMC2395797","page":"165-82","source":"PubMed","title":"Human monkeypox, 1970-79","volume":"58","author":[{"family":"Breman","given":"J. G."},{"family":"Kalisa-Ruti","given":""},{"family":"Steniowski","given":"M. V."},{"family":"Zanotto","given":"E."},{"family":"Gromyko","given":"A. I."},{"family":"Arita","given":"I."}],"issued":{"date-parts":[["1980"]]}}}],"schema":"https://github.com/citation-style-language/schema/raw/master/csl-citation.json"} </w:instrText>
            </w:r>
            <w:r w:rsidR="005556DB" w:rsidRPr="009E5B06">
              <w:rPr>
                <w:rFonts w:ascii="Garamond" w:eastAsia="Times New Roman" w:hAnsi="Garamond" w:cs="Calibri"/>
                <w:i/>
                <w:iCs/>
                <w:color w:val="000000"/>
                <w:kern w:val="0"/>
                <w:sz w:val="20"/>
                <w:szCs w:val="20"/>
                <w:lang w:eastAsia="fr-FR"/>
                <w14:ligatures w14:val="none"/>
              </w:rPr>
              <w:fldChar w:fldCharType="separate"/>
            </w:r>
            <w:r w:rsidR="005556DB" w:rsidRPr="009E5B06">
              <w:rPr>
                <w:rFonts w:ascii="Garamond" w:hAnsi="Garamond"/>
                <w:sz w:val="20"/>
                <w:szCs w:val="20"/>
              </w:rPr>
              <w:t>[1]</w:t>
            </w:r>
            <w:r w:rsidR="005556DB"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67386F6B" w14:textId="70785EE0"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1970</w:t>
            </w:r>
          </w:p>
        </w:tc>
        <w:tc>
          <w:tcPr>
            <w:tcW w:w="1212" w:type="dxa"/>
            <w:tcBorders>
              <w:top w:val="nil"/>
              <w:left w:val="nil"/>
              <w:bottom w:val="nil"/>
              <w:right w:val="nil"/>
            </w:tcBorders>
            <w:noWrap/>
            <w:hideMark/>
          </w:tcPr>
          <w:p w14:paraId="7B17478A" w14:textId="2E9BC735"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 xml:space="preserve">Liberia </w:t>
            </w:r>
          </w:p>
        </w:tc>
        <w:tc>
          <w:tcPr>
            <w:tcW w:w="1082" w:type="dxa"/>
            <w:tcBorders>
              <w:top w:val="nil"/>
              <w:left w:val="nil"/>
              <w:bottom w:val="nil"/>
              <w:right w:val="nil"/>
            </w:tcBorders>
            <w:noWrap/>
            <w:hideMark/>
          </w:tcPr>
          <w:p w14:paraId="47207A02" w14:textId="17992F52"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43F588C0" w14:textId="5A8C1D09"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3D8C086A" w14:textId="38BB5E63"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402B9C1B" w14:textId="0EC31386"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64108A3A" w14:textId="1E3DF34C"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6993CBC7" w14:textId="0C1C67EC"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L</w:t>
            </w:r>
            <w:r w:rsidR="007569C4">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65FD8308" w14:textId="5CCDF2BB"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4</w:t>
            </w:r>
          </w:p>
        </w:tc>
        <w:tc>
          <w:tcPr>
            <w:tcW w:w="1125" w:type="dxa"/>
            <w:tcBorders>
              <w:top w:val="nil"/>
              <w:left w:val="nil"/>
              <w:bottom w:val="nil"/>
              <w:right w:val="nil"/>
            </w:tcBorders>
            <w:noWrap/>
            <w:hideMark/>
          </w:tcPr>
          <w:p w14:paraId="0401B7B2" w14:textId="57652967"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0.0</w:t>
            </w:r>
          </w:p>
        </w:tc>
      </w:tr>
      <w:tr w:rsidR="007569C4" w:rsidRPr="00B05F3A" w14:paraId="38E4E0D8" w14:textId="77777777" w:rsidTr="00E43530">
        <w:trPr>
          <w:trHeight w:val="290"/>
        </w:trPr>
        <w:tc>
          <w:tcPr>
            <w:tcW w:w="2410" w:type="dxa"/>
            <w:tcBorders>
              <w:top w:val="nil"/>
              <w:left w:val="nil"/>
              <w:bottom w:val="nil"/>
              <w:right w:val="nil"/>
            </w:tcBorders>
            <w:noWrap/>
            <w:hideMark/>
          </w:tcPr>
          <w:p w14:paraId="41FFD22A" w14:textId="3AB82A2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 xml:space="preserve">Breman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{"citationID":"s0Tqgzwv","properties":{"formattedCitation":"[1]","plainCitation":"[1]","noteIndex":0},"citationItems":[{"id":3843,"uris":["http://zotero.org/users/1791235/items/WJLXLDJ4"],"itemData":{"id":3843,"type":"article-journal","abstract":"Increasing attention has been given to human monkeypox since the achievement of global smallpox eradication. Monkeypox, which was first described in Central Africa in 1970, resembles smallpox clinically but differs from it epidemiologically. Forty-seven cases of human monkeypox have occurred since 1970 in 5 Central and West African countries; 38 of these cases have been reported from Zaire. The evolution of the illness and the sequelae of monkeypox and smallpox are the same; monkeypox has a case-fatality rate of about 17%. Children below 10 years of age comprise 83% of the cases. All cases have occurred in tropical rainforest areas and clustering of cases has been observed in certain zones within countries and within families. Person-to-person spread may have occurred in 4 cases; the secondary attack rate among susceptible, very close family members was 7.5% (3 cases/40 contacts) and among all susceptible contacts was 3.3% (4 cases/123 contacts)-much lower than the 25-40% secondary attack rate that occurs with smallpox. Although the low transmission rate and the low frequency of disease indicate that monkeypox is not a public health problem, more data are needed.Whilst many animals near human monkeypox cases have been demonstrated to have orthopoxvirus antibodies, the natural reservoir(s) and the vector(s) of monkeypox virus are unknown. Studies are in progress to identify the natural cycle of monkeypox virus and to define better the clinical and epidemiological features of this disease.","container-title":"Bulletin of the World Health Organization","ISSN":"0042-9686","issue":"2","journalAbbreviation":"Bull World Health Organ","language":"eng","note":"PMID: 6249508\nPMCID: PMC2395797","page":"165-82","source":"PubMed","title":"Human monkeypox, 1970-79","volume":"58","author":[{"family":"Breman","given":"J. G."},{"family":"Kalisa-Ruti","given":""},{"family":"Steniowski","given":"M. V."},{"family":"Zanotto","given":"E."},{"family":"Gromyko","given":"A. I."},{"family":"Arita","given":"I."}],"issued":{"date-parts":[["1980"]]}}}],"schema":"https://github.com/citation-style-language/schema/raw/master/csl-citation.json"}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[1]</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0E2E7AA4" w14:textId="2B44B2EE"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1971</w:t>
            </w:r>
          </w:p>
        </w:tc>
        <w:tc>
          <w:tcPr>
            <w:tcW w:w="1212" w:type="dxa"/>
            <w:tcBorders>
              <w:top w:val="nil"/>
              <w:left w:val="nil"/>
              <w:bottom w:val="nil"/>
              <w:right w:val="nil"/>
            </w:tcBorders>
            <w:noWrap/>
            <w:hideMark/>
          </w:tcPr>
          <w:p w14:paraId="28238FD7" w14:textId="2BA1C90E"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Nigeria</w:t>
            </w:r>
          </w:p>
        </w:tc>
        <w:tc>
          <w:tcPr>
            <w:tcW w:w="1082" w:type="dxa"/>
            <w:tcBorders>
              <w:top w:val="nil"/>
              <w:left w:val="nil"/>
              <w:bottom w:val="nil"/>
              <w:right w:val="nil"/>
            </w:tcBorders>
            <w:noWrap/>
            <w:hideMark/>
          </w:tcPr>
          <w:p w14:paraId="7751EFA9" w14:textId="4EB19667"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1D642E51" w14:textId="77CFF017"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2751A016" w14:textId="08D9C9EC"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01772A7D" w14:textId="51D6A2E4"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53A59D41" w14:textId="0CE0818D"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138EA806" w14:textId="29A1A57D"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DC7FAD">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hideMark/>
          </w:tcPr>
          <w:p w14:paraId="62D0B236" w14:textId="56D5A138"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w:t>
            </w:r>
          </w:p>
        </w:tc>
        <w:tc>
          <w:tcPr>
            <w:tcW w:w="1125" w:type="dxa"/>
            <w:tcBorders>
              <w:top w:val="nil"/>
              <w:left w:val="nil"/>
              <w:bottom w:val="nil"/>
              <w:right w:val="nil"/>
            </w:tcBorders>
            <w:noWrap/>
            <w:hideMark/>
          </w:tcPr>
          <w:p w14:paraId="0A1DEB9F" w14:textId="10073C0F"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0.0</w:t>
            </w:r>
          </w:p>
        </w:tc>
      </w:tr>
      <w:tr w:rsidR="007569C4" w:rsidRPr="00B05F3A" w14:paraId="1219ED78" w14:textId="77777777" w:rsidTr="00E43530">
        <w:trPr>
          <w:trHeight w:val="290"/>
        </w:trPr>
        <w:tc>
          <w:tcPr>
            <w:tcW w:w="2410" w:type="dxa"/>
            <w:tcBorders>
              <w:top w:val="nil"/>
              <w:left w:val="nil"/>
              <w:bottom w:val="nil"/>
              <w:right w:val="nil"/>
            </w:tcBorders>
            <w:noWrap/>
            <w:hideMark/>
          </w:tcPr>
          <w:p w14:paraId="3F928D25" w14:textId="22455F0F"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 xml:space="preserve">Breman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{"citationID":"YLoeZTCe","properties":{"formattedCitation":"[1]","plainCitation":"[1]","noteIndex":0},"citationItems":[{"id":3843,"uris":["http://zotero.org/users/1791235/items/WJLXLDJ4"],"itemData":{"id":3843,"type":"article-journal","abstract":"Increasing attention has been given to human monkeypox since the achievement of global smallpox eradication. Monkeypox, which was first described in Central Africa in 1970, resembles smallpox clinically but differs from it epidemiologically. Forty-seven cases of human monkeypox have occurred since 1970 in 5 Central and West African countries; 38 of these cases have been reported from Zaire. The evolution of the illness and the sequelae of monkeypox and smallpox are the same; monkeypox has a case-fatality rate of about 17%. Children below 10 years of age comprise 83% of the cases. All cases have occurred in tropical rainforest areas and clustering of cases has been observed in certain zones within countries and within families. Person-to-person spread may have occurred in 4 cases; the secondary attack rate among susceptible, very close family members was 7.5% (3 cases/40 contacts) and among all susceptible contacts was 3.3% (4 cases/123 contacts)-much lower than the 25-40% secondary attack rate that occurs with smallpox. Although the low transmission rate and the low frequency of disease indicate that monkeypox is not a public health problem, more data are needed.Whilst many animals near human monkeypox cases have been demonstrated to have orthopoxvirus antibodies, the natural reservoir(s) and the vector(s) of monkeypox virus are unknown. Studies are in progress to identify the natural cycle of monkeypox virus and to define better the clinical and epidemiological features of this disease.","container-title":"Bulletin of the World Health Organization","ISSN":"0042-9686","issue":"2","journalAbbreviation":"Bull World Health Organ","language":"eng","note":"PMID: 6249508\nPMCID: PMC2395797","page":"165-82","source":"PubMed","title":"Human monkeypox, 1970-79","volume":"58","author":[{"family":"Breman","given":"J. G."},{"family":"Kalisa-Ruti","given":""},{"family":"Steniowski","given":"M. V."},{"family":"Zanotto","given":"E."},{"family":"Gromyko","given":"A. I."},{"family":"Arita","given":"I."}],"issued":{"date-parts":[["1980"]]}}}],"schema":"https://github.com/citation-style-language/schema/raw/master/csl-citation.json"}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[1]</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743D93A3" w14:textId="3659A5A3"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1979</w:t>
            </w:r>
          </w:p>
        </w:tc>
        <w:tc>
          <w:tcPr>
            <w:tcW w:w="1212" w:type="dxa"/>
            <w:tcBorders>
              <w:top w:val="nil"/>
              <w:left w:val="nil"/>
              <w:bottom w:val="nil"/>
              <w:right w:val="nil"/>
            </w:tcBorders>
            <w:noWrap/>
            <w:hideMark/>
          </w:tcPr>
          <w:p w14:paraId="7955D430" w14:textId="74D05458"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DRC</w:t>
            </w:r>
          </w:p>
        </w:tc>
        <w:tc>
          <w:tcPr>
            <w:tcW w:w="1082" w:type="dxa"/>
            <w:tcBorders>
              <w:top w:val="nil"/>
              <w:left w:val="nil"/>
              <w:bottom w:val="nil"/>
              <w:right w:val="nil"/>
            </w:tcBorders>
            <w:noWrap/>
            <w:hideMark/>
          </w:tcPr>
          <w:p w14:paraId="6CBA3EEE" w14:textId="05FCA860"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400D164A" w14:textId="0E57E074"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511CE907" w14:textId="321E6296"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5D248AB5" w14:textId="18B665EB"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5DEA2170" w14:textId="072276F3"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7A119DCD" w14:textId="47BC732C"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DC7FAD">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hideMark/>
          </w:tcPr>
          <w:p w14:paraId="10DFB2B1" w14:textId="565BAF37"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38</w:t>
            </w:r>
          </w:p>
        </w:tc>
        <w:tc>
          <w:tcPr>
            <w:tcW w:w="1125" w:type="dxa"/>
            <w:tcBorders>
              <w:top w:val="nil"/>
              <w:left w:val="nil"/>
              <w:bottom w:val="nil"/>
              <w:right w:val="nil"/>
            </w:tcBorders>
            <w:noWrap/>
            <w:hideMark/>
          </w:tcPr>
          <w:p w14:paraId="01937C73" w14:textId="5B24FD8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21.1</w:t>
            </w:r>
          </w:p>
        </w:tc>
      </w:tr>
      <w:tr w:rsidR="007569C4" w:rsidRPr="00B05F3A" w14:paraId="18FEAB13" w14:textId="77777777" w:rsidTr="00E43530">
        <w:trPr>
          <w:trHeight w:val="290"/>
        </w:trPr>
        <w:tc>
          <w:tcPr>
            <w:tcW w:w="2410" w:type="dxa"/>
            <w:tcBorders>
              <w:top w:val="nil"/>
              <w:left w:val="nil"/>
              <w:bottom w:val="nil"/>
              <w:right w:val="nil"/>
            </w:tcBorders>
            <w:noWrap/>
            <w:hideMark/>
          </w:tcPr>
          <w:p w14:paraId="07B7D616" w14:textId="7C04DD8C"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 xml:space="preserve">Arita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{"citationID":"VWF6ibrj","properties":{"formattedCitation":"[2]","plainCitation":"[2]","noteIndex":0},"citationItems":[{"id":4490,"uris":["http://zotero.org/users/1791235/items/XFE6XBUB"],"itemData":{"id":4490,"type":"article-journal","container-title":"The American journal of tropical medicine and hygiene","issue":"4","page":"781–789","source":"Google Scholar","title":"Human monkeypox: a newly emerged orthopoxvirus zoonosis in the tropical rain forests of Africa.","title-short":"Human monkeypox","volume":"34","author":[{"family":"Arita","given":"I."},{"family":"Jezek","given":"Z."},{"family":"Khodakevich","given":"L."},{"family":"Ruti","given":"Kalisa"}],"issued":{"date-parts":[["1985"]]}}}],"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[2]</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329CBF88" w14:textId="140B3EEF"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1983</w:t>
            </w:r>
          </w:p>
        </w:tc>
        <w:tc>
          <w:tcPr>
            <w:tcW w:w="1212" w:type="dxa"/>
            <w:tcBorders>
              <w:top w:val="nil"/>
              <w:left w:val="nil"/>
              <w:bottom w:val="nil"/>
              <w:right w:val="nil"/>
            </w:tcBorders>
            <w:noWrap/>
            <w:hideMark/>
          </w:tcPr>
          <w:p w14:paraId="426C82B6" w14:textId="7C376EA4"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Multinational</w:t>
            </w:r>
          </w:p>
        </w:tc>
        <w:tc>
          <w:tcPr>
            <w:tcW w:w="1082" w:type="dxa"/>
            <w:tcBorders>
              <w:top w:val="nil"/>
              <w:left w:val="nil"/>
              <w:bottom w:val="nil"/>
              <w:right w:val="nil"/>
            </w:tcBorders>
            <w:noWrap/>
            <w:hideMark/>
          </w:tcPr>
          <w:p w14:paraId="57DF4816" w14:textId="0EA6EEB4"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2BDD4C8F" w14:textId="2DDDA533"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63CED83F" w14:textId="3BA84B60"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114AE1F9" w14:textId="08F5BE7C"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00CBD551" w14:textId="5499A301"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26C33F52" w14:textId="1424F0BC"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DC7FAD">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hideMark/>
          </w:tcPr>
          <w:p w14:paraId="2B60FDCA" w14:textId="725348B8"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131</w:t>
            </w:r>
          </w:p>
        </w:tc>
        <w:tc>
          <w:tcPr>
            <w:tcW w:w="1125" w:type="dxa"/>
            <w:tcBorders>
              <w:top w:val="nil"/>
              <w:left w:val="nil"/>
              <w:bottom w:val="nil"/>
              <w:right w:val="nil"/>
            </w:tcBorders>
            <w:noWrap/>
            <w:hideMark/>
          </w:tcPr>
          <w:p w14:paraId="4B4B0B55" w14:textId="63657923"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13.0</w:t>
            </w:r>
          </w:p>
        </w:tc>
      </w:tr>
      <w:tr w:rsidR="005C0718" w:rsidRPr="00B05F3A" w14:paraId="22185B0C" w14:textId="77777777" w:rsidTr="00E43530">
        <w:trPr>
          <w:trHeight w:val="290"/>
        </w:trPr>
        <w:tc>
          <w:tcPr>
            <w:tcW w:w="2410" w:type="dxa"/>
            <w:tcBorders>
              <w:top w:val="nil"/>
              <w:left w:val="nil"/>
              <w:bottom w:val="nil"/>
              <w:right w:val="nil"/>
            </w:tcBorders>
            <w:noWrap/>
            <w:hideMark/>
          </w:tcPr>
          <w:p w14:paraId="7CF5C0A8" w14:textId="7EB6AAD9"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Durski</w:t>
            </w:r>
            <w:r w:rsidR="005556DB" w:rsidRPr="009E5B06">
              <w:rPr>
                <w:rFonts w:ascii="Garamond" w:eastAsia="Times New Roman" w:hAnsi="Garamond" w:cs="Calibri"/>
                <w:color w:val="000000"/>
                <w:kern w:val="0"/>
                <w:sz w:val="20"/>
                <w:szCs w:val="20"/>
                <w:lang w:eastAsia="fr-FR"/>
                <w14:ligatures w14:val="none"/>
              </w:rPr>
              <w:t xml:space="preserve"> </w:t>
            </w:r>
            <w:r w:rsidR="005556DB" w:rsidRPr="009E5B06">
              <w:rPr>
                <w:rFonts w:ascii="Garamond" w:eastAsia="Times New Roman" w:hAnsi="Garamond" w:cs="Calibri"/>
                <w:i/>
                <w:iCs/>
                <w:color w:val="000000"/>
                <w:kern w:val="0"/>
                <w:sz w:val="20"/>
                <w:szCs w:val="20"/>
                <w:lang w:eastAsia="fr-FR"/>
                <w14:ligatures w14:val="none"/>
              </w:rPr>
              <w:t xml:space="preserve">et al. </w:t>
            </w:r>
            <w:r w:rsidR="005556DB" w:rsidRPr="009E5B06">
              <w:rPr>
                <w:rFonts w:ascii="Garamond" w:eastAsia="Times New Roman" w:hAnsi="Garamond" w:cs="Calibri"/>
                <w:i/>
                <w:iCs/>
                <w:color w:val="000000"/>
                <w:kern w:val="0"/>
                <w:sz w:val="20"/>
                <w:szCs w:val="20"/>
                <w:lang w:eastAsia="fr-FR"/>
                <w14:ligatures w14:val="none"/>
              </w:rPr>
              <w:fldChar w:fldCharType="begin"/>
            </w:r>
            <w:r w:rsidR="00DE38BD" w:rsidRPr="009E5B06">
              <w:rPr>
                <w:rFonts w:ascii="Garamond" w:eastAsia="Times New Roman" w:hAnsi="Garamond" w:cs="Calibri"/>
                <w:i/>
                <w:iCs/>
                <w:color w:val="000000"/>
                <w:kern w:val="0"/>
                <w:sz w:val="20"/>
                <w:szCs w:val="20"/>
                <w:lang w:eastAsia="fr-FR"/>
                <w14:ligatures w14:val="none"/>
              </w:rPr>
              <w:instrText xml:space="preserve"> ADDIN ZOTERO_ITEM CSL_CITATION {"citationID":"FXTVHlvM","properties":{"formattedCitation":"[3]","plainCitation":"[3]","noteIndex":0},"citationItems":[{"id":4430,"uris":["http://zotero.org/users/1791235/items/IRD42T88"],"itemData":{"id":4430,"type":"article-journal","abstract":"The recent apparent increase in human monkeypox cases across a wide geographic area, the potential for further spread, and the lack of reliable surveillance have raised the level of concern for ...","container-title":"MMWR. Morbidity and Mortality Weekly Report","DOI":"10.15585/mmwr.mm6710a5","ISSN":"0149-21951545-861X","journalAbbreviation":"MMWR Morb Mortal Wkly Rep","language":"en-us","source":"www.cdc.gov","title":"Emergence of Monkeypox — West and Central Africa, 1970–2017","URL":"https://www.cdc.gov/mmwr/volumes/67/wr/mm6710a5.htm","volume":"67","author":[{"family":"Durski","given":"Kara N."}],"accessed":{"date-parts":[["2025",6,29]]},"issued":{"date-parts":[["2018"]]}}}],"schema":"https://github.com/citation-style-language/schema/raw/master/csl-citation.json"} </w:instrText>
            </w:r>
            <w:r w:rsidR="005556DB" w:rsidRPr="009E5B06">
              <w:rPr>
                <w:rFonts w:ascii="Garamond" w:eastAsia="Times New Roman" w:hAnsi="Garamond" w:cs="Calibri"/>
                <w:i/>
                <w:iCs/>
                <w:color w:val="000000"/>
                <w:kern w:val="0"/>
                <w:sz w:val="20"/>
                <w:szCs w:val="20"/>
                <w:lang w:eastAsia="fr-FR"/>
                <w14:ligatures w14:val="none"/>
              </w:rPr>
              <w:fldChar w:fldCharType="separate"/>
            </w:r>
            <w:r w:rsidR="00DE38BD" w:rsidRPr="009E5B06">
              <w:rPr>
                <w:rFonts w:ascii="Garamond" w:hAnsi="Garamond"/>
                <w:sz w:val="20"/>
                <w:szCs w:val="20"/>
              </w:rPr>
              <w:t>[3]</w:t>
            </w:r>
            <w:r w:rsidR="005556DB"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7AECD52E" w14:textId="2F9DD41A"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1984</w:t>
            </w:r>
          </w:p>
        </w:tc>
        <w:tc>
          <w:tcPr>
            <w:tcW w:w="1212" w:type="dxa"/>
            <w:tcBorders>
              <w:top w:val="nil"/>
              <w:left w:val="nil"/>
              <w:bottom w:val="nil"/>
              <w:right w:val="nil"/>
            </w:tcBorders>
            <w:noWrap/>
            <w:hideMark/>
          </w:tcPr>
          <w:p w14:paraId="6ABB3221" w14:textId="614C4D06"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CAR</w:t>
            </w:r>
          </w:p>
        </w:tc>
        <w:tc>
          <w:tcPr>
            <w:tcW w:w="1082" w:type="dxa"/>
            <w:tcBorders>
              <w:top w:val="nil"/>
              <w:left w:val="nil"/>
              <w:bottom w:val="nil"/>
              <w:right w:val="nil"/>
            </w:tcBorders>
            <w:noWrap/>
            <w:hideMark/>
          </w:tcPr>
          <w:p w14:paraId="2A7F15E6" w14:textId="38614221"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6877E055" w14:textId="61CB6AFE"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59E61D88" w14:textId="19133163"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6C07BF86" w14:textId="78AF70CF"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004B5EB6" w14:textId="596F6BCA"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667D164D" w14:textId="6B1F56B6" w:rsidR="005C0718"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M</w:t>
            </w:r>
            <w:r>
              <w:rPr>
                <w:rFonts w:ascii="Garamond" w:eastAsia="Times New Roman" w:hAnsi="Garamond" w:cs="Calibri"/>
                <w:color w:val="000000"/>
                <w:kern w:val="0"/>
                <w:sz w:val="20"/>
                <w:szCs w:val="20"/>
                <w:lang w:eastAsia="fr-FR"/>
                <w14:ligatures w14:val="none"/>
              </w:rPr>
              <w:t>oderate</w:t>
            </w:r>
          </w:p>
        </w:tc>
        <w:tc>
          <w:tcPr>
            <w:tcW w:w="1077" w:type="dxa"/>
            <w:tcBorders>
              <w:top w:val="nil"/>
              <w:left w:val="nil"/>
              <w:bottom w:val="nil"/>
              <w:right w:val="nil"/>
            </w:tcBorders>
            <w:noWrap/>
            <w:hideMark/>
          </w:tcPr>
          <w:p w14:paraId="67CD6BED" w14:textId="7D8F3F94"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6</w:t>
            </w:r>
          </w:p>
        </w:tc>
        <w:tc>
          <w:tcPr>
            <w:tcW w:w="1125" w:type="dxa"/>
            <w:tcBorders>
              <w:top w:val="nil"/>
              <w:left w:val="nil"/>
              <w:bottom w:val="nil"/>
              <w:right w:val="nil"/>
            </w:tcBorders>
            <w:noWrap/>
            <w:hideMark/>
          </w:tcPr>
          <w:p w14:paraId="2AC6A799" w14:textId="61B233CB"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0.0</w:t>
            </w:r>
          </w:p>
        </w:tc>
      </w:tr>
      <w:tr w:rsidR="007569C4" w:rsidRPr="00B05F3A" w14:paraId="2F03238D" w14:textId="77777777" w:rsidTr="00E43530">
        <w:trPr>
          <w:trHeight w:val="290"/>
        </w:trPr>
        <w:tc>
          <w:tcPr>
            <w:tcW w:w="2410" w:type="dxa"/>
            <w:tcBorders>
              <w:top w:val="nil"/>
              <w:left w:val="nil"/>
              <w:bottom w:val="nil"/>
              <w:right w:val="nil"/>
            </w:tcBorders>
            <w:noWrap/>
            <w:hideMark/>
          </w:tcPr>
          <w:p w14:paraId="1B699342" w14:textId="68B4175F"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Jezek</w:t>
            </w:r>
            <w:r>
              <w:rPr>
                <w:rFonts w:ascii="Garamond" w:eastAsia="Times New Roman" w:hAnsi="Garamond" w:cs="Calibri"/>
                <w:color w:val="000000"/>
                <w:kern w:val="0"/>
                <w:sz w:val="20"/>
                <w:szCs w:val="20"/>
                <w:lang w:eastAsia="fr-FR"/>
                <w14:ligatures w14:val="none"/>
              </w:rPr>
              <w:t xml:space="preserve">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{"citationID":"wm6uuJnv","properties":{"formattedCitation":"[4]","plainCitation":"[4]","noteIndex":0},"citationItems":[{"id":3582,"uris":["http://zotero.org/users/1791235/items/WMFH8GLN"],"itemData":{"id":3582,"type":"article-journal","container-title":"Journal of Infectious Diseases","DOI":"10.1093/infdis/156.2.293","ISSN":"0022-1899, 1537-6613","issue":"2","journalAbbreviation":"Journal of Infectious Diseases","language":"en","page":"293-8","source":"DOI.org (Crossref)","title":"Human Monkeypox: Clinical Features of 282 Patients","title-short":"Human Monkeypox","volume":"156","author":[{"family":"Jezek","given":"Z."},{"family":"Szczeniowski","given":"M."},{"family":"Paluku","given":"K. M."},{"family":"Mutombo","given":"M."}],"issued":{"date-parts":[["1987"]]}}}],"schema":"https://github.com/citation-style-language/schema/raw/master/csl-citation.json"}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[4]</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3C4311C9" w14:textId="5FB5A17D"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1985</w:t>
            </w:r>
          </w:p>
        </w:tc>
        <w:tc>
          <w:tcPr>
            <w:tcW w:w="1212" w:type="dxa"/>
            <w:tcBorders>
              <w:top w:val="nil"/>
              <w:left w:val="nil"/>
              <w:bottom w:val="nil"/>
              <w:right w:val="nil"/>
            </w:tcBorders>
            <w:noWrap/>
            <w:hideMark/>
          </w:tcPr>
          <w:p w14:paraId="740E1872" w14:textId="03DADF4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DRC</w:t>
            </w:r>
          </w:p>
        </w:tc>
        <w:tc>
          <w:tcPr>
            <w:tcW w:w="1082" w:type="dxa"/>
            <w:tcBorders>
              <w:top w:val="nil"/>
              <w:left w:val="nil"/>
              <w:bottom w:val="nil"/>
              <w:right w:val="nil"/>
            </w:tcBorders>
            <w:noWrap/>
            <w:hideMark/>
          </w:tcPr>
          <w:p w14:paraId="5BCCB1BE" w14:textId="5A8435AB"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56CBA841" w14:textId="69F89408"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5E02A479" w14:textId="2DF718F8"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266C8E26" w14:textId="52BBB493"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2D9619A1" w14:textId="79BCA99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7261F673" w14:textId="7E08450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5F2A28">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hideMark/>
          </w:tcPr>
          <w:p w14:paraId="33388620" w14:textId="643E52AC"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282</w:t>
            </w:r>
          </w:p>
        </w:tc>
        <w:tc>
          <w:tcPr>
            <w:tcW w:w="1125" w:type="dxa"/>
            <w:tcBorders>
              <w:top w:val="nil"/>
              <w:left w:val="nil"/>
              <w:bottom w:val="nil"/>
              <w:right w:val="nil"/>
            </w:tcBorders>
            <w:noWrap/>
            <w:hideMark/>
          </w:tcPr>
          <w:p w14:paraId="795AE4A9" w14:textId="3842C150"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9.6</w:t>
            </w:r>
          </w:p>
        </w:tc>
      </w:tr>
      <w:tr w:rsidR="007569C4" w:rsidRPr="00B05F3A" w14:paraId="401FE1E7" w14:textId="77777777" w:rsidTr="00E43530">
        <w:trPr>
          <w:trHeight w:val="290"/>
        </w:trPr>
        <w:tc>
          <w:tcPr>
            <w:tcW w:w="2410" w:type="dxa"/>
            <w:tcBorders>
              <w:top w:val="nil"/>
              <w:left w:val="nil"/>
              <w:bottom w:val="nil"/>
              <w:right w:val="nil"/>
            </w:tcBorders>
            <w:noWrap/>
            <w:hideMark/>
          </w:tcPr>
          <w:p w14:paraId="2677B150" w14:textId="4D039674"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Jezek</w:t>
            </w:r>
            <w:r>
              <w:rPr>
                <w:rFonts w:ascii="Garamond" w:eastAsia="Times New Roman" w:hAnsi="Garamond" w:cs="Calibri"/>
                <w:color w:val="000000"/>
                <w:kern w:val="0"/>
                <w:sz w:val="20"/>
                <w:szCs w:val="20"/>
                <w:lang w:eastAsia="fr-FR"/>
                <w14:ligatures w14:val="none"/>
              </w:rPr>
              <w:t xml:space="preserve">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{"citationID":"tQSrL4RA","properties":{"formattedCitation":"[5]","plainCitation":"[5]","noteIndex":0},"citationItems":[{"id":3584,"uris":["http://zotero.org/users/1791235/items/S59Z6XAW"],"itemData":{"id":3584,"type":"article-journal","container-title":"Journal of Infectious Diseases","DOI":"10.1093/infdis/154.4.551","ISSN":"0022-1899, 1537-6613","issue":"4","journalAbbreviation":"Journal of Infectious Diseases","language":"en","page":"551-5","source":"DOI.org (Crossref)","title":"Human Monkeypox: A Study of 2,510 Contacts of 214 Patients","title-short":"Human Monkeypox","volume":"154","author":[{"family":"Jezek","given":"Z."},{"family":"Marennikova","given":"S. S."},{"family":"Mutumbo","given":"M."},{"family":"Nakano","given":"J. H."},{"family":"Paluku","given":"K. M."},{"family":"Szczeniowski","given":"M."}],"issued":{"date-parts":[["1986"]]}}}],"schema":"https://github.com/citation-style-language/schema/raw/master/csl-citation.json"}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[5]</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58DA22C7" w14:textId="1AA05A2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1986</w:t>
            </w:r>
          </w:p>
        </w:tc>
        <w:tc>
          <w:tcPr>
            <w:tcW w:w="1212" w:type="dxa"/>
            <w:tcBorders>
              <w:top w:val="nil"/>
              <w:left w:val="nil"/>
              <w:bottom w:val="nil"/>
              <w:right w:val="nil"/>
            </w:tcBorders>
            <w:noWrap/>
            <w:hideMark/>
          </w:tcPr>
          <w:p w14:paraId="43750888" w14:textId="199633EE"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DRC</w:t>
            </w:r>
          </w:p>
        </w:tc>
        <w:tc>
          <w:tcPr>
            <w:tcW w:w="1082" w:type="dxa"/>
            <w:tcBorders>
              <w:top w:val="nil"/>
              <w:left w:val="nil"/>
              <w:bottom w:val="nil"/>
              <w:right w:val="nil"/>
            </w:tcBorders>
            <w:noWrap/>
            <w:hideMark/>
          </w:tcPr>
          <w:p w14:paraId="7BD513E2" w14:textId="320E7263"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3868B412" w14:textId="119C94B7"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23D0F0D4" w14:textId="47B8327C"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21B3CA23" w14:textId="3AA50C11"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095E6162" w14:textId="13C89EBF"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04CA96B7" w14:textId="1C2B27FF"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5F2A28">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hideMark/>
          </w:tcPr>
          <w:p w14:paraId="6B04A11A" w14:textId="215F4B41"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276</w:t>
            </w:r>
          </w:p>
        </w:tc>
        <w:tc>
          <w:tcPr>
            <w:tcW w:w="1125" w:type="dxa"/>
            <w:tcBorders>
              <w:top w:val="nil"/>
              <w:left w:val="nil"/>
              <w:bottom w:val="nil"/>
              <w:right w:val="nil"/>
            </w:tcBorders>
            <w:noWrap/>
            <w:hideMark/>
          </w:tcPr>
          <w:p w14:paraId="7F6AD2A4" w14:textId="12D20548"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2.2</w:t>
            </w:r>
          </w:p>
        </w:tc>
      </w:tr>
      <w:tr w:rsidR="005C0718" w:rsidRPr="00B05F3A" w14:paraId="6FEB38C5" w14:textId="77777777" w:rsidTr="00E43530">
        <w:trPr>
          <w:trHeight w:val="290"/>
        </w:trPr>
        <w:tc>
          <w:tcPr>
            <w:tcW w:w="2410" w:type="dxa"/>
            <w:tcBorders>
              <w:top w:val="nil"/>
              <w:left w:val="nil"/>
              <w:bottom w:val="nil"/>
              <w:right w:val="nil"/>
            </w:tcBorders>
            <w:noWrap/>
            <w:hideMark/>
          </w:tcPr>
          <w:p w14:paraId="222A2C5E" w14:textId="08E817B5"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Durski</w:t>
            </w:r>
            <w:r w:rsidR="005A036D" w:rsidRPr="009E5B06">
              <w:rPr>
                <w:rFonts w:ascii="Garamond" w:eastAsia="Times New Roman" w:hAnsi="Garamond" w:cs="Calibri"/>
                <w:color w:val="000000"/>
                <w:kern w:val="0"/>
                <w:sz w:val="20"/>
                <w:szCs w:val="20"/>
                <w:lang w:eastAsia="fr-FR"/>
                <w14:ligatures w14:val="none"/>
              </w:rPr>
              <w:t xml:space="preserve"> </w:t>
            </w:r>
            <w:r w:rsidR="005A036D" w:rsidRPr="009E5B06">
              <w:rPr>
                <w:rFonts w:ascii="Garamond" w:eastAsia="Times New Roman" w:hAnsi="Garamond" w:cs="Calibri"/>
                <w:i/>
                <w:iCs/>
                <w:color w:val="000000"/>
                <w:kern w:val="0"/>
                <w:sz w:val="20"/>
                <w:szCs w:val="20"/>
                <w:lang w:eastAsia="fr-FR"/>
                <w14:ligatures w14:val="none"/>
              </w:rPr>
              <w:t xml:space="preserve">et al. </w:t>
            </w:r>
            <w:r w:rsidR="005A036D" w:rsidRPr="009E5B06">
              <w:rPr>
                <w:rFonts w:ascii="Garamond" w:eastAsia="Times New Roman" w:hAnsi="Garamond" w:cs="Calibri"/>
                <w:i/>
                <w:iCs/>
                <w:color w:val="000000"/>
                <w:kern w:val="0"/>
                <w:sz w:val="20"/>
                <w:szCs w:val="20"/>
                <w:lang w:eastAsia="fr-FR"/>
                <w14:ligatures w14:val="none"/>
              </w:rPr>
              <w:fldChar w:fldCharType="begin"/>
            </w:r>
            <w:r w:rsidR="00EA0130" w:rsidRPr="009E5B06">
              <w:rPr>
                <w:rFonts w:ascii="Garamond" w:eastAsia="Times New Roman" w:hAnsi="Garamond" w:cs="Calibri"/>
                <w:i/>
                <w:iCs/>
                <w:color w:val="000000"/>
                <w:kern w:val="0"/>
                <w:sz w:val="20"/>
                <w:szCs w:val="20"/>
                <w:lang w:eastAsia="fr-FR"/>
                <w14:ligatures w14:val="none"/>
              </w:rPr>
              <w:instrText xml:space="preserve"> ADDIN ZOTERO_ITEM CSL_CITATION {"citationID":"tdtfGxjN","properties":{"formattedCitation":"[3]","plainCitation":"[3]","noteIndex":0},"citationItems":[{"id":4430,"uris":["http://zotero.org/users/1791235/items/IRD42T88"],"itemData":{"id":4430,"type":"article-journal","abstract":"The recent apparent increase in human monkeypox cases across a wide geographic area, the potential for further spread, and the lack of reliable surveillance have raised the level of concern for ...","container-title":"MMWR. Morbidity and Mortality Weekly Report","DOI":"10.15585/mmwr.mm6710a5","ISSN":"0149-21951545-861X","journalAbbreviation":"MMWR Morb Mortal Wkly Rep","language":"en-us","source":"www.cdc.gov","title":"Emergence of Monkeypox — West and Central Africa, 1970–2017","URL":"https://www.cdc.gov/mmwr/volumes/67/wr/mm6710a5.htm","volume":"67","author":[{"family":"Durski","given":"Kara N."}],"accessed":{"date-parts":[["2025",6,29]]},"issued":{"date-parts":[["2018"]]}}}],"schema":"https://github.com/citation-style-language/schema/raw/master/csl-citation.json"} </w:instrText>
            </w:r>
            <w:r w:rsidR="005A036D" w:rsidRPr="009E5B06">
              <w:rPr>
                <w:rFonts w:ascii="Garamond" w:eastAsia="Times New Roman" w:hAnsi="Garamond" w:cs="Calibri"/>
                <w:i/>
                <w:iCs/>
                <w:color w:val="000000"/>
                <w:kern w:val="0"/>
                <w:sz w:val="20"/>
                <w:szCs w:val="20"/>
                <w:lang w:eastAsia="fr-FR"/>
                <w14:ligatures w14:val="none"/>
              </w:rPr>
              <w:fldChar w:fldCharType="separate"/>
            </w:r>
            <w:r w:rsidR="005A036D" w:rsidRPr="009E5B06">
              <w:rPr>
                <w:rFonts w:ascii="Garamond" w:hAnsi="Garamond"/>
                <w:sz w:val="20"/>
                <w:szCs w:val="20"/>
              </w:rPr>
              <w:t>[3]</w:t>
            </w:r>
            <w:r w:rsidR="005A036D"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46F4D6A2" w14:textId="074171A8"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1987</w:t>
            </w:r>
          </w:p>
        </w:tc>
        <w:tc>
          <w:tcPr>
            <w:tcW w:w="1212" w:type="dxa"/>
            <w:tcBorders>
              <w:top w:val="nil"/>
              <w:left w:val="nil"/>
              <w:bottom w:val="nil"/>
              <w:right w:val="nil"/>
            </w:tcBorders>
            <w:noWrap/>
            <w:hideMark/>
          </w:tcPr>
          <w:p w14:paraId="39DADF71" w14:textId="67B813FE"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Gabon</w:t>
            </w:r>
          </w:p>
        </w:tc>
        <w:tc>
          <w:tcPr>
            <w:tcW w:w="1082" w:type="dxa"/>
            <w:tcBorders>
              <w:top w:val="nil"/>
              <w:left w:val="nil"/>
              <w:bottom w:val="nil"/>
              <w:right w:val="nil"/>
            </w:tcBorders>
            <w:noWrap/>
            <w:hideMark/>
          </w:tcPr>
          <w:p w14:paraId="1CBABCAF" w14:textId="11DF28E9"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42E535C1" w14:textId="309E21C2"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6E4BFF15" w14:textId="3A8D695C"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7485BDE4" w14:textId="1C941A42"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49D2B802" w14:textId="7CE39A08"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33E9F906" w14:textId="5941ECBD" w:rsidR="005C0718"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M</w:t>
            </w:r>
            <w:r>
              <w:rPr>
                <w:rFonts w:ascii="Garamond" w:eastAsia="Times New Roman" w:hAnsi="Garamond" w:cs="Calibri"/>
                <w:color w:val="000000"/>
                <w:kern w:val="0"/>
                <w:sz w:val="20"/>
                <w:szCs w:val="20"/>
                <w:lang w:eastAsia="fr-FR"/>
                <w14:ligatures w14:val="none"/>
              </w:rPr>
              <w:t>oderate</w:t>
            </w:r>
          </w:p>
        </w:tc>
        <w:tc>
          <w:tcPr>
            <w:tcW w:w="1077" w:type="dxa"/>
            <w:tcBorders>
              <w:top w:val="nil"/>
              <w:left w:val="nil"/>
              <w:bottom w:val="nil"/>
              <w:right w:val="nil"/>
            </w:tcBorders>
            <w:noWrap/>
            <w:hideMark/>
          </w:tcPr>
          <w:p w14:paraId="32031BEB" w14:textId="4C468305"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5</w:t>
            </w:r>
          </w:p>
        </w:tc>
        <w:tc>
          <w:tcPr>
            <w:tcW w:w="1125" w:type="dxa"/>
            <w:tcBorders>
              <w:top w:val="nil"/>
              <w:left w:val="nil"/>
              <w:bottom w:val="nil"/>
              <w:right w:val="nil"/>
            </w:tcBorders>
            <w:noWrap/>
            <w:hideMark/>
          </w:tcPr>
          <w:p w14:paraId="52144D6D" w14:textId="7D7F3DC8"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40.0</w:t>
            </w:r>
          </w:p>
        </w:tc>
      </w:tr>
      <w:tr w:rsidR="005C0718" w:rsidRPr="00B05F3A" w14:paraId="4853EB5E" w14:textId="77777777" w:rsidTr="00E43530">
        <w:trPr>
          <w:trHeight w:val="290"/>
        </w:trPr>
        <w:tc>
          <w:tcPr>
            <w:tcW w:w="2410" w:type="dxa"/>
            <w:tcBorders>
              <w:top w:val="nil"/>
              <w:left w:val="nil"/>
              <w:bottom w:val="nil"/>
              <w:right w:val="nil"/>
            </w:tcBorders>
            <w:noWrap/>
            <w:hideMark/>
          </w:tcPr>
          <w:p w14:paraId="2DEDC62B" w14:textId="365205EB"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Meyer</w:t>
            </w:r>
            <w:r w:rsidR="00EA0130" w:rsidRPr="009E5B06">
              <w:rPr>
                <w:rFonts w:ascii="Garamond" w:eastAsia="Times New Roman" w:hAnsi="Garamond" w:cs="Calibri"/>
                <w:color w:val="000000"/>
                <w:kern w:val="0"/>
                <w:sz w:val="20"/>
                <w:szCs w:val="20"/>
                <w:lang w:eastAsia="fr-FR"/>
                <w14:ligatures w14:val="none"/>
              </w:rPr>
              <w:t xml:space="preserve"> </w:t>
            </w:r>
            <w:r w:rsidR="00EA0130" w:rsidRPr="009E5B06">
              <w:rPr>
                <w:rFonts w:ascii="Garamond" w:eastAsia="Times New Roman" w:hAnsi="Garamond" w:cs="Calibri"/>
                <w:i/>
                <w:iCs/>
                <w:color w:val="000000"/>
                <w:kern w:val="0"/>
                <w:sz w:val="20"/>
                <w:szCs w:val="20"/>
                <w:lang w:eastAsia="fr-FR"/>
                <w14:ligatures w14:val="none"/>
              </w:rPr>
              <w:t xml:space="preserve">et al. </w:t>
            </w:r>
            <w:r w:rsidR="00EA0130" w:rsidRPr="009E5B06">
              <w:rPr>
                <w:rFonts w:ascii="Garamond" w:eastAsia="Times New Roman" w:hAnsi="Garamond" w:cs="Calibri"/>
                <w:i/>
                <w:iCs/>
                <w:color w:val="000000"/>
                <w:kern w:val="0"/>
                <w:sz w:val="20"/>
                <w:szCs w:val="20"/>
                <w:lang w:eastAsia="fr-FR"/>
                <w14:ligatures w14:val="none"/>
              </w:rPr>
              <w:fldChar w:fldCharType="begin"/>
            </w:r>
            <w:r w:rsidR="00EA0130" w:rsidRPr="009E5B06">
              <w:rPr>
                <w:rFonts w:ascii="Garamond" w:eastAsia="Times New Roman" w:hAnsi="Garamond" w:cs="Calibri"/>
                <w:i/>
                <w:iCs/>
                <w:color w:val="000000"/>
                <w:kern w:val="0"/>
                <w:sz w:val="20"/>
                <w:szCs w:val="20"/>
                <w:lang w:eastAsia="fr-FR"/>
                <w14:ligatures w14:val="none"/>
              </w:rPr>
              <w:instrText xml:space="preserve"> ADDIN ZOTERO_ITEM CSL_CITATION {"citationID":"j6fRZslJ","properties":{"formattedCitation":"[6]","plainCitation":"[6]","noteIndex":0},"citationItems":[{"id":3560,"uris":["http://zotero.org/users/1791235/items/IAXJMCZP"],"itemData":{"id":3560,"type":"article-journal","abstract":"Seven outbreaks of disease characterized by a pustular rash and suspected to have been caused by human monkeypox virus were investigated. The outbreaks occurred between February and August 2001 in the province of Equateur in the Democratic Republic of Congo. The outbreaks involved a total of 31 persons and caused five deaths. Specimens from 14 patients were available and were analyzed by electron microscopy, virus isolation, and PCR assays specific for monkeypox virus and varicella-zoster virus. We provide evidence that two outbreaks were indeed caused by monkeypox virus (16 cases, with four deaths), that in two outbreaks both monkeypox and varicella-zoster virus were involved (seven cases, with one death), and that two outbreaks were cases of chickenpox caused by infection with varicella-zoster virus (six cases, with no deaths). In one outbreak, no evidence for either monkeypox or chickenpox was found (two cases, with no deaths).","container-title":"Journal of Clinical Microbiology","DOI":"10.1128/JCM.40.8.2919-2921.2002","ISSN":"0095-1137","issue":"8","journalAbbreviation":"J Clin Microbiol","note":"PMID: 12149352\nPMCID: PMC120683","page":"2919-21","source":"PubMed Central","title":"Outbreaks of Disease Suspected of Being Due to Human Monkeypox Virus Infection in the Democratic Republic of Congo in 2001","volume":"40","author":[{"family":"Meyer","given":"Hermann"},{"family":"Perrichot","given":"Mathilde"},{"family":"Stemmler","given":"Markus"},{"family":"Emmerich","given":"Petra"},{"family":"Schmitz","given":"Herbert"},{"family":"Varaine","given":"Francis"},{"family":"Shungu","given":"Robert"},{"family":"Tshioko","given":"Florimond"},{"family":"Formenty","given":"Pierre"}],"issued":{"date-parts":[["2002"]]}}}],"schema":"https://github.com/citation-style-language/schema/raw/master/csl-citation.json"} </w:instrText>
            </w:r>
            <w:r w:rsidR="00EA0130" w:rsidRPr="009E5B06">
              <w:rPr>
                <w:rFonts w:ascii="Garamond" w:eastAsia="Times New Roman" w:hAnsi="Garamond" w:cs="Calibri"/>
                <w:i/>
                <w:iCs/>
                <w:color w:val="000000"/>
                <w:kern w:val="0"/>
                <w:sz w:val="20"/>
                <w:szCs w:val="20"/>
                <w:lang w:eastAsia="fr-FR"/>
                <w14:ligatures w14:val="none"/>
              </w:rPr>
              <w:fldChar w:fldCharType="separate"/>
            </w:r>
            <w:r w:rsidR="00EA0130" w:rsidRPr="009E5B06">
              <w:rPr>
                <w:rFonts w:ascii="Garamond" w:hAnsi="Garamond"/>
                <w:sz w:val="20"/>
                <w:szCs w:val="20"/>
              </w:rPr>
              <w:t>[6]</w:t>
            </w:r>
            <w:r w:rsidR="00EA0130"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15D828FB" w14:textId="34C0CF55"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2001</w:t>
            </w:r>
          </w:p>
        </w:tc>
        <w:tc>
          <w:tcPr>
            <w:tcW w:w="1212" w:type="dxa"/>
            <w:tcBorders>
              <w:top w:val="nil"/>
              <w:left w:val="nil"/>
              <w:bottom w:val="nil"/>
              <w:right w:val="nil"/>
            </w:tcBorders>
            <w:noWrap/>
            <w:hideMark/>
          </w:tcPr>
          <w:p w14:paraId="20A8D1FE" w14:textId="7297846A"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DRC</w:t>
            </w:r>
          </w:p>
        </w:tc>
        <w:tc>
          <w:tcPr>
            <w:tcW w:w="1082" w:type="dxa"/>
            <w:tcBorders>
              <w:top w:val="nil"/>
              <w:left w:val="nil"/>
              <w:bottom w:val="nil"/>
              <w:right w:val="nil"/>
            </w:tcBorders>
            <w:noWrap/>
            <w:hideMark/>
          </w:tcPr>
          <w:p w14:paraId="078CC895" w14:textId="0BC5C219"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3EF79E4C" w14:textId="5CFFE1B3"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3C809CDB" w14:textId="295AD8DD"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2D0E4FD5" w14:textId="7F12B0C9"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191962CB" w14:textId="4151F6E7"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7DEFB300" w14:textId="22797759" w:rsidR="005C0718"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L</w:t>
            </w:r>
            <w:r>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6FB2FC1C" w14:textId="5743BD4F"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16</w:t>
            </w:r>
          </w:p>
        </w:tc>
        <w:tc>
          <w:tcPr>
            <w:tcW w:w="1125" w:type="dxa"/>
            <w:tcBorders>
              <w:top w:val="nil"/>
              <w:left w:val="nil"/>
              <w:bottom w:val="nil"/>
              <w:right w:val="nil"/>
            </w:tcBorders>
            <w:noWrap/>
            <w:hideMark/>
          </w:tcPr>
          <w:p w14:paraId="58D040D4" w14:textId="549B5CE9"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31.3</w:t>
            </w:r>
          </w:p>
        </w:tc>
      </w:tr>
      <w:tr w:rsidR="005C0718" w:rsidRPr="00B05F3A" w14:paraId="6E69B6C5" w14:textId="77777777" w:rsidTr="00E43530">
        <w:trPr>
          <w:trHeight w:val="290"/>
        </w:trPr>
        <w:tc>
          <w:tcPr>
            <w:tcW w:w="2410" w:type="dxa"/>
            <w:tcBorders>
              <w:top w:val="nil"/>
              <w:left w:val="nil"/>
              <w:bottom w:val="nil"/>
              <w:right w:val="nil"/>
            </w:tcBorders>
            <w:noWrap/>
            <w:hideMark/>
          </w:tcPr>
          <w:p w14:paraId="567953A2" w14:textId="3DD89574"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Durski</w:t>
            </w:r>
            <w:r w:rsidR="00EA0130" w:rsidRPr="009E5B06">
              <w:rPr>
                <w:rFonts w:ascii="Garamond" w:eastAsia="Times New Roman" w:hAnsi="Garamond" w:cs="Calibri"/>
                <w:color w:val="000000"/>
                <w:kern w:val="0"/>
                <w:sz w:val="20"/>
                <w:szCs w:val="20"/>
                <w:lang w:eastAsia="fr-FR"/>
                <w14:ligatures w14:val="none"/>
              </w:rPr>
              <w:t xml:space="preserve"> </w:t>
            </w:r>
            <w:r w:rsidR="00EA0130" w:rsidRPr="009E5B06">
              <w:rPr>
                <w:rFonts w:ascii="Garamond" w:eastAsia="Times New Roman" w:hAnsi="Garamond" w:cs="Calibri"/>
                <w:i/>
                <w:iCs/>
                <w:color w:val="000000"/>
                <w:kern w:val="0"/>
                <w:sz w:val="20"/>
                <w:szCs w:val="20"/>
                <w:lang w:eastAsia="fr-FR"/>
                <w14:ligatures w14:val="none"/>
              </w:rPr>
              <w:t xml:space="preserve">et al. </w:t>
            </w:r>
            <w:r w:rsidR="00EA0130" w:rsidRPr="009E5B06">
              <w:rPr>
                <w:rFonts w:ascii="Garamond" w:eastAsia="Times New Roman" w:hAnsi="Garamond" w:cs="Calibri"/>
                <w:i/>
                <w:iCs/>
                <w:color w:val="000000"/>
                <w:kern w:val="0"/>
                <w:sz w:val="20"/>
                <w:szCs w:val="20"/>
                <w:lang w:eastAsia="fr-FR"/>
                <w14:ligatures w14:val="none"/>
              </w:rPr>
              <w:fldChar w:fldCharType="begin"/>
            </w:r>
            <w:r w:rsidR="00CD4AB7" w:rsidRPr="009E5B06">
              <w:rPr>
                <w:rFonts w:ascii="Garamond" w:eastAsia="Times New Roman" w:hAnsi="Garamond" w:cs="Calibri"/>
                <w:i/>
                <w:iCs/>
                <w:color w:val="000000"/>
                <w:kern w:val="0"/>
                <w:sz w:val="20"/>
                <w:szCs w:val="20"/>
                <w:lang w:eastAsia="fr-FR"/>
                <w14:ligatures w14:val="none"/>
              </w:rPr>
              <w:instrText xml:space="preserve"> ADDIN ZOTERO_ITEM CSL_CITATION {"citationID":"oxBEqK1p","properties":{"formattedCitation":"[3]","plainCitation":"[3]","noteIndex":0},"citationItems":[{"id":4430,"uris":["http://zotero.org/users/1791235/items/IRD42T88"],"itemData":{"id":4430,"type":"article-journal","abstract":"The recent apparent increase in human monkeypox cases across a wide geographic area, the potential for further spread, and the lack of reliable surveillance have raised the level of concern for ...","container-title":"MMWR. Morbidity and Mortality Weekly Report","DOI":"10.15585/mmwr.mm6710a5","ISSN":"0149-21951545-861X","journalAbbreviation":"MMWR Morb Mortal Wkly Rep","language":"en-us","source":"www.cdc.gov","title":"Emergence of Monkeypox — West and Central Africa, 1970–2017","URL":"https://www.cdc.gov/mmwr/volumes/67/wr/mm6710a5.htm","volume":"67","author":[{"family":"Durski","given":"Kara N."}],"accessed":{"date-parts":[["2025",6,29]]},"issued":{"date-parts":[["2018"]]}}}],"schema":"https://github.com/citation-style-language/schema/raw/master/csl-citation.json"} </w:instrText>
            </w:r>
            <w:r w:rsidR="00EA0130" w:rsidRPr="009E5B06">
              <w:rPr>
                <w:rFonts w:ascii="Garamond" w:eastAsia="Times New Roman" w:hAnsi="Garamond" w:cs="Calibri"/>
                <w:i/>
                <w:iCs/>
                <w:color w:val="000000"/>
                <w:kern w:val="0"/>
                <w:sz w:val="20"/>
                <w:szCs w:val="20"/>
                <w:lang w:eastAsia="fr-FR"/>
                <w14:ligatures w14:val="none"/>
              </w:rPr>
              <w:fldChar w:fldCharType="separate"/>
            </w:r>
            <w:r w:rsidR="00EA0130" w:rsidRPr="009E5B06">
              <w:rPr>
                <w:rFonts w:ascii="Garamond" w:hAnsi="Garamond"/>
                <w:sz w:val="20"/>
                <w:szCs w:val="20"/>
              </w:rPr>
              <w:t>[3]</w:t>
            </w:r>
            <w:r w:rsidR="00EA0130"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078A4991" w14:textId="54CDE026"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2003</w:t>
            </w:r>
          </w:p>
        </w:tc>
        <w:tc>
          <w:tcPr>
            <w:tcW w:w="1212" w:type="dxa"/>
            <w:tcBorders>
              <w:top w:val="nil"/>
              <w:left w:val="nil"/>
              <w:bottom w:val="nil"/>
              <w:right w:val="nil"/>
            </w:tcBorders>
            <w:noWrap/>
            <w:hideMark/>
          </w:tcPr>
          <w:p w14:paraId="5F34FFBD" w14:textId="662FAE93"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Congo</w:t>
            </w:r>
          </w:p>
        </w:tc>
        <w:tc>
          <w:tcPr>
            <w:tcW w:w="1082" w:type="dxa"/>
            <w:tcBorders>
              <w:top w:val="nil"/>
              <w:left w:val="nil"/>
              <w:bottom w:val="nil"/>
              <w:right w:val="nil"/>
            </w:tcBorders>
            <w:noWrap/>
            <w:hideMark/>
          </w:tcPr>
          <w:p w14:paraId="0F43DB1E" w14:textId="683812B9"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3939BF21" w14:textId="29ED78FE"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7766156C" w14:textId="4EE1B505"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2250D888" w14:textId="105FB3CF"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128F9C78" w14:textId="09E4BC05"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2A7270E0" w14:textId="1B4A4B66" w:rsidR="005C0718"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M</w:t>
            </w:r>
            <w:r>
              <w:rPr>
                <w:rFonts w:ascii="Garamond" w:eastAsia="Times New Roman" w:hAnsi="Garamond" w:cs="Calibri"/>
                <w:color w:val="000000"/>
                <w:kern w:val="0"/>
                <w:sz w:val="20"/>
                <w:szCs w:val="20"/>
                <w:lang w:eastAsia="fr-FR"/>
                <w14:ligatures w14:val="none"/>
              </w:rPr>
              <w:t>oderate</w:t>
            </w:r>
          </w:p>
        </w:tc>
        <w:tc>
          <w:tcPr>
            <w:tcW w:w="1077" w:type="dxa"/>
            <w:tcBorders>
              <w:top w:val="nil"/>
              <w:left w:val="nil"/>
              <w:bottom w:val="nil"/>
              <w:right w:val="nil"/>
            </w:tcBorders>
            <w:noWrap/>
            <w:hideMark/>
          </w:tcPr>
          <w:p w14:paraId="03610D95" w14:textId="70AB3F08"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11</w:t>
            </w:r>
          </w:p>
        </w:tc>
        <w:tc>
          <w:tcPr>
            <w:tcW w:w="1125" w:type="dxa"/>
            <w:tcBorders>
              <w:top w:val="nil"/>
              <w:left w:val="nil"/>
              <w:bottom w:val="nil"/>
              <w:right w:val="nil"/>
            </w:tcBorders>
            <w:noWrap/>
            <w:hideMark/>
          </w:tcPr>
          <w:p w14:paraId="29243DF5" w14:textId="5B304BE9"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9.1</w:t>
            </w:r>
          </w:p>
        </w:tc>
      </w:tr>
      <w:tr w:rsidR="007569C4" w:rsidRPr="00B05F3A" w14:paraId="376EBCCC" w14:textId="77777777" w:rsidTr="00E43530">
        <w:trPr>
          <w:trHeight w:val="290"/>
        </w:trPr>
        <w:tc>
          <w:tcPr>
            <w:tcW w:w="2410" w:type="dxa"/>
            <w:tcBorders>
              <w:top w:val="nil"/>
              <w:left w:val="nil"/>
              <w:bottom w:val="nil"/>
              <w:right w:val="nil"/>
            </w:tcBorders>
            <w:noWrap/>
            <w:hideMark/>
          </w:tcPr>
          <w:p w14:paraId="68958A71" w14:textId="69BBD18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proofErr w:type="spellStart"/>
            <w:r w:rsidRPr="009E5B06">
              <w:rPr>
                <w:rFonts w:ascii="Garamond" w:eastAsia="Times New Roman" w:hAnsi="Garamond" w:cs="Calibri"/>
                <w:color w:val="000000"/>
                <w:kern w:val="0"/>
                <w:sz w:val="20"/>
                <w:szCs w:val="20"/>
                <w:lang w:eastAsia="fr-FR"/>
                <w14:ligatures w14:val="none"/>
              </w:rPr>
              <w:t>Boumandouki</w:t>
            </w:r>
            <w:proofErr w:type="spellEnd"/>
            <w:r w:rsidRPr="009E5B06">
              <w:rPr>
                <w:rFonts w:ascii="Garamond" w:eastAsia="Times New Roman" w:hAnsi="Garamond" w:cs="Calibri"/>
                <w:color w:val="000000"/>
                <w:kern w:val="0"/>
                <w:sz w:val="20"/>
                <w:szCs w:val="20"/>
                <w:lang w:eastAsia="fr-FR"/>
                <w14:ligatures w14:val="none"/>
              </w:rPr>
              <w:t xml:space="preserve">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{"citationID":"GM1HVEV7","properties":{"formattedCitation":"[7]","plainCitation":"[7]","noteIndex":0},"citationItems":[{"id":4723,"uris":["http://zotero.org/users/1791235/items/WXFECLD7"],"itemData":{"id":4723,"type":"article-journal","abstract":"Monkeypox or simian smallpox is a viral disease whose clinical manifestations are similar to the human smallpox. In this study authors describe the care management and follow up of eight patients hospitalized at the Impfondo hospital in Congo. It was a transversal study conducted from the 23rd of May till the 7th of July 2003 at the District Hospital of Impfondo (Likouala province, Republic of Congo). We have analyzed 81 patient files hospitalized during that period. Using the Atlanta CDC criteria of case definition modified in 2003, monkeypox has been diagnosed in 8 patients. Our series has 4 male and 4 female patients. The mean age is 9.05 +/- 5.86 with extremes ranging from 5 months to 18 years old. The clinical manifestations included fever (n = 7), rash (n=8), articulations and muscles pains (n=2), mumps (n=4) and pruritus (n=6). 7 patients recovered among them 5 without complications and 2 with persistent hypochromic lesions for more than 6 weeks. The monkeypox strain responsible for these infections appeared not to be lethal to humans. However this study shows that monkeypox is an endemic public health risk in the sanitary district of Impfondo, within the Congo River basin. The endemic presence of monkeypox in the Congo basin could trigger a new outbreak if the viral strains involved here became lethal.","container-title":"Bulletin De La Societe De Pathologie Exotique (1990)","ISSN":"0037-9085","issue":"1","journalAbbreviation":"Bull Soc Pathol Exot","language":"fre","note":"PMID: 17402687","page":"17-21","source":"PubMed","title":"[Simian smallpox (or monkey smallpox): study of 8 cases observed at Impfondo Hospital in Republic of Congo]","title-short":"[Simian smallpox (or monkey smallpox)","volume":"100","author":[{"family":"Boumandouki","given":"P."},{"family":"Bileckot","given":"R."},{"family":"Ibara","given":"J. R."},{"family":"Satounkazi","given":"C."},{"family":"Wassa Wassa","given":"D."},{"family":"Libama","given":"E."},{"family":"Moudzeo","given":"H."},{"family":"Bolanda","given":"J. D."},{"family":"Ngokaba","given":"C."}],"issued":{"date-parts":[["2007"]]}}}],"schema":"https://github.com/citation-style-language/schema/raw/master/csl-citation.json"}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[7]</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4BECFA06" w14:textId="00F6BDD4"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2003</w:t>
            </w:r>
          </w:p>
        </w:tc>
        <w:tc>
          <w:tcPr>
            <w:tcW w:w="1212" w:type="dxa"/>
            <w:tcBorders>
              <w:top w:val="nil"/>
              <w:left w:val="nil"/>
              <w:bottom w:val="nil"/>
              <w:right w:val="nil"/>
            </w:tcBorders>
            <w:noWrap/>
            <w:hideMark/>
          </w:tcPr>
          <w:p w14:paraId="5D40A460" w14:textId="034385F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Congo</w:t>
            </w:r>
          </w:p>
        </w:tc>
        <w:tc>
          <w:tcPr>
            <w:tcW w:w="1082" w:type="dxa"/>
            <w:tcBorders>
              <w:top w:val="nil"/>
              <w:left w:val="nil"/>
              <w:bottom w:val="nil"/>
              <w:right w:val="nil"/>
            </w:tcBorders>
            <w:noWrap/>
            <w:hideMark/>
          </w:tcPr>
          <w:p w14:paraId="13EEDBCE" w14:textId="3A35261A" w:rsidR="007569C4" w:rsidRPr="009E5B06" w:rsidRDefault="0041648E" w:rsidP="006B38D1">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Case series</w:t>
            </w:r>
          </w:p>
        </w:tc>
        <w:tc>
          <w:tcPr>
            <w:tcW w:w="1180" w:type="dxa"/>
            <w:tcBorders>
              <w:top w:val="nil"/>
              <w:left w:val="nil"/>
              <w:bottom w:val="nil"/>
              <w:right w:val="nil"/>
            </w:tcBorders>
            <w:noWrap/>
            <w:hideMark/>
          </w:tcPr>
          <w:p w14:paraId="4D733B03" w14:textId="7A5EC98F"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Hospital</w:t>
            </w:r>
          </w:p>
        </w:tc>
        <w:tc>
          <w:tcPr>
            <w:tcW w:w="1707" w:type="dxa"/>
            <w:tcBorders>
              <w:top w:val="nil"/>
              <w:left w:val="nil"/>
              <w:bottom w:val="nil"/>
              <w:right w:val="nil"/>
            </w:tcBorders>
            <w:noWrap/>
            <w:hideMark/>
          </w:tcPr>
          <w:p w14:paraId="58ABBF60" w14:textId="168EA9F4"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4FD9A52F" w14:textId="6C52500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6BA2D7B6" w14:textId="666051D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613A4093" w14:textId="22D2F15D"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6A21FD">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hideMark/>
          </w:tcPr>
          <w:p w14:paraId="12CC3121" w14:textId="5FF974D6"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3</w:t>
            </w:r>
          </w:p>
        </w:tc>
        <w:tc>
          <w:tcPr>
            <w:tcW w:w="1125" w:type="dxa"/>
            <w:tcBorders>
              <w:top w:val="nil"/>
              <w:left w:val="nil"/>
              <w:bottom w:val="nil"/>
              <w:right w:val="nil"/>
            </w:tcBorders>
            <w:noWrap/>
            <w:hideMark/>
          </w:tcPr>
          <w:p w14:paraId="22371D60" w14:textId="4A56C123"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0.0</w:t>
            </w:r>
          </w:p>
        </w:tc>
      </w:tr>
      <w:tr w:rsidR="007569C4" w:rsidRPr="00B05F3A" w14:paraId="75B50DCD" w14:textId="77777777" w:rsidTr="00E43530">
        <w:trPr>
          <w:trHeight w:val="290"/>
        </w:trPr>
        <w:tc>
          <w:tcPr>
            <w:tcW w:w="2410" w:type="dxa"/>
            <w:tcBorders>
              <w:top w:val="nil"/>
              <w:left w:val="nil"/>
              <w:bottom w:val="nil"/>
              <w:right w:val="nil"/>
            </w:tcBorders>
            <w:noWrap/>
            <w:hideMark/>
          </w:tcPr>
          <w:p w14:paraId="2E4DBE8B" w14:textId="65717CE6"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proofErr w:type="spellStart"/>
            <w:r w:rsidRPr="009E5B06">
              <w:rPr>
                <w:rFonts w:ascii="Garamond" w:eastAsia="Times New Roman" w:hAnsi="Garamond" w:cs="Calibri"/>
                <w:color w:val="000000"/>
                <w:kern w:val="0"/>
                <w:sz w:val="20"/>
                <w:szCs w:val="20"/>
                <w:lang w:eastAsia="fr-FR"/>
                <w14:ligatures w14:val="none"/>
              </w:rPr>
              <w:t>Formenty</w:t>
            </w:r>
            <w:proofErr w:type="spellEnd"/>
            <w:r w:rsidRPr="009E5B06">
              <w:rPr>
                <w:rFonts w:ascii="Garamond" w:eastAsia="Times New Roman" w:hAnsi="Garamond" w:cs="Calibri"/>
                <w:color w:val="000000"/>
                <w:kern w:val="0"/>
                <w:sz w:val="20"/>
                <w:szCs w:val="20"/>
                <w:lang w:eastAsia="fr-FR"/>
                <w14:ligatures w14:val="none"/>
              </w:rPr>
              <w:t xml:space="preserve">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{"citationID":"20yicJAR","properties":{"formattedCitation":"[8]","plainCitation":"[8]","noteIndex":0},"citationItems":[{"id":4725,"uris":["http://zotero.org/users/1791235/items/YF8RZIBZ"],"itemData":{"id":4725,"type":"article-journal","abstract":"TOC Summary: This virus should be considered endemic to the wetland areas of Bentiu, Unity State, Sudan., To determine the outbreak source of monkeypox virus (MPXV) infections in Unity State, Sudan, in November 2005, we conducted a retrospective investigation. MPXV was identified in a sub-Sahelian savannah environment. Three case notification categories were used: suspected, probable, and confirmed. Molecular, virologic, and serologic assays were used to test blood specimens, vesicular swabs, and crust specimens obtained from symptomatic and recovering persons. Ten laboratory-confirmed cases and 9 probable cases of MPXV were reported during September–December 2005; no deaths occurred. Human-to-human transmission up to 5 generations was described. Our investigation could not fully determine the source of the outbreak. Preliminary data indicate that the MPXV strain isolated during this outbreak was a novel virus belonging to the Congo Basin clade. Our results indicate that MPXV should be considered endemic to the wetland areas of Unity State. This finding will enhance understanding of the ecologic niche for this virus.","container-title":"Emerging Infectious Diseases","DOI":"10.3201/eid1610.100713","ISSN":"1080-6040","issue":"10","journalAbbreviation":"Emerg Infect Dis","note":"PMID: 20875278\nPMCID: PMC3294404","page":"1539-1545","source":"PubMed Central","title":"Human Monkeypox Outbreak Caused by Novel Virus Belonging to Congo Basin Clade, Sudan, 2005","volume":"16","author":[{"family":"Formenty","given":"Pierre"},{"family":"Muntasir","given":"Mohammed O."},{"family":"Damon","given":"Inger"},{"family":"Chowdhary","given":"Vipul"},{"family":"Opoka","given":"Martin L."},{"family":"Monimart","given":"Charlotte"},{"family":"Mutasim","given":"Elmangory M."},{"family":"Manuguerra","given":"Jean-Claude"},{"family":"Davidson","given":"Whitni B."},{"family":"Karem","given":"Kevin L."},{"family":"Cabeza","given":"Jeanne"},{"family":"Wang","given":"Sharlenna"},{"family":"Malik","given":"Mamunur R."},{"family":"Durand","given":"Thierry"},{"family":"Khalid","given":"Abdalhalim"},{"family":"Rioton","given":"Thomas"},{"family":"Kuong-Ruay","given":"Andrea"},{"family":"Babiker","given":"Alimagboul A."},{"family":"Karsani","given":"Mubarak E.M."},{"family":"Abdalla","given":"Magdi S."}],"issued":{"date-parts":[["2010"]]}}}],"schema":"https://github.com/citation-style-language/schema/raw/master/csl-citation.json"}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[8]</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7793AB91" w14:textId="7224225D"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2005</w:t>
            </w:r>
          </w:p>
        </w:tc>
        <w:tc>
          <w:tcPr>
            <w:tcW w:w="1212" w:type="dxa"/>
            <w:tcBorders>
              <w:top w:val="nil"/>
              <w:left w:val="nil"/>
              <w:bottom w:val="nil"/>
              <w:right w:val="nil"/>
            </w:tcBorders>
            <w:noWrap/>
            <w:hideMark/>
          </w:tcPr>
          <w:p w14:paraId="7729C80B" w14:textId="1D6CBAF8"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Sudan</w:t>
            </w:r>
          </w:p>
        </w:tc>
        <w:tc>
          <w:tcPr>
            <w:tcW w:w="1082" w:type="dxa"/>
            <w:tcBorders>
              <w:top w:val="nil"/>
              <w:left w:val="nil"/>
              <w:bottom w:val="nil"/>
              <w:right w:val="nil"/>
            </w:tcBorders>
            <w:noWrap/>
            <w:hideMark/>
          </w:tcPr>
          <w:p w14:paraId="18EC3D44" w14:textId="0B4D683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39F72981" w14:textId="3F2DA76D"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59FFFE7F" w14:textId="2EE3AE3E"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4CD336A9" w14:textId="767AEAA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5DE4DA25" w14:textId="01D9B506"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Clade Ia</w:t>
            </w:r>
          </w:p>
        </w:tc>
        <w:tc>
          <w:tcPr>
            <w:tcW w:w="882" w:type="dxa"/>
            <w:tcBorders>
              <w:top w:val="nil"/>
              <w:left w:val="nil"/>
              <w:bottom w:val="nil"/>
              <w:right w:val="nil"/>
            </w:tcBorders>
            <w:noWrap/>
            <w:hideMark/>
          </w:tcPr>
          <w:p w14:paraId="2F9194BC" w14:textId="4F50A02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6A21FD">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hideMark/>
          </w:tcPr>
          <w:p w14:paraId="7F03BB39" w14:textId="1C840E4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10</w:t>
            </w:r>
          </w:p>
        </w:tc>
        <w:tc>
          <w:tcPr>
            <w:tcW w:w="1125" w:type="dxa"/>
            <w:tcBorders>
              <w:top w:val="nil"/>
              <w:left w:val="nil"/>
              <w:bottom w:val="nil"/>
              <w:right w:val="nil"/>
            </w:tcBorders>
            <w:noWrap/>
            <w:hideMark/>
          </w:tcPr>
          <w:p w14:paraId="226AC930" w14:textId="0B4C69D6"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0.0</w:t>
            </w:r>
          </w:p>
        </w:tc>
      </w:tr>
      <w:tr w:rsidR="007569C4" w:rsidRPr="00B05F3A" w14:paraId="177015EE" w14:textId="77777777" w:rsidTr="00E43530">
        <w:trPr>
          <w:trHeight w:val="290"/>
        </w:trPr>
        <w:tc>
          <w:tcPr>
            <w:tcW w:w="2410" w:type="dxa"/>
            <w:tcBorders>
              <w:top w:val="nil"/>
              <w:left w:val="nil"/>
              <w:bottom w:val="nil"/>
              <w:right w:val="nil"/>
            </w:tcBorders>
            <w:noWrap/>
            <w:hideMark/>
          </w:tcPr>
          <w:p w14:paraId="3DDF69BC" w14:textId="6D21FFF4"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 xml:space="preserve">Damon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{"citationID":"SSA0eKB7","properties":{"formattedCitation":"[9]","plainCitation":"[9]","noteIndex":0},"citationItems":[{"id":3511,"uris":["http://zotero.org/users/1791235/items/YESWT3GR"],"itemData":{"id":3511,"type":"article-journal","abstract":"To the Editor: On November 4, 2005, the Poxvirus Program at the Centers for Disease Control and Prevention (CDC), a World Health Organization (WHO) Collaborating Center for Smallpox and other Poxvirus Infections, was contacted by a former volunteer with Médecins sans Frontières (MSF) with a request for information regarding a child with a generalized pustular rash illness in southern Sudan. On the basis of a review of a photograph of the child (Figure 1), dated October 28, 2005, and limited clinical information describing a febrile period of disease, it was agreed that the findings were suggestive of a systemic orthopoxvirus . . .","container-title":"New England Journal of Medicine","DOI":"10.1056/NEJMc060792","ISSN":"0028-4793","issue":"9","note":"publisher: Massachusetts Medical Society\n_eprint: https://www.nejm.org/doi/pdf/10.1056/NEJMc060792","page":"962-63","source":"Taylor and Francis+NEJM","title":"Discovery of Monkeypox in Sudan","volume":"355","author":[{"family":"Damon","given":"Inger K."},{"family":"Roth","given":"Cathy E."},{"family":"Chowdhary","given":"Vipul"}],"issued":{"date-parts":[["2006"]]}}}],"schema":"https://github.com/citation-style-language/schema/raw/master/csl-citation.json"}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[9]</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3EE8194E" w14:textId="3E3BE31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2005</w:t>
            </w:r>
          </w:p>
        </w:tc>
        <w:tc>
          <w:tcPr>
            <w:tcW w:w="1212" w:type="dxa"/>
            <w:tcBorders>
              <w:top w:val="nil"/>
              <w:left w:val="nil"/>
              <w:bottom w:val="nil"/>
              <w:right w:val="nil"/>
            </w:tcBorders>
            <w:noWrap/>
            <w:hideMark/>
          </w:tcPr>
          <w:p w14:paraId="691F8E2A" w14:textId="5AAAFCA4"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Sudan</w:t>
            </w:r>
          </w:p>
        </w:tc>
        <w:tc>
          <w:tcPr>
            <w:tcW w:w="1082" w:type="dxa"/>
            <w:tcBorders>
              <w:top w:val="nil"/>
              <w:left w:val="nil"/>
              <w:bottom w:val="nil"/>
              <w:right w:val="nil"/>
            </w:tcBorders>
            <w:noWrap/>
            <w:hideMark/>
          </w:tcPr>
          <w:p w14:paraId="7A9DD060" w14:textId="79C1666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Case report</w:t>
            </w:r>
          </w:p>
        </w:tc>
        <w:tc>
          <w:tcPr>
            <w:tcW w:w="1180" w:type="dxa"/>
            <w:tcBorders>
              <w:top w:val="nil"/>
              <w:left w:val="nil"/>
              <w:bottom w:val="nil"/>
              <w:right w:val="nil"/>
            </w:tcBorders>
            <w:noWrap/>
            <w:hideMark/>
          </w:tcPr>
          <w:p w14:paraId="134FDB07" w14:textId="385C533F"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79926199" w14:textId="15D6F734"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7FB72469" w14:textId="23884D1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2FFCDDD6" w14:textId="62AA4520"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Clade Ia</w:t>
            </w:r>
          </w:p>
        </w:tc>
        <w:tc>
          <w:tcPr>
            <w:tcW w:w="882" w:type="dxa"/>
            <w:tcBorders>
              <w:top w:val="nil"/>
              <w:left w:val="nil"/>
              <w:bottom w:val="nil"/>
              <w:right w:val="nil"/>
            </w:tcBorders>
            <w:noWrap/>
            <w:hideMark/>
          </w:tcPr>
          <w:p w14:paraId="12D720CE" w14:textId="717419F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6A21FD">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hideMark/>
          </w:tcPr>
          <w:p w14:paraId="62122BF1" w14:textId="183567A7"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w:t>
            </w:r>
          </w:p>
        </w:tc>
        <w:tc>
          <w:tcPr>
            <w:tcW w:w="1125" w:type="dxa"/>
            <w:tcBorders>
              <w:top w:val="nil"/>
              <w:left w:val="nil"/>
              <w:bottom w:val="nil"/>
              <w:right w:val="nil"/>
            </w:tcBorders>
            <w:noWrap/>
            <w:hideMark/>
          </w:tcPr>
          <w:p w14:paraId="4191F4FB" w14:textId="4119E0FF"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0.0</w:t>
            </w:r>
          </w:p>
        </w:tc>
      </w:tr>
      <w:tr w:rsidR="007569C4" w:rsidRPr="00B05F3A" w14:paraId="1DF8B5BE" w14:textId="77777777" w:rsidTr="00E43530">
        <w:trPr>
          <w:trHeight w:val="290"/>
        </w:trPr>
        <w:tc>
          <w:tcPr>
            <w:tcW w:w="2410" w:type="dxa"/>
            <w:tcBorders>
              <w:top w:val="nil"/>
              <w:left w:val="nil"/>
              <w:bottom w:val="nil"/>
              <w:right w:val="nil"/>
            </w:tcBorders>
            <w:noWrap/>
            <w:hideMark/>
          </w:tcPr>
          <w:p w14:paraId="42060FA5" w14:textId="2F5233C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 xml:space="preserve">Durski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{"citationID":"vu5jdRXh","properties":{"formattedCitation":"[3]","plainCitation":"[3]","noteIndex":0},"citationItems":[{"id":4430,"uris":["http://zotero.org/users/1791235/items/IRD42T88"],"itemData":{"id":4430,"type":"article-journal","abstract":"The recent apparent increase in human monkeypox cases across a wide geographic area, the potential for further spread, and the lack of reliable surveillance have raised the level of concern for ...","container-title":"MMWR. Morbidity and Mortality Weekly Report","DOI":"10.15585/mmwr.mm6710a5","ISSN":"0149-21951545-861X","journalAbbreviation":"MMWR Morb Mortal Wkly Rep","language":"en-us","source":"www.cdc.gov","title":"Emergence of Monkeypox — West and Central Africa, 1970–2017","URL":"https://www.cdc.gov/mmwr/volumes/67/wr/mm6710a5.htm","volume":"67","author":[{"family":"Durski","given":"Kara N."}],"accessed":{"date-parts":[["2025",6,29]]},"issued":{"date-parts":[["2018"]]}}}],"schema":"https://github.com/citation-style-language/schema/raw/master/csl-citation.json"}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[3]</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7D931204" w14:textId="6C71DBA4"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2009</w:t>
            </w:r>
          </w:p>
        </w:tc>
        <w:tc>
          <w:tcPr>
            <w:tcW w:w="1212" w:type="dxa"/>
            <w:tcBorders>
              <w:top w:val="nil"/>
              <w:left w:val="nil"/>
              <w:bottom w:val="nil"/>
              <w:right w:val="nil"/>
            </w:tcBorders>
            <w:noWrap/>
            <w:hideMark/>
          </w:tcPr>
          <w:p w14:paraId="0E2724EF" w14:textId="22E2996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Congo</w:t>
            </w:r>
          </w:p>
        </w:tc>
        <w:tc>
          <w:tcPr>
            <w:tcW w:w="1082" w:type="dxa"/>
            <w:tcBorders>
              <w:top w:val="nil"/>
              <w:left w:val="nil"/>
              <w:bottom w:val="nil"/>
              <w:right w:val="nil"/>
            </w:tcBorders>
            <w:noWrap/>
            <w:hideMark/>
          </w:tcPr>
          <w:p w14:paraId="0EC09382" w14:textId="05AF1876"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0CE79BED" w14:textId="188E6E6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2C558154" w14:textId="3507A55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674F5020" w14:textId="376EDED7"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68C1C8F1" w14:textId="2D78B70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6D46C646" w14:textId="5FE2D3AF"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005591">
              <w:rPr>
                <w:rFonts w:ascii="Garamond" w:eastAsia="Times New Roman" w:hAnsi="Garamond" w:cs="Calibri"/>
                <w:color w:val="000000"/>
                <w:kern w:val="0"/>
                <w:sz w:val="20"/>
                <w:szCs w:val="20"/>
                <w:lang w:eastAsia="fr-FR"/>
                <w14:ligatures w14:val="none"/>
              </w:rPr>
              <w:t>Moderate</w:t>
            </w:r>
          </w:p>
        </w:tc>
        <w:tc>
          <w:tcPr>
            <w:tcW w:w="1077" w:type="dxa"/>
            <w:tcBorders>
              <w:top w:val="nil"/>
              <w:left w:val="nil"/>
              <w:bottom w:val="nil"/>
              <w:right w:val="nil"/>
            </w:tcBorders>
            <w:noWrap/>
            <w:hideMark/>
          </w:tcPr>
          <w:p w14:paraId="4F316DE1" w14:textId="15A7E0DB"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w:t>
            </w:r>
          </w:p>
        </w:tc>
        <w:tc>
          <w:tcPr>
            <w:tcW w:w="1125" w:type="dxa"/>
            <w:tcBorders>
              <w:top w:val="nil"/>
              <w:left w:val="nil"/>
              <w:bottom w:val="nil"/>
              <w:right w:val="nil"/>
            </w:tcBorders>
            <w:noWrap/>
            <w:hideMark/>
          </w:tcPr>
          <w:p w14:paraId="6439F1A8" w14:textId="67F952C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0.0</w:t>
            </w:r>
          </w:p>
        </w:tc>
      </w:tr>
      <w:tr w:rsidR="007569C4" w:rsidRPr="00B05F3A" w14:paraId="6E301FDD" w14:textId="77777777" w:rsidTr="00E43530">
        <w:trPr>
          <w:trHeight w:val="290"/>
        </w:trPr>
        <w:tc>
          <w:tcPr>
            <w:tcW w:w="2410" w:type="dxa"/>
            <w:tcBorders>
              <w:top w:val="nil"/>
              <w:left w:val="nil"/>
              <w:bottom w:val="nil"/>
              <w:right w:val="nil"/>
            </w:tcBorders>
            <w:noWrap/>
            <w:hideMark/>
          </w:tcPr>
          <w:p w14:paraId="6960E93A" w14:textId="69E512D1"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 xml:space="preserve">Durski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{"citationID":"0YxGWTTW","properties":{"formattedCitation":"[3]","plainCitation":"[3]","noteIndex":0},"citationItems":[{"id":4430,"uris":["http://zotero.org/users/1791235/items/IRD42T88"],"itemData":{"id":4430,"type":"article-journal","abstract":"The recent apparent increase in human monkeypox cases across a wide geographic area, the potential for further spread, and the lack of reliable surveillance have raised the level of concern for ...","container-title":"MMWR. Morbidity and Mortality Weekly Report","DOI":"10.15585/mmwr.mm6710a5","ISSN":"0149-21951545-861X","journalAbbreviation":"MMWR Morb Mortal Wkly Rep","language":"en-us","source":"www.cdc.gov","title":"Emergence of Monkeypox — West and Central Africa, 1970–2017","URL":"https://www.cdc.gov/mmwr/volumes/67/wr/mm6710a5.htm","volume":"67","author":[{"family":"Durski","given":"Kara N."}],"accessed":{"date-parts":[["2025",6,29]]},"issued":{"date-parts":[["2018"]]}}}],"schema":"https://github.com/citation-style-language/schema/raw/master/csl-citation.json"}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[3]</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45E0408B" w14:textId="1B221A7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2010</w:t>
            </w:r>
          </w:p>
        </w:tc>
        <w:tc>
          <w:tcPr>
            <w:tcW w:w="1212" w:type="dxa"/>
            <w:tcBorders>
              <w:top w:val="nil"/>
              <w:left w:val="nil"/>
              <w:bottom w:val="nil"/>
              <w:right w:val="nil"/>
            </w:tcBorders>
            <w:noWrap/>
            <w:hideMark/>
          </w:tcPr>
          <w:p w14:paraId="4718F29B" w14:textId="29028753"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CAR</w:t>
            </w:r>
          </w:p>
        </w:tc>
        <w:tc>
          <w:tcPr>
            <w:tcW w:w="1082" w:type="dxa"/>
            <w:tcBorders>
              <w:top w:val="nil"/>
              <w:left w:val="nil"/>
              <w:bottom w:val="nil"/>
              <w:right w:val="nil"/>
            </w:tcBorders>
            <w:noWrap/>
            <w:hideMark/>
          </w:tcPr>
          <w:p w14:paraId="2320038B" w14:textId="0B2C5D28"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1E34C02B" w14:textId="20AACE6F"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68BCEED6" w14:textId="4682B104"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332370F1" w14:textId="5873369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71B0A849" w14:textId="1C487B30"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2134F773" w14:textId="76128BB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005591">
              <w:rPr>
                <w:rFonts w:ascii="Garamond" w:eastAsia="Times New Roman" w:hAnsi="Garamond" w:cs="Calibri"/>
                <w:color w:val="000000"/>
                <w:kern w:val="0"/>
                <w:sz w:val="20"/>
                <w:szCs w:val="20"/>
                <w:lang w:eastAsia="fr-FR"/>
                <w14:ligatures w14:val="none"/>
              </w:rPr>
              <w:t>Moderate</w:t>
            </w:r>
          </w:p>
        </w:tc>
        <w:tc>
          <w:tcPr>
            <w:tcW w:w="1077" w:type="dxa"/>
            <w:tcBorders>
              <w:top w:val="nil"/>
              <w:left w:val="nil"/>
              <w:bottom w:val="nil"/>
              <w:right w:val="nil"/>
            </w:tcBorders>
            <w:noWrap/>
            <w:hideMark/>
          </w:tcPr>
          <w:p w14:paraId="0805C53B" w14:textId="272B161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w:t>
            </w:r>
          </w:p>
        </w:tc>
        <w:tc>
          <w:tcPr>
            <w:tcW w:w="1125" w:type="dxa"/>
            <w:tcBorders>
              <w:top w:val="nil"/>
              <w:left w:val="nil"/>
              <w:bottom w:val="nil"/>
              <w:right w:val="nil"/>
            </w:tcBorders>
            <w:noWrap/>
            <w:hideMark/>
          </w:tcPr>
          <w:p w14:paraId="2F7D1F8D" w14:textId="3E94703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0.0</w:t>
            </w:r>
          </w:p>
        </w:tc>
      </w:tr>
      <w:tr w:rsidR="005C0718" w:rsidRPr="00B05F3A" w14:paraId="1789A40B" w14:textId="77777777" w:rsidTr="00E43530">
        <w:trPr>
          <w:trHeight w:val="290"/>
        </w:trPr>
        <w:tc>
          <w:tcPr>
            <w:tcW w:w="2410" w:type="dxa"/>
            <w:tcBorders>
              <w:top w:val="nil"/>
              <w:left w:val="nil"/>
              <w:bottom w:val="nil"/>
              <w:right w:val="nil"/>
            </w:tcBorders>
            <w:noWrap/>
            <w:hideMark/>
          </w:tcPr>
          <w:p w14:paraId="4743519A" w14:textId="74045EDC"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Berthet</w:t>
            </w:r>
            <w:r w:rsidR="00763B14" w:rsidRPr="009E5B06">
              <w:rPr>
                <w:rFonts w:ascii="Garamond" w:eastAsia="Times New Roman" w:hAnsi="Garamond" w:cs="Calibri"/>
                <w:color w:val="000000"/>
                <w:kern w:val="0"/>
                <w:sz w:val="20"/>
                <w:szCs w:val="20"/>
                <w:lang w:eastAsia="fr-FR"/>
                <w14:ligatures w14:val="none"/>
              </w:rPr>
              <w:t xml:space="preserve"> </w:t>
            </w:r>
            <w:r w:rsidR="00763B14" w:rsidRPr="009E5B06">
              <w:rPr>
                <w:rFonts w:ascii="Garamond" w:eastAsia="Times New Roman" w:hAnsi="Garamond" w:cs="Calibri"/>
                <w:i/>
                <w:iCs/>
                <w:color w:val="000000"/>
                <w:kern w:val="0"/>
                <w:sz w:val="20"/>
                <w:szCs w:val="20"/>
                <w:lang w:eastAsia="fr-FR"/>
                <w14:ligatures w14:val="none"/>
              </w:rPr>
              <w:t xml:space="preserve">et al. </w:t>
            </w:r>
            <w:r w:rsidR="00763B14" w:rsidRPr="009E5B06">
              <w:rPr>
                <w:rFonts w:ascii="Garamond" w:eastAsia="Times New Roman" w:hAnsi="Garamond" w:cs="Calibri"/>
                <w:i/>
                <w:iCs/>
                <w:color w:val="000000"/>
                <w:kern w:val="0"/>
                <w:sz w:val="20"/>
                <w:szCs w:val="20"/>
                <w:lang w:eastAsia="fr-FR"/>
                <w14:ligatures w14:val="none"/>
              </w:rPr>
              <w:fldChar w:fldCharType="begin"/>
            </w:r>
            <w:r w:rsidR="00763B14" w:rsidRPr="009E5B06">
              <w:rPr>
                <w:rFonts w:ascii="Garamond" w:eastAsia="Times New Roman" w:hAnsi="Garamond" w:cs="Calibri"/>
                <w:i/>
                <w:iCs/>
                <w:color w:val="000000"/>
                <w:kern w:val="0"/>
                <w:sz w:val="20"/>
                <w:szCs w:val="20"/>
                <w:lang w:eastAsia="fr-FR"/>
                <w14:ligatures w14:val="none"/>
              </w:rPr>
              <w:instrText xml:space="preserve"> ADDIN ZOTERO_ITEM CSL_CITATION {"citationID":"6TpGUrkz","properties":{"formattedCitation":"[10]","plainCitation":"[10]","noteIndex":0},"citationItems":[{"id":4433,"uris":["http://zotero.org/users/1791235/items/MWY7ZPWH"],"itemData":{"id":4433,"type":"article-journal","container-title":"The Lancet","DOI":"10.1016/S0140-6736(11)61142-2","ISSN":"0140-6736, 1474-547X","issue":"9799","journalAbbreviation":"The Lancet","language":"English","note":"publisher: Elsevier\nPMID: 21982097","page":"1354","source":"www.thelancet.com","title":"Maculopapular lesions in the Central African Republic","volume":"378","author":[{"family":"Berthet","given":"Nicolas"},{"family":"Nakouné","given":"Emmanuel"},{"family":"Whist","given":"Eline"},{"family":"Selekon","given":"Benjamin"},{"family":"Burguière","given":"Ana-Maria"},{"family":"Manuguerra","given":"Jean-Claude"},{"family":"Gessain","given":"Antoine"},{"family":"Kazanji","given":"Mirdad"}],"issued":{"date-parts":[["2011"]]}}}],"schema":"https://github.com/citation-style-language/schema/raw/master/csl-citation.json"} </w:instrText>
            </w:r>
            <w:r w:rsidR="00763B14" w:rsidRPr="009E5B06">
              <w:rPr>
                <w:rFonts w:ascii="Garamond" w:eastAsia="Times New Roman" w:hAnsi="Garamond" w:cs="Calibri"/>
                <w:i/>
                <w:iCs/>
                <w:color w:val="000000"/>
                <w:kern w:val="0"/>
                <w:sz w:val="20"/>
                <w:szCs w:val="20"/>
                <w:lang w:eastAsia="fr-FR"/>
                <w14:ligatures w14:val="none"/>
              </w:rPr>
              <w:fldChar w:fldCharType="separate"/>
            </w:r>
            <w:r w:rsidR="00763B14" w:rsidRPr="009E5B06">
              <w:rPr>
                <w:rFonts w:ascii="Garamond" w:hAnsi="Garamond"/>
                <w:sz w:val="20"/>
                <w:szCs w:val="20"/>
              </w:rPr>
              <w:t>[10]</w:t>
            </w:r>
            <w:r w:rsidR="00763B14"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7C9E6592" w14:textId="29A2D937"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2010</w:t>
            </w:r>
          </w:p>
        </w:tc>
        <w:tc>
          <w:tcPr>
            <w:tcW w:w="1212" w:type="dxa"/>
            <w:tcBorders>
              <w:top w:val="nil"/>
              <w:left w:val="nil"/>
              <w:bottom w:val="nil"/>
              <w:right w:val="nil"/>
            </w:tcBorders>
            <w:noWrap/>
            <w:hideMark/>
          </w:tcPr>
          <w:p w14:paraId="63AB9011" w14:textId="78B24190"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CAR</w:t>
            </w:r>
          </w:p>
        </w:tc>
        <w:tc>
          <w:tcPr>
            <w:tcW w:w="1082" w:type="dxa"/>
            <w:tcBorders>
              <w:top w:val="nil"/>
              <w:left w:val="nil"/>
              <w:bottom w:val="nil"/>
              <w:right w:val="nil"/>
            </w:tcBorders>
            <w:noWrap/>
            <w:hideMark/>
          </w:tcPr>
          <w:p w14:paraId="47C2CA18" w14:textId="5CBF4B38"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Case report</w:t>
            </w:r>
          </w:p>
        </w:tc>
        <w:tc>
          <w:tcPr>
            <w:tcW w:w="1180" w:type="dxa"/>
            <w:tcBorders>
              <w:top w:val="nil"/>
              <w:left w:val="nil"/>
              <w:bottom w:val="nil"/>
              <w:right w:val="nil"/>
            </w:tcBorders>
            <w:noWrap/>
            <w:hideMark/>
          </w:tcPr>
          <w:p w14:paraId="16CFE678" w14:textId="1F530EEA"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40C944B6" w14:textId="70A73B7D"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045DE006" w14:textId="18A02DED"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2067FADB" w14:textId="4E31C48C"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Clade Ia</w:t>
            </w:r>
          </w:p>
        </w:tc>
        <w:tc>
          <w:tcPr>
            <w:tcW w:w="882" w:type="dxa"/>
            <w:tcBorders>
              <w:top w:val="nil"/>
              <w:left w:val="nil"/>
              <w:bottom w:val="nil"/>
              <w:right w:val="nil"/>
            </w:tcBorders>
            <w:noWrap/>
            <w:hideMark/>
          </w:tcPr>
          <w:p w14:paraId="500F71A2" w14:textId="3A6A0B26" w:rsidR="005C0718"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L</w:t>
            </w:r>
            <w:r>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hideMark/>
          </w:tcPr>
          <w:p w14:paraId="7B873807" w14:textId="5DE8E6D2"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w:t>
            </w:r>
          </w:p>
        </w:tc>
        <w:tc>
          <w:tcPr>
            <w:tcW w:w="1125" w:type="dxa"/>
            <w:tcBorders>
              <w:top w:val="nil"/>
              <w:left w:val="nil"/>
              <w:bottom w:val="nil"/>
              <w:right w:val="nil"/>
            </w:tcBorders>
            <w:noWrap/>
            <w:hideMark/>
          </w:tcPr>
          <w:p w14:paraId="1DB72EC3" w14:textId="3F04E850"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0.0</w:t>
            </w:r>
          </w:p>
        </w:tc>
      </w:tr>
      <w:tr w:rsidR="007569C4" w:rsidRPr="00B05F3A" w14:paraId="57B7F921" w14:textId="77777777" w:rsidTr="00E43530">
        <w:trPr>
          <w:trHeight w:val="290"/>
        </w:trPr>
        <w:tc>
          <w:tcPr>
            <w:tcW w:w="2410" w:type="dxa"/>
            <w:tcBorders>
              <w:top w:val="nil"/>
              <w:left w:val="nil"/>
              <w:bottom w:val="nil"/>
              <w:right w:val="nil"/>
            </w:tcBorders>
            <w:noWrap/>
            <w:hideMark/>
          </w:tcPr>
          <w:p w14:paraId="1666EC20" w14:textId="1CB3FEE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 xml:space="preserve">Pittman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{"citationID":"xNA6DjtU","properties":{"formattedCitation":"[11]","plainCitation":"[11]","noteIndex":0},"citationItems":[{"id":3623,"uris":["http://zotero.org/users/1791235/items/E27F6G2V"],"itemData":{"id":3623,"type":"article-journal","abstract":"We describe the results of a prospective observational study of the clinical natural history of human monkeypox (mpox) virus (MPXV) infections at the remote L’Hopital General de Reference de Kole (Kole hospital), the rainforest of the Congo River basin of the Democratic Republic of the Congo (DRC) from March 2007 until August 2011. The research was conducted jointly by the Institute National de Recherche Biomedical (INRB) and the US Army Medical Research Institute of Infectious Diseases (USAMRIID). The Kole hospital was one of the two previous WHO Mpox study sites (1981–1986). The hospital is staffed by a Spanish Order of Catholic Nuns from La Congregation Des Soeurs Missionnaires Du Christ Jesus including two Spanish physicians, who were members of the Order as well, were part of the WHO study on human mpox. Of 244 patients admitted with a clinical diagnosis of MPXV infection, 216 were positive in both the Pan-Orthopox and MPXV specific PCR. The cardinal observations of these 216 patients are summarized in this report. There were three deaths (3/216) among these hospitalized patients; fetal death occurred in 3 of 4 patients who were pregnant at admission, with the placenta of one fetus demonstrating prominent MPXV infection of the chorionic villi. The most common complaints were rash (96.8%), malaise (85.2%), sore throat (78.2%), and lymphadenopathy/adenopathy (57.4%). The most common physical exam findings were mpox rash (99.5%) and lymphadenopathy (98.6%). The single patient without the classic mpox rash had been previously vaccinated against smallpox. Age group of less than 5 years had the highest lesion count. Primary household cases tended to have higher lesion counts than secondary or later same household cases. Of the 216 patients, 200 were tested for IgM &amp; IgG antibodies (Abs) to Orthopoxviruses. All 200 patients had anti-orthopoxvirus IgG Abs; whereas 189/200 were positive for IgM. Patients with hypoalbuminemia had a high risk of severe disease. Patients with fatal disease had higher maximum geometric mean values than survivors for the following variables, respectively: viral DNA in blood (DNAemia); maximum lesion count; day of admission mean AST and ALT.","container-title":"PLOS Neglected Tropical Diseases","DOI":"10.1371/journal.pntd.0010384","ISSN":"1935-2735","issue":"4","journalAbbreviation":"PLoS Negl Trop Dis","language":"en","page":"e0010384","source":"DOI.org (Crossref)","title":"Clinical characterization and placental pathology of mpox infection in hospitalized patients in the Democratic Republic of the Congo","volume":"17","author":[{"family":"Pittman","given":"Phillip R."},{"family":"Martin","given":"James W."},{"family":"Kingebeni","given":"Placide Mbala"},{"family":"Tamfum","given":"Jean-Jacques Muyembe"},{"family":"Mwema","given":"Gaston"},{"family":"Wan","given":"Qingwen"},{"family":"Ewala","given":"Pierre"},{"family":"Alonga","given":"Jules"},{"family":"Bilulu","given":"Guy"},{"family":"Reynolds","given":"Mary G."},{"family":"Quinn","given":"Xiaofei"},{"family":"Norris","given":"Sarah"},{"family":"Townsend","given":"Michael B."},{"family":"Satheshkumar","given":"Panayampalli S."},{"family":"Wadding","given":"James"},{"family":"Soltis","given":"Bryony"},{"family":"Honko","given":"Anna"},{"family":"Güereña","given":"Fernando B."},{"family":"Korman","given":"Lawrence"},{"family":"Patterson","given":"Kerry"},{"family":"Schwartz","given":"David A."},{"family":"Huggins","given":"John W."},{"literal":"on behalf of The Kole Human Mpox Infection Study Group"}],"editor":[{"family":"Bowman","given":"Natalie"}],"issued":{"date-parts":[["2023"]]}}}],"schema":"https://github.com/citation-style-language/schema/raw/master/csl-citation.json"}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[11]</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057D4EF6" w14:textId="1BCB2F93"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2011</w:t>
            </w:r>
          </w:p>
        </w:tc>
        <w:tc>
          <w:tcPr>
            <w:tcW w:w="1212" w:type="dxa"/>
            <w:tcBorders>
              <w:top w:val="nil"/>
              <w:left w:val="nil"/>
              <w:bottom w:val="nil"/>
              <w:right w:val="nil"/>
            </w:tcBorders>
            <w:noWrap/>
            <w:hideMark/>
          </w:tcPr>
          <w:p w14:paraId="334AE3D9" w14:textId="05E1E88C"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DRC</w:t>
            </w:r>
          </w:p>
        </w:tc>
        <w:tc>
          <w:tcPr>
            <w:tcW w:w="1082" w:type="dxa"/>
            <w:tcBorders>
              <w:top w:val="nil"/>
              <w:left w:val="nil"/>
              <w:bottom w:val="nil"/>
              <w:right w:val="nil"/>
            </w:tcBorders>
            <w:noWrap/>
            <w:hideMark/>
          </w:tcPr>
          <w:p w14:paraId="5B13C350" w14:textId="77B6B18B"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CS</w:t>
            </w:r>
          </w:p>
        </w:tc>
        <w:tc>
          <w:tcPr>
            <w:tcW w:w="1180" w:type="dxa"/>
            <w:tcBorders>
              <w:top w:val="nil"/>
              <w:left w:val="nil"/>
              <w:bottom w:val="nil"/>
              <w:right w:val="nil"/>
            </w:tcBorders>
            <w:noWrap/>
            <w:hideMark/>
          </w:tcPr>
          <w:p w14:paraId="2038B8D8" w14:textId="6B9A0FAB"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Hospital</w:t>
            </w:r>
          </w:p>
        </w:tc>
        <w:tc>
          <w:tcPr>
            <w:tcW w:w="1707" w:type="dxa"/>
            <w:tcBorders>
              <w:top w:val="nil"/>
              <w:left w:val="nil"/>
              <w:bottom w:val="nil"/>
              <w:right w:val="nil"/>
            </w:tcBorders>
            <w:noWrap/>
            <w:hideMark/>
          </w:tcPr>
          <w:p w14:paraId="3B17F5B5" w14:textId="18EB0287"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213A0649" w14:textId="694CDDC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4A0FD6B7" w14:textId="16002E38"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5CAD0D29" w14:textId="49D5180E"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E97AD2">
              <w:rPr>
                <w:rFonts w:ascii="Garamond" w:eastAsia="Times New Roman" w:hAnsi="Garamond" w:cs="Calibri"/>
                <w:color w:val="000000"/>
                <w:kern w:val="0"/>
                <w:sz w:val="20"/>
                <w:szCs w:val="20"/>
                <w:lang w:eastAsia="fr-FR"/>
                <w14:ligatures w14:val="none"/>
              </w:rPr>
              <w:t>Moderate</w:t>
            </w:r>
          </w:p>
        </w:tc>
        <w:tc>
          <w:tcPr>
            <w:tcW w:w="1077" w:type="dxa"/>
            <w:tcBorders>
              <w:top w:val="nil"/>
              <w:left w:val="nil"/>
              <w:bottom w:val="nil"/>
              <w:right w:val="nil"/>
            </w:tcBorders>
            <w:noWrap/>
            <w:hideMark/>
          </w:tcPr>
          <w:p w14:paraId="75DEC033" w14:textId="1E11683E"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216</w:t>
            </w:r>
          </w:p>
        </w:tc>
        <w:tc>
          <w:tcPr>
            <w:tcW w:w="1125" w:type="dxa"/>
            <w:tcBorders>
              <w:top w:val="nil"/>
              <w:left w:val="nil"/>
              <w:bottom w:val="nil"/>
              <w:right w:val="nil"/>
            </w:tcBorders>
            <w:noWrap/>
            <w:hideMark/>
          </w:tcPr>
          <w:p w14:paraId="3DB15934" w14:textId="54521EA4"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1.4</w:t>
            </w:r>
          </w:p>
        </w:tc>
      </w:tr>
      <w:tr w:rsidR="007569C4" w:rsidRPr="00B05F3A" w14:paraId="44789B12" w14:textId="77777777" w:rsidTr="00E43530">
        <w:trPr>
          <w:trHeight w:val="290"/>
        </w:trPr>
        <w:tc>
          <w:tcPr>
            <w:tcW w:w="2410" w:type="dxa"/>
            <w:tcBorders>
              <w:top w:val="nil"/>
              <w:left w:val="nil"/>
              <w:bottom w:val="nil"/>
              <w:right w:val="nil"/>
            </w:tcBorders>
            <w:noWrap/>
            <w:hideMark/>
          </w:tcPr>
          <w:p w14:paraId="47DD4DA4" w14:textId="4377D117"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 xml:space="preserve">Durski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{"citationID":"yUMQXKwJ","properties":{"formattedCitation":"[3]","plainCitation":"[3]","noteIndex":0},"citationItems":[{"id":4430,"uris":["http://zotero.org/users/1791235/items/IRD42T88"],"itemData":{"id":4430,"type":"article-journal","abstract":"The recent apparent increase in human monkeypox cases across a wide geographic area, the potential for further spread, and the lack of reliable surveillance have raised the level of concern for ...","container-title":"MMWR. Morbidity and Mortality Weekly Report","DOI":"10.15585/mmwr.mm6710a5","ISSN":"0149-21951545-861X","journalAbbreviation":"MMWR Morb Mortal Wkly Rep","language":"en-us","source":"www.cdc.gov","title":"Emergence of Monkeypox — West and Central Africa, 1970–2017","URL":"https://www.cdc.gov/mmwr/volumes/67/wr/mm6710a5.htm","volume":"67","author":[{"family":"Durski","given":"Kara N."}],"accessed":{"date-parts":[["2025",6,29]]},"issued":{"date-parts":[["2018"]]}}}],"schema":"https://github.com/citation-style-language/schema/raw/master/csl-citation.json"}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[3]</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0FF86093" w14:textId="653F44EB"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2015</w:t>
            </w:r>
          </w:p>
        </w:tc>
        <w:tc>
          <w:tcPr>
            <w:tcW w:w="1212" w:type="dxa"/>
            <w:tcBorders>
              <w:top w:val="nil"/>
              <w:left w:val="nil"/>
              <w:bottom w:val="nil"/>
              <w:right w:val="nil"/>
            </w:tcBorders>
            <w:noWrap/>
            <w:hideMark/>
          </w:tcPr>
          <w:p w14:paraId="469DB2A1" w14:textId="72C8E71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CAR</w:t>
            </w:r>
          </w:p>
        </w:tc>
        <w:tc>
          <w:tcPr>
            <w:tcW w:w="1082" w:type="dxa"/>
            <w:tcBorders>
              <w:top w:val="nil"/>
              <w:left w:val="nil"/>
              <w:bottom w:val="nil"/>
              <w:right w:val="nil"/>
            </w:tcBorders>
            <w:noWrap/>
            <w:hideMark/>
          </w:tcPr>
          <w:p w14:paraId="2ADAB26A" w14:textId="027F88F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22FB63E0" w14:textId="69B42F3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21335A46" w14:textId="129A92C1"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4A1AF75C" w14:textId="4F8F85AE"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07906CA7" w14:textId="6832BF87"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4AA4E92E" w14:textId="5D71F6A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E97AD2">
              <w:rPr>
                <w:rFonts w:ascii="Garamond" w:eastAsia="Times New Roman" w:hAnsi="Garamond" w:cs="Calibri"/>
                <w:color w:val="000000"/>
                <w:kern w:val="0"/>
                <w:sz w:val="20"/>
                <w:szCs w:val="20"/>
                <w:lang w:eastAsia="fr-FR"/>
                <w14:ligatures w14:val="none"/>
              </w:rPr>
              <w:t>Moderate</w:t>
            </w:r>
          </w:p>
        </w:tc>
        <w:tc>
          <w:tcPr>
            <w:tcW w:w="1077" w:type="dxa"/>
            <w:tcBorders>
              <w:top w:val="nil"/>
              <w:left w:val="nil"/>
              <w:bottom w:val="nil"/>
              <w:right w:val="nil"/>
            </w:tcBorders>
            <w:noWrap/>
            <w:hideMark/>
          </w:tcPr>
          <w:p w14:paraId="3392717D" w14:textId="3DF2E72E"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12</w:t>
            </w:r>
          </w:p>
        </w:tc>
        <w:tc>
          <w:tcPr>
            <w:tcW w:w="1125" w:type="dxa"/>
            <w:tcBorders>
              <w:top w:val="nil"/>
              <w:left w:val="nil"/>
              <w:bottom w:val="nil"/>
              <w:right w:val="nil"/>
            </w:tcBorders>
            <w:noWrap/>
            <w:hideMark/>
          </w:tcPr>
          <w:p w14:paraId="0D9FBF3F" w14:textId="3F6E5FEB"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25.0</w:t>
            </w:r>
          </w:p>
        </w:tc>
      </w:tr>
      <w:tr w:rsidR="007569C4" w:rsidRPr="00B05F3A" w14:paraId="777792C8" w14:textId="77777777" w:rsidTr="00E43530">
        <w:trPr>
          <w:trHeight w:val="290"/>
        </w:trPr>
        <w:tc>
          <w:tcPr>
            <w:tcW w:w="2410" w:type="dxa"/>
            <w:tcBorders>
              <w:top w:val="nil"/>
              <w:left w:val="nil"/>
              <w:bottom w:val="nil"/>
              <w:right w:val="nil"/>
            </w:tcBorders>
            <w:noWrap/>
            <w:hideMark/>
          </w:tcPr>
          <w:p w14:paraId="61E1CA71" w14:textId="2305AAB7"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proofErr w:type="spellStart"/>
            <w:r w:rsidRPr="009E5B06">
              <w:rPr>
                <w:rFonts w:ascii="Garamond" w:eastAsia="Times New Roman" w:hAnsi="Garamond" w:cs="Calibri"/>
                <w:color w:val="000000"/>
                <w:kern w:val="0"/>
                <w:sz w:val="20"/>
                <w:szCs w:val="20"/>
                <w:lang w:eastAsia="fr-FR"/>
                <w14:ligatures w14:val="none"/>
              </w:rPr>
              <w:lastRenderedPageBreak/>
              <w:t>Kalthan</w:t>
            </w:r>
            <w:proofErr w:type="spellEnd"/>
            <w:r w:rsidRPr="009E5B06">
              <w:rPr>
                <w:rFonts w:ascii="Garamond" w:eastAsia="Times New Roman" w:hAnsi="Garamond" w:cs="Calibri"/>
                <w:color w:val="000000"/>
                <w:kern w:val="0"/>
                <w:sz w:val="20"/>
                <w:szCs w:val="20"/>
                <w:lang w:eastAsia="fr-FR"/>
                <w14:ligatures w14:val="none"/>
              </w:rPr>
              <w:t xml:space="preserve">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{"citationID":"jyMm4N8c","properties":{"formattedCitation":"[12]","plainCitation":"[12]","noteIndex":0},"citationItems":[{"id":3514,"uris":["http://zotero.org/users/1791235/items/SNFPH456"],"itemData":{"id":3514,"type":"article-journal","abstract":"Une épidémie de maladie à virus monkeypox ou « variole du singe » a sévi fin 2015 dans le district de Bangassou. Une enquête a été réalisée dont l’objectif était de décrire l’épidémie selon les temps, les lieux et les personnes, et de déterminer son incidence et sa létalité. La collecte des données a été faite par interview. L’entretien a été réalisé avec les malades ou les parents des enfants malades. Des prélèvements ont été faits pour confirmation au laboratoire de l’Institut Pasteur de Bangui. Nos données ont été analysées avec Epi info7. Au total, 12 malades ont été enregistrés, dont 9 cas secondaires. Les tranches d’âge de 31 à 40 ans et de moins de 10 ans étaient les plus atteintes. La maladie a touché davantage les adultes. La moyenne d’âge était de 25 ans, allant de 15 mois à 41 ans. Le taux d’attaque et la létalité étaient respectivement de 0,2 pour 1 000 habitants et de 25 %. Plus de la moitié de la létalité frappait les enfants de moins de 10 ans. La fièvre et l’éruption cutanée étaient les symptômes dominants. Les adénopathies cervicales étaient présentes chez plus de la moitié des patients. Dix malades sur 12 ont dû être hospitalisés. La durée moyenne d’hospitalisation était de 13 jours. La maladie à virus monkeypox reste, comme la variole, une maladie grave, parfois mortelle. Une identification précise des souches virales s’avère indispensable. Lors d’une épidémie, une bonne communication et l’isolement des malades permettent de diminuer la transmission. D’autres mesures visant à limiter le contact avec la faune forestière pouvant être un réservoir de virus sont à encourager.","container-title":"Bulletin de la Société de pathologie exotique","DOI":"10.1007/s13149-016-0516-z","ISSN":"1961-9049","issue":"5","journalAbbreviation":"Bull. Soc. Pathol. Exot.","language":"fr","page":"358-63","source":"Springer Link","title":"Epidémie de 12 cas de maladie à virus monkeypox dans le district de Bangassou en République Centrafricaine en décembre 2015","volume":"109","author":[{"family":"Kalthan","given":"E."},{"family":"Dondo-Fongbia","given":"J. P."},{"family":"Yambele","given":"S."},{"family":"Dieu-Creer","given":"L. R."},{"family":"Zepio","given":"R."},{"family":"Pamatika","given":"C. M."}],"issued":{"date-parts":[["2016"]]}}}],"schema":"https://github.com/citation-style-language/schema/raw/master/csl-citation.json"}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[12]</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2E204724" w14:textId="05F026B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2015</w:t>
            </w:r>
          </w:p>
        </w:tc>
        <w:tc>
          <w:tcPr>
            <w:tcW w:w="1212" w:type="dxa"/>
            <w:tcBorders>
              <w:top w:val="nil"/>
              <w:left w:val="nil"/>
              <w:bottom w:val="nil"/>
              <w:right w:val="nil"/>
            </w:tcBorders>
            <w:noWrap/>
            <w:hideMark/>
          </w:tcPr>
          <w:p w14:paraId="2755EDBF" w14:textId="2088B070"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CAR</w:t>
            </w:r>
          </w:p>
        </w:tc>
        <w:tc>
          <w:tcPr>
            <w:tcW w:w="1082" w:type="dxa"/>
            <w:tcBorders>
              <w:top w:val="nil"/>
              <w:left w:val="nil"/>
              <w:bottom w:val="nil"/>
              <w:right w:val="nil"/>
            </w:tcBorders>
            <w:noWrap/>
            <w:hideMark/>
          </w:tcPr>
          <w:p w14:paraId="268E7EAC" w14:textId="7BAD0CE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439E4E7F" w14:textId="3D18FEC3"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2B3638F4" w14:textId="2410561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5A33A1CF" w14:textId="7679E676"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09D372BF" w14:textId="1DA7DBD8"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0FE5B61F" w14:textId="6547FB5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487520">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hideMark/>
          </w:tcPr>
          <w:p w14:paraId="7A888798" w14:textId="632B77B8"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12</w:t>
            </w:r>
          </w:p>
        </w:tc>
        <w:tc>
          <w:tcPr>
            <w:tcW w:w="1125" w:type="dxa"/>
            <w:tcBorders>
              <w:top w:val="nil"/>
              <w:left w:val="nil"/>
              <w:bottom w:val="nil"/>
              <w:right w:val="nil"/>
            </w:tcBorders>
            <w:noWrap/>
            <w:hideMark/>
          </w:tcPr>
          <w:p w14:paraId="7E8961BD" w14:textId="4938A926"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25.0</w:t>
            </w:r>
          </w:p>
        </w:tc>
      </w:tr>
      <w:tr w:rsidR="007569C4" w:rsidRPr="00B05F3A" w14:paraId="5451C823" w14:textId="77777777" w:rsidTr="00E43530">
        <w:trPr>
          <w:trHeight w:val="290"/>
        </w:trPr>
        <w:tc>
          <w:tcPr>
            <w:tcW w:w="2410" w:type="dxa"/>
            <w:tcBorders>
              <w:top w:val="nil"/>
              <w:left w:val="nil"/>
              <w:bottom w:val="nil"/>
              <w:right w:val="nil"/>
            </w:tcBorders>
            <w:noWrap/>
            <w:hideMark/>
          </w:tcPr>
          <w:p w14:paraId="4146FE10" w14:textId="7C7754C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proofErr w:type="spellStart"/>
            <w:r w:rsidRPr="009E5B06">
              <w:rPr>
                <w:rFonts w:ascii="Garamond" w:eastAsia="Times New Roman" w:hAnsi="Garamond" w:cs="Calibri"/>
                <w:color w:val="000000"/>
                <w:kern w:val="0"/>
                <w:sz w:val="20"/>
                <w:szCs w:val="20"/>
                <w:lang w:eastAsia="fr-FR"/>
                <w14:ligatures w14:val="none"/>
              </w:rPr>
              <w:t>Kalthan</w:t>
            </w:r>
            <w:proofErr w:type="spellEnd"/>
            <w:r w:rsidRPr="009E5B06">
              <w:rPr>
                <w:rFonts w:ascii="Garamond" w:eastAsia="Times New Roman" w:hAnsi="Garamond" w:cs="Calibri"/>
                <w:color w:val="000000"/>
                <w:kern w:val="0"/>
                <w:sz w:val="20"/>
                <w:szCs w:val="20"/>
                <w:lang w:eastAsia="fr-FR"/>
                <w14:ligatures w14:val="none"/>
              </w:rPr>
              <w:t xml:space="preserve">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{"citationID":"s9FvanVf","properties":{"formattedCitation":"[12]","plainCitation":"[12]","noteIndex":0},"citationItems":[{"id":3514,"uris":["http://zotero.org/users/1791235/items/SNFPH456"],"itemData":{"id":3514,"type":"article-journal","abstract":"Une épidémie de maladie à virus monkeypox ou « variole du singe » a sévi fin 2015 dans le district de Bangassou. Une enquête a été réalisée dont l’objectif était de décrire l’épidémie selon les temps, les lieux et les personnes, et de déterminer son incidence et sa létalité. La collecte des données a été faite par interview. L’entretien a été réalisé avec les malades ou les parents des enfants malades. Des prélèvements ont été faits pour confirmation au laboratoire de l’Institut Pasteur de Bangui. Nos données ont été analysées avec Epi info7. Au total, 12 malades ont été enregistrés, dont 9 cas secondaires. Les tranches d’âge de 31 à 40 ans et de moins de 10 ans étaient les plus atteintes. La maladie a touché davantage les adultes. La moyenne d’âge était de 25 ans, allant de 15 mois à 41 ans. Le taux d’attaque et la létalité étaient respectivement de 0,2 pour 1 000 habitants et de 25 %. Plus de la moitié de la létalité frappait les enfants de moins de 10 ans. La fièvre et l’éruption cutanée étaient les symptômes dominants. Les adénopathies cervicales étaient présentes chez plus de la moitié des patients. Dix malades sur 12 ont dû être hospitalisés. La durée moyenne d’hospitalisation était de 13 jours. La maladie à virus monkeypox reste, comme la variole, une maladie grave, parfois mortelle. Une identification précise des souches virales s’avère indispensable. Lors d’une épidémie, une bonne communication et l’isolement des malades permettent de diminuer la transmission. D’autres mesures visant à limiter le contact avec la faune forestière pouvant être un réservoir de virus sont à encourager.","container-title":"Bulletin de la Société de pathologie exotique","DOI":"10.1007/s13149-016-0516-z","ISSN":"1961-9049","issue":"5","journalAbbreviation":"Bull. Soc. Pathol. Exot.","language":"fr","page":"358-63","source":"Springer Link","title":"Epidémie de 12 cas de maladie à virus monkeypox dans le district de Bangassou en République Centrafricaine en décembre 2015","volume":"109","author":[{"family":"Kalthan","given":"E."},{"family":"Dondo-Fongbia","given":"J. P."},{"family":"Yambele","given":"S."},{"family":"Dieu-Creer","given":"L. R."},{"family":"Zepio","given":"R."},{"family":"Pamatika","given":"C. M."}],"issued":{"date-parts":[["2016"]]}}}],"schema":"https://github.com/citation-style-language/schema/raw/master/csl-citation.json"}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[12]</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5B8D8BF2" w14:textId="00DB1EA7"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2016</w:t>
            </w:r>
          </w:p>
        </w:tc>
        <w:tc>
          <w:tcPr>
            <w:tcW w:w="1212" w:type="dxa"/>
            <w:tcBorders>
              <w:top w:val="nil"/>
              <w:left w:val="nil"/>
              <w:bottom w:val="nil"/>
              <w:right w:val="nil"/>
            </w:tcBorders>
            <w:noWrap/>
            <w:hideMark/>
          </w:tcPr>
          <w:p w14:paraId="603E9E7A" w14:textId="1AA9F67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CAR</w:t>
            </w:r>
          </w:p>
        </w:tc>
        <w:tc>
          <w:tcPr>
            <w:tcW w:w="1082" w:type="dxa"/>
            <w:tcBorders>
              <w:top w:val="nil"/>
              <w:left w:val="nil"/>
              <w:bottom w:val="nil"/>
              <w:right w:val="nil"/>
            </w:tcBorders>
            <w:noWrap/>
            <w:hideMark/>
          </w:tcPr>
          <w:p w14:paraId="5D5286CF" w14:textId="412D2ABB"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420AA0E5" w14:textId="62A710D8"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2CCB4809" w14:textId="6F83715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0D9748C1" w14:textId="28894DE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7FCED286" w14:textId="0DBACD9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3C6F6AA5" w14:textId="30F219D7"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487520">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hideMark/>
          </w:tcPr>
          <w:p w14:paraId="195B2179" w14:textId="2E20BD81"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26</w:t>
            </w:r>
          </w:p>
        </w:tc>
        <w:tc>
          <w:tcPr>
            <w:tcW w:w="1125" w:type="dxa"/>
            <w:tcBorders>
              <w:top w:val="nil"/>
              <w:left w:val="nil"/>
              <w:bottom w:val="nil"/>
              <w:right w:val="nil"/>
            </w:tcBorders>
            <w:noWrap/>
            <w:hideMark/>
          </w:tcPr>
          <w:p w14:paraId="588DD5D9" w14:textId="1DF0572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3.8</w:t>
            </w:r>
          </w:p>
        </w:tc>
      </w:tr>
      <w:tr w:rsidR="007569C4" w:rsidRPr="00B05F3A" w14:paraId="7D602AD3" w14:textId="77777777" w:rsidTr="00E43530">
        <w:trPr>
          <w:trHeight w:val="290"/>
        </w:trPr>
        <w:tc>
          <w:tcPr>
            <w:tcW w:w="2410" w:type="dxa"/>
            <w:tcBorders>
              <w:top w:val="nil"/>
              <w:left w:val="nil"/>
              <w:bottom w:val="nil"/>
              <w:right w:val="nil"/>
            </w:tcBorders>
            <w:noWrap/>
            <w:hideMark/>
          </w:tcPr>
          <w:p w14:paraId="6077CC8A" w14:textId="1A5E5D33"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proofErr w:type="spellStart"/>
            <w:r w:rsidRPr="009E5B06">
              <w:rPr>
                <w:rFonts w:ascii="Garamond" w:eastAsia="Times New Roman" w:hAnsi="Garamond" w:cs="Calibri"/>
                <w:color w:val="000000"/>
                <w:kern w:val="0"/>
                <w:sz w:val="20"/>
                <w:szCs w:val="20"/>
                <w:lang w:eastAsia="fr-FR"/>
                <w14:ligatures w14:val="none"/>
              </w:rPr>
              <w:t>Nakoune</w:t>
            </w:r>
            <w:proofErr w:type="spellEnd"/>
            <w:r w:rsidRPr="009E5B06">
              <w:rPr>
                <w:rFonts w:ascii="Garamond" w:eastAsia="Times New Roman" w:hAnsi="Garamond" w:cs="Calibri"/>
                <w:color w:val="000000"/>
                <w:kern w:val="0"/>
                <w:sz w:val="20"/>
                <w:szCs w:val="20"/>
                <w:lang w:eastAsia="fr-FR"/>
                <w14:ligatures w14:val="none"/>
              </w:rPr>
              <w:t xml:space="preserve">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{"citationID":"fpCUS2kd","properties":{"formattedCitation":"[13]","plainCitation":"[13]","noteIndex":0},"citationItems":[{"id":3697,"uris":["http://zotero.org/users/1791235/items/LJMRJHPG"],"itemData":{"id":3697,"type":"article-journal","abstract":"Abstract\n            An outbreak of familial monkeypox occurred in the Central African Republic in 2015/2016 by 3 transmission modes: familial, health care–related, and transport-related. Ten people (3 children and 7 adults) were infected. Most presented with cutaneous lesions and fever, and 2 children died. The viral strain responsible was a Zaire genotype strain.","container-title":"Open Forum Infectious Diseases","DOI":"10.1093/ofid/ofx168","ISSN":"2328-8957","issue":"4","language":"en","license":"http://creativecommons.org/licenses/by-nc-nd/4.0","page":"ofx168","source":"DOI.org (Crossref)","title":"A Nosocomial Outbreak of Human Monkeypox in the Central African Republic","volume":"4","author":[{"family":"Nakoune","given":"Emmanuel"},{"family":"Lampaert","given":"Emmanuel"},{"family":"Ndjapou","given":"Séverin Gervais"},{"family":"Janssens","given":"Carole"},{"family":"Zuniga","given":"Isabel"},{"family":"Van Herp","given":"Michel"},{"family":"Fongbia","given":"Jean Paul"},{"family":"Koyazegbe","given":"Thomas Daquin"},{"family":"Selekon","given":"Benjamin"},{"family":"Komoyo","given":"Giscard Francis"},{"family":"Garba-Ouangole","given":"Sandra Miriella"},{"family":"Manengu","given":"Casimir"},{"family":"Manuguerra","given":"Jean-Claude"},{"family":"Kazanji","given":"Mirdad"},{"family":"Gessain","given":"Antoine"},{"family":"Berthet","given":"Nicolas"}],"issued":{"date-parts":[["2017"]]}}}],"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[13]</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6EEEC490" w14:textId="6A9E79DF"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2016</w:t>
            </w:r>
          </w:p>
        </w:tc>
        <w:tc>
          <w:tcPr>
            <w:tcW w:w="1212" w:type="dxa"/>
            <w:tcBorders>
              <w:top w:val="nil"/>
              <w:left w:val="nil"/>
              <w:bottom w:val="nil"/>
              <w:right w:val="nil"/>
            </w:tcBorders>
            <w:noWrap/>
            <w:hideMark/>
          </w:tcPr>
          <w:p w14:paraId="58F7C0DF" w14:textId="02711C47"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CAR</w:t>
            </w:r>
          </w:p>
        </w:tc>
        <w:tc>
          <w:tcPr>
            <w:tcW w:w="1082" w:type="dxa"/>
            <w:tcBorders>
              <w:top w:val="nil"/>
              <w:left w:val="nil"/>
              <w:bottom w:val="nil"/>
              <w:right w:val="nil"/>
            </w:tcBorders>
            <w:noWrap/>
            <w:hideMark/>
          </w:tcPr>
          <w:p w14:paraId="33AF0EE4" w14:textId="0D18AE8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5DDB1F89" w14:textId="2306FE4C"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3A55BB63" w14:textId="33E75386"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 and HCWs</w:t>
            </w:r>
          </w:p>
        </w:tc>
        <w:tc>
          <w:tcPr>
            <w:tcW w:w="1105" w:type="dxa"/>
            <w:tcBorders>
              <w:top w:val="nil"/>
              <w:left w:val="nil"/>
              <w:bottom w:val="nil"/>
              <w:right w:val="nil"/>
            </w:tcBorders>
            <w:noWrap/>
            <w:hideMark/>
          </w:tcPr>
          <w:p w14:paraId="06029F08" w14:textId="4FD69B0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2D9BB61F" w14:textId="55BEF886"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49A6904A" w14:textId="2B81B438"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63536A">
              <w:rPr>
                <w:rFonts w:ascii="Garamond" w:eastAsia="Times New Roman" w:hAnsi="Garamond" w:cs="Calibri"/>
                <w:color w:val="000000"/>
                <w:kern w:val="0"/>
                <w:sz w:val="20"/>
                <w:szCs w:val="20"/>
                <w:lang w:eastAsia="fr-FR"/>
                <w14:ligatures w14:val="none"/>
              </w:rPr>
              <w:t>Moderate</w:t>
            </w:r>
          </w:p>
        </w:tc>
        <w:tc>
          <w:tcPr>
            <w:tcW w:w="1077" w:type="dxa"/>
            <w:tcBorders>
              <w:top w:val="nil"/>
              <w:left w:val="nil"/>
              <w:bottom w:val="nil"/>
              <w:right w:val="nil"/>
            </w:tcBorders>
            <w:noWrap/>
            <w:hideMark/>
          </w:tcPr>
          <w:p w14:paraId="15FA363C" w14:textId="7DABAF2E"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10</w:t>
            </w:r>
          </w:p>
        </w:tc>
        <w:tc>
          <w:tcPr>
            <w:tcW w:w="1125" w:type="dxa"/>
            <w:tcBorders>
              <w:top w:val="nil"/>
              <w:left w:val="nil"/>
              <w:bottom w:val="nil"/>
              <w:right w:val="nil"/>
            </w:tcBorders>
            <w:noWrap/>
            <w:hideMark/>
          </w:tcPr>
          <w:p w14:paraId="719F0A6F" w14:textId="04F3300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20.0</w:t>
            </w:r>
          </w:p>
        </w:tc>
      </w:tr>
      <w:tr w:rsidR="007569C4" w:rsidRPr="00B05F3A" w14:paraId="1EF62472" w14:textId="77777777" w:rsidTr="00E43530">
        <w:trPr>
          <w:trHeight w:val="290"/>
        </w:trPr>
        <w:tc>
          <w:tcPr>
            <w:tcW w:w="2410" w:type="dxa"/>
            <w:tcBorders>
              <w:top w:val="nil"/>
              <w:left w:val="nil"/>
              <w:bottom w:val="nil"/>
              <w:right w:val="nil"/>
            </w:tcBorders>
            <w:noWrap/>
            <w:hideMark/>
          </w:tcPr>
          <w:p w14:paraId="6D57CD12" w14:textId="512CCC23"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 xml:space="preserve">Durski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{"citationID":"xSDyXk5q","properties":{"formattedCitation":"[3]","plainCitation":"[3]","noteIndex":0},"citationItems":[{"id":4430,"uris":["http://zotero.org/users/1791235/items/IRD42T88"],"itemData":{"id":4430,"type":"article-journal","abstract":"The recent apparent increase in human monkeypox cases across a wide geographic area, the potential for further spread, and the lack of reliable surveillance have raised the level of concern for ...","container-title":"MMWR. Morbidity and Mortality Weekly Report","DOI":"10.15585/mmwr.mm6710a5","ISSN":"0149-21951545-861X","journalAbbreviation":"MMWR Morb Mortal Wkly Rep","language":"en-us","source":"www.cdc.gov","title":"Emergence of Monkeypox — West and Central Africa, 1970–2017","URL":"https://www.cdc.gov/mmwr/volumes/67/wr/mm6710a5.htm","volume":"67","author":[{"family":"Durski","given":"Kara N."}],"accessed":{"date-parts":[["2025",6,29]]},"issued":{"date-parts":[["2018"]]}}}],"schema":"https://github.com/citation-style-language/schema/raw/master/csl-citation.json"}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[3]</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5C632572" w14:textId="67F7B36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2017</w:t>
            </w:r>
          </w:p>
        </w:tc>
        <w:tc>
          <w:tcPr>
            <w:tcW w:w="1212" w:type="dxa"/>
            <w:tcBorders>
              <w:top w:val="nil"/>
              <w:left w:val="nil"/>
              <w:bottom w:val="nil"/>
              <w:right w:val="nil"/>
            </w:tcBorders>
            <w:noWrap/>
            <w:hideMark/>
          </w:tcPr>
          <w:p w14:paraId="62A074A2" w14:textId="3952E71D"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CAR</w:t>
            </w:r>
          </w:p>
        </w:tc>
        <w:tc>
          <w:tcPr>
            <w:tcW w:w="1082" w:type="dxa"/>
            <w:tcBorders>
              <w:top w:val="nil"/>
              <w:left w:val="nil"/>
              <w:bottom w:val="nil"/>
              <w:right w:val="nil"/>
            </w:tcBorders>
            <w:noWrap/>
            <w:hideMark/>
          </w:tcPr>
          <w:p w14:paraId="40A74C1C" w14:textId="66C849B8"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6D1F9F2B" w14:textId="0365FCD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712A1C05" w14:textId="1532170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7781DF21" w14:textId="2619A02F"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4C59E3CF" w14:textId="17D43576"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2F85488D" w14:textId="4EE50051"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63536A">
              <w:rPr>
                <w:rFonts w:ascii="Garamond" w:eastAsia="Times New Roman" w:hAnsi="Garamond" w:cs="Calibri"/>
                <w:color w:val="000000"/>
                <w:kern w:val="0"/>
                <w:sz w:val="20"/>
                <w:szCs w:val="20"/>
                <w:lang w:eastAsia="fr-FR"/>
                <w14:ligatures w14:val="none"/>
              </w:rPr>
              <w:t>Moderate</w:t>
            </w:r>
          </w:p>
        </w:tc>
        <w:tc>
          <w:tcPr>
            <w:tcW w:w="1077" w:type="dxa"/>
            <w:tcBorders>
              <w:top w:val="nil"/>
              <w:left w:val="nil"/>
              <w:bottom w:val="nil"/>
              <w:right w:val="nil"/>
            </w:tcBorders>
            <w:noWrap/>
            <w:hideMark/>
          </w:tcPr>
          <w:p w14:paraId="273D2696" w14:textId="675D25E7"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w:t>
            </w:r>
          </w:p>
        </w:tc>
        <w:tc>
          <w:tcPr>
            <w:tcW w:w="1125" w:type="dxa"/>
            <w:tcBorders>
              <w:top w:val="nil"/>
              <w:left w:val="nil"/>
              <w:bottom w:val="nil"/>
              <w:right w:val="nil"/>
            </w:tcBorders>
            <w:noWrap/>
            <w:hideMark/>
          </w:tcPr>
          <w:p w14:paraId="7F95554B" w14:textId="18B89D61"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0.0</w:t>
            </w:r>
          </w:p>
        </w:tc>
      </w:tr>
      <w:tr w:rsidR="007569C4" w:rsidRPr="00B05F3A" w14:paraId="661669F9" w14:textId="77777777" w:rsidTr="00E43530">
        <w:trPr>
          <w:trHeight w:val="290"/>
        </w:trPr>
        <w:tc>
          <w:tcPr>
            <w:tcW w:w="2410" w:type="dxa"/>
            <w:tcBorders>
              <w:top w:val="nil"/>
              <w:left w:val="nil"/>
              <w:bottom w:val="nil"/>
              <w:right w:val="nil"/>
            </w:tcBorders>
            <w:noWrap/>
            <w:hideMark/>
          </w:tcPr>
          <w:p w14:paraId="63E0E92D" w14:textId="43DFC85F"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 xml:space="preserve">Durski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{"citationID":"FVFmZ4or","properties":{"formattedCitation":"[3]","plainCitation":"[3]","noteIndex":0},"citationItems":[{"id":4430,"uris":["http://zotero.org/users/1791235/items/IRD42T88"],"itemData":{"id":4430,"type":"article-journal","abstract":"The recent apparent increase in human monkeypox cases across a wide geographic area, the potential for further spread, and the lack of reliable surveillance have raised the level of concern for ...","container-title":"MMWR. Morbidity and Mortality Weekly Report","DOI":"10.15585/mmwr.mm6710a5","ISSN":"0149-21951545-861X","journalAbbreviation":"MMWR Morb Mortal Wkly Rep","language":"en-us","source":"www.cdc.gov","title":"Emergence of Monkeypox — West and Central Africa, 1970–2017","URL":"https://www.cdc.gov/mmwr/volumes/67/wr/mm6710a5.htm","volume":"67","author":[{"family":"Durski","given":"Kara N."}],"accessed":{"date-parts":[["2025",6,29]]},"issued":{"date-parts":[["2018"]]}}}],"schema":"https://github.com/citation-style-language/schema/raw/master/csl-citation.json"}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[3]</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465E534A" w14:textId="04E8CE2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2017</w:t>
            </w:r>
          </w:p>
        </w:tc>
        <w:tc>
          <w:tcPr>
            <w:tcW w:w="1212" w:type="dxa"/>
            <w:tcBorders>
              <w:top w:val="nil"/>
              <w:left w:val="nil"/>
              <w:bottom w:val="nil"/>
              <w:right w:val="nil"/>
            </w:tcBorders>
            <w:noWrap/>
            <w:hideMark/>
          </w:tcPr>
          <w:p w14:paraId="2BAE25F6" w14:textId="0BBF50B1"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CAR</w:t>
            </w:r>
          </w:p>
        </w:tc>
        <w:tc>
          <w:tcPr>
            <w:tcW w:w="1082" w:type="dxa"/>
            <w:tcBorders>
              <w:top w:val="nil"/>
              <w:left w:val="nil"/>
              <w:bottom w:val="nil"/>
              <w:right w:val="nil"/>
            </w:tcBorders>
            <w:noWrap/>
            <w:hideMark/>
          </w:tcPr>
          <w:p w14:paraId="52F30D4E" w14:textId="0799456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5152595A" w14:textId="4785E21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5F3AC0BD" w14:textId="5DA11BF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6C00F3D7" w14:textId="0F2A5784"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7B976F7F" w14:textId="5D03FBDB"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7B9D46A8" w14:textId="2B29EF84"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63536A">
              <w:rPr>
                <w:rFonts w:ascii="Garamond" w:eastAsia="Times New Roman" w:hAnsi="Garamond" w:cs="Calibri"/>
                <w:color w:val="000000"/>
                <w:kern w:val="0"/>
                <w:sz w:val="20"/>
                <w:szCs w:val="20"/>
                <w:lang w:eastAsia="fr-FR"/>
                <w14:ligatures w14:val="none"/>
              </w:rPr>
              <w:t>Moderate</w:t>
            </w:r>
          </w:p>
        </w:tc>
        <w:tc>
          <w:tcPr>
            <w:tcW w:w="1077" w:type="dxa"/>
            <w:tcBorders>
              <w:top w:val="nil"/>
              <w:left w:val="nil"/>
              <w:bottom w:val="nil"/>
              <w:right w:val="nil"/>
            </w:tcBorders>
            <w:noWrap/>
            <w:hideMark/>
          </w:tcPr>
          <w:p w14:paraId="5BAC8E0B" w14:textId="3D6B233E"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6</w:t>
            </w:r>
          </w:p>
        </w:tc>
        <w:tc>
          <w:tcPr>
            <w:tcW w:w="1125" w:type="dxa"/>
            <w:tcBorders>
              <w:top w:val="nil"/>
              <w:left w:val="nil"/>
              <w:bottom w:val="nil"/>
              <w:right w:val="nil"/>
            </w:tcBorders>
            <w:noWrap/>
            <w:hideMark/>
          </w:tcPr>
          <w:p w14:paraId="6C53CE18" w14:textId="568C5DC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0.0</w:t>
            </w:r>
          </w:p>
        </w:tc>
      </w:tr>
      <w:tr w:rsidR="007569C4" w:rsidRPr="00B05F3A" w14:paraId="01AC95F6" w14:textId="77777777" w:rsidTr="00E43530">
        <w:trPr>
          <w:trHeight w:val="290"/>
        </w:trPr>
        <w:tc>
          <w:tcPr>
            <w:tcW w:w="2410" w:type="dxa"/>
            <w:tcBorders>
              <w:top w:val="nil"/>
              <w:left w:val="nil"/>
              <w:bottom w:val="nil"/>
              <w:right w:val="nil"/>
            </w:tcBorders>
            <w:noWrap/>
            <w:hideMark/>
          </w:tcPr>
          <w:p w14:paraId="04EC6E05" w14:textId="5CF61B1B"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 xml:space="preserve">Doshi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{"citationID":"1pVDaauZ","properties":{"formattedCitation":"[3]","plainCitation":"[3]","noteIndex":0},"citationItems":[{"id":4430,"uris":["http://zotero.org/users/1791235/items/IRD42T88"],"itemData":{"id":4430,"type":"article-journal","abstract":"The recent apparent increase in human monkeypox cases across a wide geographic area, the potential for further spread, and the lack of reliable surveillance have raised the level of concern for ...","container-title":"MMWR. Morbidity and Mortality Weekly Report","DOI":"10.15585/mmwr.mm6710a5","ISSN":"0149-21951545-861X","journalAbbreviation":"MMWR Morb Mortal Wkly Rep","language":"en-us","source":"www.cdc.gov","title":"Emergence of Monkeypox — West and Central Africa, 1970–2017","URL":"https://www.cdc.gov/mmwr/volumes/67/wr/mm6710a5.htm","volume":"67","author":[{"family":"Durski","given":"Kara N."}],"accessed":{"date-parts":[["2025",6,29]]},"issued":{"date-parts":[["2018"]]}}}],"schema":"https://github.com/citation-style-language/schema/raw/master/csl-citation.json"}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[3]</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7D457341" w14:textId="50A4B5F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2017</w:t>
            </w:r>
          </w:p>
        </w:tc>
        <w:tc>
          <w:tcPr>
            <w:tcW w:w="1212" w:type="dxa"/>
            <w:tcBorders>
              <w:top w:val="nil"/>
              <w:left w:val="nil"/>
              <w:bottom w:val="nil"/>
              <w:right w:val="nil"/>
            </w:tcBorders>
            <w:noWrap/>
            <w:hideMark/>
          </w:tcPr>
          <w:p w14:paraId="6C6382B7" w14:textId="4CC105CE"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Congo</w:t>
            </w:r>
          </w:p>
        </w:tc>
        <w:tc>
          <w:tcPr>
            <w:tcW w:w="1082" w:type="dxa"/>
            <w:tcBorders>
              <w:top w:val="nil"/>
              <w:left w:val="nil"/>
              <w:bottom w:val="nil"/>
              <w:right w:val="nil"/>
            </w:tcBorders>
            <w:noWrap/>
            <w:hideMark/>
          </w:tcPr>
          <w:p w14:paraId="409A9B4B" w14:textId="36758505" w:rsidR="007569C4" w:rsidRPr="009E5B06" w:rsidRDefault="0041648E" w:rsidP="006B38D1">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Case series</w:t>
            </w:r>
          </w:p>
        </w:tc>
        <w:tc>
          <w:tcPr>
            <w:tcW w:w="1180" w:type="dxa"/>
            <w:tcBorders>
              <w:top w:val="nil"/>
              <w:left w:val="nil"/>
              <w:bottom w:val="nil"/>
              <w:right w:val="nil"/>
            </w:tcBorders>
            <w:noWrap/>
            <w:hideMark/>
          </w:tcPr>
          <w:p w14:paraId="06446CFB" w14:textId="04CFD73F"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0A159FC5" w14:textId="5CEA2A2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7A9F0016" w14:textId="5ABD577E"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40D33CAF" w14:textId="202E6A3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02CBE69C" w14:textId="74FE4770"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63536A">
              <w:rPr>
                <w:rFonts w:ascii="Garamond" w:eastAsia="Times New Roman" w:hAnsi="Garamond" w:cs="Calibri"/>
                <w:color w:val="000000"/>
                <w:kern w:val="0"/>
                <w:sz w:val="20"/>
                <w:szCs w:val="20"/>
                <w:lang w:eastAsia="fr-FR"/>
                <w14:ligatures w14:val="none"/>
              </w:rPr>
              <w:t>Moderate</w:t>
            </w:r>
          </w:p>
        </w:tc>
        <w:tc>
          <w:tcPr>
            <w:tcW w:w="1077" w:type="dxa"/>
            <w:tcBorders>
              <w:top w:val="nil"/>
              <w:left w:val="nil"/>
              <w:bottom w:val="nil"/>
              <w:right w:val="nil"/>
            </w:tcBorders>
            <w:noWrap/>
            <w:hideMark/>
          </w:tcPr>
          <w:p w14:paraId="635AAAC3" w14:textId="58D1582B"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7</w:t>
            </w:r>
          </w:p>
        </w:tc>
        <w:tc>
          <w:tcPr>
            <w:tcW w:w="1125" w:type="dxa"/>
            <w:tcBorders>
              <w:top w:val="nil"/>
              <w:left w:val="nil"/>
              <w:bottom w:val="nil"/>
              <w:right w:val="nil"/>
            </w:tcBorders>
            <w:noWrap/>
            <w:hideMark/>
          </w:tcPr>
          <w:p w14:paraId="03AF9325" w14:textId="29EEF976"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85.7</w:t>
            </w:r>
          </w:p>
        </w:tc>
      </w:tr>
      <w:tr w:rsidR="007569C4" w:rsidRPr="00B05F3A" w14:paraId="6AB13EB4" w14:textId="77777777" w:rsidTr="00E43530">
        <w:trPr>
          <w:trHeight w:val="290"/>
        </w:trPr>
        <w:tc>
          <w:tcPr>
            <w:tcW w:w="2410" w:type="dxa"/>
            <w:tcBorders>
              <w:top w:val="nil"/>
              <w:left w:val="nil"/>
              <w:bottom w:val="nil"/>
              <w:right w:val="nil"/>
            </w:tcBorders>
            <w:noWrap/>
            <w:hideMark/>
          </w:tcPr>
          <w:p w14:paraId="5501B597" w14:textId="3BB6675E"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 xml:space="preserve">Durski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{"citationID":"s4VHfipw","properties":{"formattedCitation":"[3]","plainCitation":"[3]","noteIndex":0},"citationItems":[{"id":4430,"uris":["http://zotero.org/users/1791235/items/IRD42T88"],"itemData":{"id":4430,"type":"article-journal","abstract":"The recent apparent increase in human monkeypox cases across a wide geographic area, the potential for further spread, and the lack of reliable surveillance have raised the level of concern for ...","container-title":"MMWR. Morbidity and Mortality Weekly Report","DOI":"10.15585/mmwr.mm6710a5","ISSN":"0149-21951545-861X","journalAbbreviation":"MMWR Morb Mortal Wkly Rep","language":"en-us","source":"www.cdc.gov","title":"Emergence of Monkeypox — West and Central Africa, 1970–2017","URL":"https://www.cdc.gov/mmwr/volumes/67/wr/mm6710a5.htm","volume":"67","author":[{"family":"Durski","given":"Kara N."}],"accessed":{"date-parts":[["2025",6,29]]},"issued":{"date-parts":[["2018"]]}}}],"schema":"https://github.com/citation-style-language/schema/raw/master/csl-citation.json"}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[3]</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3DA036AD" w14:textId="01D033EE"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2017</w:t>
            </w:r>
          </w:p>
        </w:tc>
        <w:tc>
          <w:tcPr>
            <w:tcW w:w="1212" w:type="dxa"/>
            <w:tcBorders>
              <w:top w:val="nil"/>
              <w:left w:val="nil"/>
              <w:bottom w:val="nil"/>
              <w:right w:val="nil"/>
            </w:tcBorders>
            <w:noWrap/>
            <w:hideMark/>
          </w:tcPr>
          <w:p w14:paraId="465E6D01" w14:textId="55B2FF43"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 xml:space="preserve">Liberia </w:t>
            </w:r>
          </w:p>
        </w:tc>
        <w:tc>
          <w:tcPr>
            <w:tcW w:w="1082" w:type="dxa"/>
            <w:tcBorders>
              <w:top w:val="nil"/>
              <w:left w:val="nil"/>
              <w:bottom w:val="nil"/>
              <w:right w:val="nil"/>
            </w:tcBorders>
            <w:noWrap/>
            <w:hideMark/>
          </w:tcPr>
          <w:p w14:paraId="2F889741" w14:textId="09F856A7"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261F74ED" w14:textId="6746D053"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1FD5798C" w14:textId="483593D3"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5BA4B458" w14:textId="020A86CD"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58A76E8E" w14:textId="44FBF19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2A492E94" w14:textId="6D4916F4"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63536A">
              <w:rPr>
                <w:rFonts w:ascii="Garamond" w:eastAsia="Times New Roman" w:hAnsi="Garamond" w:cs="Calibri"/>
                <w:color w:val="000000"/>
                <w:kern w:val="0"/>
                <w:sz w:val="20"/>
                <w:szCs w:val="20"/>
                <w:lang w:eastAsia="fr-FR"/>
                <w14:ligatures w14:val="none"/>
              </w:rPr>
              <w:t>Moderate</w:t>
            </w:r>
          </w:p>
        </w:tc>
        <w:tc>
          <w:tcPr>
            <w:tcW w:w="1077" w:type="dxa"/>
            <w:tcBorders>
              <w:top w:val="nil"/>
              <w:left w:val="nil"/>
              <w:bottom w:val="nil"/>
              <w:right w:val="nil"/>
            </w:tcBorders>
            <w:noWrap/>
            <w:hideMark/>
          </w:tcPr>
          <w:p w14:paraId="548CBA4F" w14:textId="626B4EAF"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w:t>
            </w:r>
          </w:p>
        </w:tc>
        <w:tc>
          <w:tcPr>
            <w:tcW w:w="1125" w:type="dxa"/>
            <w:tcBorders>
              <w:top w:val="nil"/>
              <w:left w:val="nil"/>
              <w:bottom w:val="nil"/>
              <w:right w:val="nil"/>
            </w:tcBorders>
            <w:noWrap/>
            <w:hideMark/>
          </w:tcPr>
          <w:p w14:paraId="29DBA763" w14:textId="1DA3E8E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0.0</w:t>
            </w:r>
          </w:p>
        </w:tc>
      </w:tr>
      <w:tr w:rsidR="007569C4" w:rsidRPr="00B05F3A" w14:paraId="3E7037EE" w14:textId="77777777" w:rsidTr="00E43530">
        <w:trPr>
          <w:trHeight w:val="290"/>
        </w:trPr>
        <w:tc>
          <w:tcPr>
            <w:tcW w:w="2410" w:type="dxa"/>
            <w:tcBorders>
              <w:top w:val="nil"/>
              <w:left w:val="nil"/>
              <w:bottom w:val="nil"/>
              <w:right w:val="nil"/>
            </w:tcBorders>
            <w:noWrap/>
            <w:hideMark/>
          </w:tcPr>
          <w:p w14:paraId="2CBF7302" w14:textId="143C090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proofErr w:type="spellStart"/>
            <w:r w:rsidRPr="009E5B06">
              <w:rPr>
                <w:rFonts w:ascii="Garamond" w:eastAsia="Times New Roman" w:hAnsi="Garamond" w:cs="Calibri"/>
                <w:color w:val="000000"/>
                <w:kern w:val="0"/>
                <w:sz w:val="20"/>
                <w:szCs w:val="20"/>
                <w:lang w:eastAsia="fr-FR"/>
                <w14:ligatures w14:val="none"/>
              </w:rPr>
              <w:t>Ogoina</w:t>
            </w:r>
            <w:proofErr w:type="spellEnd"/>
            <w:r w:rsidRPr="009E5B06">
              <w:rPr>
                <w:rFonts w:ascii="Garamond" w:eastAsia="Times New Roman" w:hAnsi="Garamond" w:cs="Calibri"/>
                <w:color w:val="000000"/>
                <w:kern w:val="0"/>
                <w:sz w:val="20"/>
                <w:szCs w:val="20"/>
                <w:lang w:eastAsia="fr-FR"/>
                <w14:ligatures w14:val="none"/>
              </w:rPr>
              <w:t xml:space="preserve">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{"citationID":"WKnWTl3E","properties":{"formattedCitation":"[14]","plainCitation":"[14]","noteIndex":0},"citationItems":[{"id":4748,"uris":["http://zotero.org/users/1791235/items/5G2HLEYX"],"itemData":{"id":4748,"type":"article-journal","abstract":"Background In September 2017, Nigeria experienced a large outbreak of human monkeypox (HMPX). In this study, we report the outbreak experience and response in the Niger Delta University Teaching Hospital (NDUTH), Bayelsa state, where the index case and majority of suspected cases were reported. Methods In a cross-sectional study between September 25th and 31st December 2017, we reviewed the clinical and laboratory characteristics of all suspected and confirmed cases of HMPX seen at the NDUTH and appraised the plans, activities and challenges of the hospital in response to the outbreak based on documented observations of the hospital’s infection control committee (IPC). Monkeypox cases were defined using the interim national guidelines as provided by the Nigerian Centre for Disease Control (NCDC). Results Of 38 suspected cases of HMPX, 18(47.4%) were laboratory confirmed, 3(7.9%) were probable, while 17 (18.4%) did not fit the case definition for HMPX. Majority of the confirmed/probable cases were adults (80.9%) and males (80.9%). There was concomitant chicken pox, syphilis and HIV-1 infections in two confirmed cases and a case of nosocomial infection in one healthcare worker (HCW). The hospital established a make-shift isolation ward for case management, constituted a HMPX response team and provided IPC resources. At the outset, some HCWs were reluctant to participate in the outbreak and others avoided suspected patients. Some patients and their family members experienced stigma and discrimination and there were cases of refusal of isolation. Repeated trainings and collaborative efforts by all stakeholders addressed some of these challenges and eventually led to successful containment of the outbreak. Conclusion While the 2017 outbreak of human monkeypox in Nigeria was contained, our report reveals gaps in outbreak response that could serve as lessons to other hospitals to strengthen epidemic preparedness and response activities in the hospital setting.","container-title":"PLOS ONE","DOI":"10.1371/journal.pone.0214229","ISSN":"1932-6203","issue":"4","journalAbbreviation":"PLOS ONE","language":"en","note":"publisher: Public Library of Science","page":"e0214229","source":"PLoS Journals","title":"The 2017 human monkeypox outbreak in Nigeria—Report of outbreak experience and response in the Niger Delta University Teaching Hospital, Bayelsa State, Nigeria","volume":"14","author":[{"family":"Ogoina","given":"Dimie"},{"family":"Izibewule","given":"James Hendris"},{"family":"Ogunleye","given":"Adesola"},{"family":"Ederiane","given":"Ebi"},{"family":"Anebonam","given":"Uchenna"},{"family":"Neni","given":"Aworabhi"},{"family":"Oyeyemi","given":"Abisoye"},{"family":"Etebu","given":"Ebimitula Nicholas"},{"family":"Ihekweazu","given":"Chikwe"}],"issued":{"date-parts":[["2019"]]}}}],"schema":"https://github.com/citation-style-language/schema/raw/master/csl-citation.json"}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[14]</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47ABD19E" w14:textId="49F535B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2017</w:t>
            </w:r>
          </w:p>
        </w:tc>
        <w:tc>
          <w:tcPr>
            <w:tcW w:w="1212" w:type="dxa"/>
            <w:tcBorders>
              <w:top w:val="nil"/>
              <w:left w:val="nil"/>
              <w:bottom w:val="nil"/>
              <w:right w:val="nil"/>
            </w:tcBorders>
            <w:noWrap/>
            <w:hideMark/>
          </w:tcPr>
          <w:p w14:paraId="25957597" w14:textId="29D176A3"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Nigeria</w:t>
            </w:r>
          </w:p>
        </w:tc>
        <w:tc>
          <w:tcPr>
            <w:tcW w:w="1082" w:type="dxa"/>
            <w:tcBorders>
              <w:top w:val="nil"/>
              <w:left w:val="nil"/>
              <w:bottom w:val="nil"/>
              <w:right w:val="nil"/>
            </w:tcBorders>
            <w:noWrap/>
            <w:hideMark/>
          </w:tcPr>
          <w:p w14:paraId="71CCD780" w14:textId="000B660D"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5A744BCD" w14:textId="29F5729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Hospital</w:t>
            </w:r>
          </w:p>
        </w:tc>
        <w:tc>
          <w:tcPr>
            <w:tcW w:w="1707" w:type="dxa"/>
            <w:tcBorders>
              <w:top w:val="nil"/>
              <w:left w:val="nil"/>
              <w:bottom w:val="nil"/>
              <w:right w:val="nil"/>
            </w:tcBorders>
            <w:noWrap/>
            <w:hideMark/>
          </w:tcPr>
          <w:p w14:paraId="3A8CCC84" w14:textId="53513D0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468EC403" w14:textId="5F72AC9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6E027BAE" w14:textId="3C7BFDE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704FC52F" w14:textId="1ACF16C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677D28">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hideMark/>
          </w:tcPr>
          <w:p w14:paraId="3F4C8965" w14:textId="6B4F96DF"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18</w:t>
            </w:r>
          </w:p>
        </w:tc>
        <w:tc>
          <w:tcPr>
            <w:tcW w:w="1125" w:type="dxa"/>
            <w:tcBorders>
              <w:top w:val="nil"/>
              <w:left w:val="nil"/>
              <w:bottom w:val="nil"/>
              <w:right w:val="nil"/>
            </w:tcBorders>
            <w:noWrap/>
            <w:hideMark/>
          </w:tcPr>
          <w:p w14:paraId="07074F0C" w14:textId="72A7816C"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0.0</w:t>
            </w:r>
          </w:p>
        </w:tc>
      </w:tr>
      <w:tr w:rsidR="007569C4" w:rsidRPr="00B05F3A" w14:paraId="04E26039" w14:textId="77777777" w:rsidTr="00E43530">
        <w:trPr>
          <w:trHeight w:val="290"/>
        </w:trPr>
        <w:tc>
          <w:tcPr>
            <w:tcW w:w="2410" w:type="dxa"/>
            <w:tcBorders>
              <w:top w:val="nil"/>
              <w:left w:val="nil"/>
              <w:bottom w:val="nil"/>
              <w:right w:val="nil"/>
            </w:tcBorders>
            <w:noWrap/>
            <w:hideMark/>
          </w:tcPr>
          <w:p w14:paraId="721E849E" w14:textId="60546B04"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 xml:space="preserve">Ita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{"citationID":"2lAUdila","properties":{"formattedCitation":"[15]","plainCitation":"[15]","noteIndex":0},"citationItems":[{"id":4741,"uris":["http://zotero.org/users/1791235/items/5TBIWWE2"],"itemData":{"id":4741,"type":"article-journal","container-title":"East Afr. Scholars J. Med. Sci.","issue":"5","journalAbbreviation":"East Afr. Scholars J. Med. Sci.","page":"224-227","title":"Descriptive epidemiology of monkeypox outbreak in Akwa Ibom State, Nigeria—5th October to 7th November 2017","volume":"2","author":[{"family":"Ita","given":"O Ita"},{"family":"Amuzi","given":"CI"},{"family":"Udo","given":"UA"},{"family":"Uwa","given":"A"}],"issued":{"date-parts":[["2019"]]}}}],"schema":"https://github.com/citation-style-language/schema/raw/master/csl-citation.json"}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[15]</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17D29577" w14:textId="245B47F6"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2017</w:t>
            </w:r>
          </w:p>
        </w:tc>
        <w:tc>
          <w:tcPr>
            <w:tcW w:w="1212" w:type="dxa"/>
            <w:tcBorders>
              <w:top w:val="nil"/>
              <w:left w:val="nil"/>
              <w:bottom w:val="nil"/>
              <w:right w:val="nil"/>
            </w:tcBorders>
            <w:noWrap/>
            <w:hideMark/>
          </w:tcPr>
          <w:p w14:paraId="04BCB7A6" w14:textId="4513808C"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Nigeria</w:t>
            </w:r>
          </w:p>
        </w:tc>
        <w:tc>
          <w:tcPr>
            <w:tcW w:w="1082" w:type="dxa"/>
            <w:tcBorders>
              <w:top w:val="nil"/>
              <w:left w:val="nil"/>
              <w:bottom w:val="nil"/>
              <w:right w:val="nil"/>
            </w:tcBorders>
            <w:noWrap/>
            <w:hideMark/>
          </w:tcPr>
          <w:p w14:paraId="56DDFE5F" w14:textId="1DB368F6"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1D745CA7" w14:textId="365E1AB1"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Hospital</w:t>
            </w:r>
          </w:p>
        </w:tc>
        <w:tc>
          <w:tcPr>
            <w:tcW w:w="1707" w:type="dxa"/>
            <w:tcBorders>
              <w:top w:val="nil"/>
              <w:left w:val="nil"/>
              <w:bottom w:val="nil"/>
              <w:right w:val="nil"/>
            </w:tcBorders>
            <w:noWrap/>
            <w:hideMark/>
          </w:tcPr>
          <w:p w14:paraId="141339DA" w14:textId="5EA64CE8"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409F291A" w14:textId="57FE033E"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34F89A2C" w14:textId="18A65F21"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403F47A7" w14:textId="1B99C5A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677D28">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hideMark/>
          </w:tcPr>
          <w:p w14:paraId="56AC97F3" w14:textId="768B3B90"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6</w:t>
            </w:r>
          </w:p>
        </w:tc>
        <w:tc>
          <w:tcPr>
            <w:tcW w:w="1125" w:type="dxa"/>
            <w:tcBorders>
              <w:top w:val="nil"/>
              <w:left w:val="nil"/>
              <w:bottom w:val="nil"/>
              <w:right w:val="nil"/>
            </w:tcBorders>
            <w:noWrap/>
            <w:hideMark/>
          </w:tcPr>
          <w:p w14:paraId="703A3A7A" w14:textId="37F47C20"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0.0</w:t>
            </w:r>
          </w:p>
        </w:tc>
      </w:tr>
      <w:tr w:rsidR="005C0718" w:rsidRPr="00B05F3A" w14:paraId="41687DED" w14:textId="77777777" w:rsidTr="00E43530">
        <w:trPr>
          <w:trHeight w:val="290"/>
        </w:trPr>
        <w:tc>
          <w:tcPr>
            <w:tcW w:w="2410" w:type="dxa"/>
            <w:tcBorders>
              <w:top w:val="nil"/>
              <w:left w:val="nil"/>
              <w:bottom w:val="nil"/>
              <w:right w:val="nil"/>
            </w:tcBorders>
            <w:noWrap/>
            <w:hideMark/>
          </w:tcPr>
          <w:p w14:paraId="7B920E98" w14:textId="6D3913DF"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proofErr w:type="spellStart"/>
            <w:r w:rsidRPr="009E5B06">
              <w:rPr>
                <w:rFonts w:ascii="Garamond" w:eastAsia="Times New Roman" w:hAnsi="Garamond" w:cs="Calibri"/>
                <w:color w:val="000000"/>
                <w:kern w:val="0"/>
                <w:sz w:val="20"/>
                <w:szCs w:val="20"/>
                <w:lang w:eastAsia="fr-FR"/>
                <w14:ligatures w14:val="none"/>
              </w:rPr>
              <w:t>Ibegu</w:t>
            </w:r>
            <w:proofErr w:type="spellEnd"/>
            <w:r w:rsidR="003465DD" w:rsidRPr="009E5B06">
              <w:rPr>
                <w:rFonts w:ascii="Garamond" w:eastAsia="Times New Roman" w:hAnsi="Garamond" w:cs="Calibri"/>
                <w:color w:val="000000"/>
                <w:kern w:val="0"/>
                <w:sz w:val="20"/>
                <w:szCs w:val="20"/>
                <w:lang w:eastAsia="fr-FR"/>
                <w14:ligatures w14:val="none"/>
              </w:rPr>
              <w:t xml:space="preserve"> </w:t>
            </w:r>
            <w:r w:rsidR="003465DD" w:rsidRPr="009E5B06">
              <w:rPr>
                <w:rFonts w:ascii="Garamond" w:eastAsia="Times New Roman" w:hAnsi="Garamond" w:cs="Calibri"/>
                <w:i/>
                <w:iCs/>
                <w:color w:val="000000"/>
                <w:kern w:val="0"/>
                <w:sz w:val="20"/>
                <w:szCs w:val="20"/>
                <w:lang w:eastAsia="fr-FR"/>
                <w14:ligatures w14:val="none"/>
              </w:rPr>
              <w:t xml:space="preserve">et al. </w:t>
            </w:r>
            <w:r w:rsidR="003465DD" w:rsidRPr="009E5B06">
              <w:rPr>
                <w:rFonts w:ascii="Garamond" w:eastAsia="Times New Roman" w:hAnsi="Garamond" w:cs="Calibri"/>
                <w:i/>
                <w:iCs/>
                <w:color w:val="000000"/>
                <w:kern w:val="0"/>
                <w:sz w:val="20"/>
                <w:szCs w:val="20"/>
                <w:lang w:eastAsia="fr-FR"/>
                <w14:ligatures w14:val="none"/>
              </w:rPr>
              <w:fldChar w:fldCharType="begin"/>
            </w:r>
            <w:r w:rsidR="00076845" w:rsidRPr="009E5B06">
              <w:rPr>
                <w:rFonts w:ascii="Garamond" w:eastAsia="Times New Roman" w:hAnsi="Garamond" w:cs="Calibri"/>
                <w:i/>
                <w:iCs/>
                <w:color w:val="000000"/>
                <w:kern w:val="0"/>
                <w:sz w:val="20"/>
                <w:szCs w:val="20"/>
                <w:lang w:eastAsia="fr-FR"/>
                <w14:ligatures w14:val="none"/>
              </w:rPr>
              <w:instrText xml:space="preserve"> ADDIN ZOTERO_ITEM CSL_CITATION {"citationID":"hLMixt2q","properties":{"formattedCitation":"[16]","plainCitation":"[16]","noteIndex":0},"citationItems":[{"id":4742,"uris":["http://zotero.org/users/1791235/items/WRX8TAPS"],"itemData":{"id":4742,"type":"article-journal","container-title":"International Journal of Infectious Diseases","ISSN":"1201-9712","journalAbbreviation":"International Journal of Infectious Diseases","note":"publisher: Elsevier","page":"255","title":"Descriptive epidemiology of Monkeypox outbreak in Bayelsa State South-South Nigeria, November 2017","volume":"101","author":[{"family":"Ibegu","given":"M"},{"family":"Numbere","given":"T-W"},{"family":"Balogun","given":"M"},{"family":"Nguku","given":"P"}],"issued":{"date-parts":[["2020"]]}}}],"schema":"https://github.com/citation-style-language/schema/raw/master/csl-citation.json"} </w:instrText>
            </w:r>
            <w:r w:rsidR="003465DD" w:rsidRPr="009E5B06">
              <w:rPr>
                <w:rFonts w:ascii="Garamond" w:eastAsia="Times New Roman" w:hAnsi="Garamond" w:cs="Calibri"/>
                <w:i/>
                <w:iCs/>
                <w:color w:val="000000"/>
                <w:kern w:val="0"/>
                <w:sz w:val="20"/>
                <w:szCs w:val="20"/>
                <w:lang w:eastAsia="fr-FR"/>
                <w14:ligatures w14:val="none"/>
              </w:rPr>
              <w:fldChar w:fldCharType="separate"/>
            </w:r>
            <w:r w:rsidR="00076845" w:rsidRPr="009E5B06">
              <w:rPr>
                <w:rFonts w:ascii="Garamond" w:hAnsi="Garamond"/>
                <w:sz w:val="20"/>
                <w:szCs w:val="20"/>
              </w:rPr>
              <w:t>[16]</w:t>
            </w:r>
            <w:r w:rsidR="003465DD"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2D46DDA6" w14:textId="7CF51A53"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2017</w:t>
            </w:r>
          </w:p>
        </w:tc>
        <w:tc>
          <w:tcPr>
            <w:tcW w:w="1212" w:type="dxa"/>
            <w:tcBorders>
              <w:top w:val="nil"/>
              <w:left w:val="nil"/>
              <w:bottom w:val="nil"/>
              <w:right w:val="nil"/>
            </w:tcBorders>
            <w:noWrap/>
            <w:hideMark/>
          </w:tcPr>
          <w:p w14:paraId="12B1E9AC" w14:textId="2F03612C"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Nigeria</w:t>
            </w:r>
          </w:p>
        </w:tc>
        <w:tc>
          <w:tcPr>
            <w:tcW w:w="1082" w:type="dxa"/>
            <w:tcBorders>
              <w:top w:val="nil"/>
              <w:left w:val="nil"/>
              <w:bottom w:val="nil"/>
              <w:right w:val="nil"/>
            </w:tcBorders>
            <w:noWrap/>
            <w:hideMark/>
          </w:tcPr>
          <w:p w14:paraId="4E5E2015" w14:textId="17F6AC7A"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0C01B31A" w14:textId="543D11E7"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Hospital</w:t>
            </w:r>
          </w:p>
        </w:tc>
        <w:tc>
          <w:tcPr>
            <w:tcW w:w="1707" w:type="dxa"/>
            <w:tcBorders>
              <w:top w:val="nil"/>
              <w:left w:val="nil"/>
              <w:bottom w:val="nil"/>
              <w:right w:val="nil"/>
            </w:tcBorders>
            <w:noWrap/>
            <w:hideMark/>
          </w:tcPr>
          <w:p w14:paraId="3840AE62" w14:textId="73AD88D0"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246EB973" w14:textId="6F5CADAD"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46CD2E12" w14:textId="295D0668"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486D3258" w14:textId="5E904A63" w:rsidR="005C0718"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M</w:t>
            </w:r>
            <w:r>
              <w:rPr>
                <w:rFonts w:ascii="Garamond" w:eastAsia="Times New Roman" w:hAnsi="Garamond" w:cs="Calibri"/>
                <w:color w:val="000000"/>
                <w:kern w:val="0"/>
                <w:sz w:val="20"/>
                <w:szCs w:val="20"/>
                <w:lang w:eastAsia="fr-FR"/>
                <w14:ligatures w14:val="none"/>
              </w:rPr>
              <w:t>oderate</w:t>
            </w:r>
          </w:p>
        </w:tc>
        <w:tc>
          <w:tcPr>
            <w:tcW w:w="1077" w:type="dxa"/>
            <w:tcBorders>
              <w:top w:val="nil"/>
              <w:left w:val="nil"/>
              <w:bottom w:val="nil"/>
              <w:right w:val="nil"/>
            </w:tcBorders>
            <w:noWrap/>
            <w:hideMark/>
          </w:tcPr>
          <w:p w14:paraId="20313097" w14:textId="35039C2B"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11</w:t>
            </w:r>
          </w:p>
        </w:tc>
        <w:tc>
          <w:tcPr>
            <w:tcW w:w="1125" w:type="dxa"/>
            <w:tcBorders>
              <w:top w:val="nil"/>
              <w:left w:val="nil"/>
              <w:bottom w:val="nil"/>
              <w:right w:val="nil"/>
            </w:tcBorders>
            <w:noWrap/>
            <w:hideMark/>
          </w:tcPr>
          <w:p w14:paraId="1C53441B" w14:textId="00EE9AC3" w:rsidR="005C0718" w:rsidRPr="009E5B06" w:rsidRDefault="005C0718"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0.0</w:t>
            </w:r>
          </w:p>
        </w:tc>
      </w:tr>
      <w:tr w:rsidR="007569C4" w:rsidRPr="000D6B50" w14:paraId="003A4287" w14:textId="77777777" w:rsidTr="00E43530">
        <w:trPr>
          <w:trHeight w:val="290"/>
        </w:trPr>
        <w:tc>
          <w:tcPr>
            <w:tcW w:w="2410" w:type="dxa"/>
            <w:tcBorders>
              <w:top w:val="nil"/>
              <w:left w:val="nil"/>
              <w:bottom w:val="nil"/>
              <w:right w:val="nil"/>
            </w:tcBorders>
            <w:noWrap/>
            <w:hideMark/>
          </w:tcPr>
          <w:p w14:paraId="60B3B6D3" w14:textId="397B8C43"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 xml:space="preserve">Reynolds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{"citationID":"JN8EYAXJ","properties":{"formattedCitation":"[17]","plainCitation":"[17]","noteIndex":0},"citationItems":[{"id":4745,"uris":["http://zotero.org/users/1791235/items/ERNT9CF9"],"itemData":{"id":4745,"type":"article-journal","container-title":"Emerging Infectious Diseases","DOI":"10.3201/eid2505.180832","ISSN":"1080-6040, 1080-6059","issue":"5","journalAbbreviation":"Emerg. Infect. Dis.","page":"1023-1025","source":"DOI.org (Crossref)","title":"Human Monkeypox in Sierra Leone after 44-Year Absence of Reported Cases","volume":"25","author":[{"family":"Reynolds","given":"Mary G."},{"family":"Wauquier","given":"Nadia"},{"family":"Li","given":"Yu"},{"family":"Satheshkumar","given":"Panayampalli Subbian"},{"family":"Kanneh","given":"Lansana D."},{"family":"Monroe","given":"Benjamin"},{"family":"Maikere","given":"Jacob"},{"family":"Saffa","given":"Gbessay"},{"family":"Gonzalez","given":"Jean-Paul"},{"family":"Fair","given":"Joseph"},{"family":"Carroll","given":"Darin S."},{"family":"Jambai","given":"Amara"},{"family":"Dafae","given":"Foday"},{"family":"Khan","given":"Sheik Humarr"},{"family":"Moses","given":"Lina M."}],"issued":{"date-parts":[["2019"]]}}}],"schema":"https://github.com/citation-style-language/schema/raw/master/csl-citation.json"}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[17]</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6979B2AA" w14:textId="39FAC2D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2017</w:t>
            </w:r>
          </w:p>
        </w:tc>
        <w:tc>
          <w:tcPr>
            <w:tcW w:w="1212" w:type="dxa"/>
            <w:tcBorders>
              <w:top w:val="nil"/>
              <w:left w:val="nil"/>
              <w:bottom w:val="nil"/>
              <w:right w:val="nil"/>
            </w:tcBorders>
            <w:noWrap/>
            <w:hideMark/>
          </w:tcPr>
          <w:p w14:paraId="7CC800D1" w14:textId="0334CA38"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Sierra Leone</w:t>
            </w:r>
          </w:p>
        </w:tc>
        <w:tc>
          <w:tcPr>
            <w:tcW w:w="1082" w:type="dxa"/>
            <w:tcBorders>
              <w:top w:val="nil"/>
              <w:left w:val="nil"/>
              <w:bottom w:val="nil"/>
              <w:right w:val="nil"/>
            </w:tcBorders>
            <w:noWrap/>
            <w:hideMark/>
          </w:tcPr>
          <w:p w14:paraId="1FD442B2" w14:textId="3523369E" w:rsidR="007569C4" w:rsidRPr="009E5B06" w:rsidRDefault="0041648E" w:rsidP="006B38D1">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Case series</w:t>
            </w:r>
          </w:p>
        </w:tc>
        <w:tc>
          <w:tcPr>
            <w:tcW w:w="1180" w:type="dxa"/>
            <w:tcBorders>
              <w:top w:val="nil"/>
              <w:left w:val="nil"/>
              <w:bottom w:val="nil"/>
              <w:right w:val="nil"/>
            </w:tcBorders>
            <w:noWrap/>
            <w:hideMark/>
          </w:tcPr>
          <w:p w14:paraId="2D0F6861" w14:textId="42225197"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4324102E" w14:textId="6B3BFC7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598D7E5D" w14:textId="12EC742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2435A4D5" w14:textId="219FC867"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39013A33" w14:textId="4D7DAA6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0211EF">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hideMark/>
          </w:tcPr>
          <w:p w14:paraId="7F22808E" w14:textId="3FCFF34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w:t>
            </w:r>
          </w:p>
        </w:tc>
        <w:tc>
          <w:tcPr>
            <w:tcW w:w="1125" w:type="dxa"/>
            <w:tcBorders>
              <w:top w:val="nil"/>
              <w:left w:val="nil"/>
              <w:bottom w:val="nil"/>
              <w:right w:val="nil"/>
            </w:tcBorders>
            <w:noWrap/>
            <w:hideMark/>
          </w:tcPr>
          <w:p w14:paraId="54A605D3" w14:textId="7990102D"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0.0</w:t>
            </w:r>
          </w:p>
        </w:tc>
      </w:tr>
      <w:tr w:rsidR="007569C4" w:rsidRPr="00B05F3A" w14:paraId="0F0AA079" w14:textId="77777777" w:rsidTr="00E43530">
        <w:trPr>
          <w:trHeight w:val="290"/>
        </w:trPr>
        <w:tc>
          <w:tcPr>
            <w:tcW w:w="2410" w:type="dxa"/>
            <w:tcBorders>
              <w:top w:val="nil"/>
              <w:left w:val="nil"/>
              <w:bottom w:val="nil"/>
              <w:right w:val="nil"/>
            </w:tcBorders>
            <w:noWrap/>
            <w:hideMark/>
          </w:tcPr>
          <w:p w14:paraId="5616E479" w14:textId="5CA5D60F"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 xml:space="preserve">Vaughan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{"citationID":"AQWRzYNh","properties":{"formattedCitation":"[18]","plainCitation":"[18]","noteIndex":0},"citationItems":[{"id":4733,"uris":["http://zotero.org/users/1791235/items/X4DC36IN"],"itemData":{"id":4733,"type":"article-journal","abstract":"In early September 2018, two cases of monkeypox were reported in the United Kingdom (UK), diagnosed on 7 September in Cornwall (South West England) and 11 September in Blackpool (North West England). The cases were epidemiologically unconnected and had recently travelled to the UK from Nigeria, where monkeypox is currently circulating. We describe the epidemiology and the public health response for the first diagnosed cases outside the African continent since 2003.","container-title":"Eurosurveillance","DOI":"10.2807/1560-7917.ES.2018.23.38.1800509","ISSN":"1560-7917","issue":"38","language":"en","note":"publisher: European Centre for Disease Prevention and Control","page":"1800509","source":"www.eurosurveillance.org","title":"Two cases of monkeypox imported to the United Kingdom, September 2018","volume":"23","author":[{"family":"Vaughan","given":"Aisling"},{"family":"Aarons","given":"Emma"},{"family":"Astbury","given":"John"},{"family":"Balasegaram","given":"Sooria"},{"family":"Beadsworth","given":"Mike"},{"family":"Beck","given":"Charles R."},{"family":"Chand","given":"Meera"},{"family":"O’Connor","given":"Catherine"},{"family":"Dunning","given":"Jake"},{"family":"Ghebrehewet","given":"Sam"},{"family":"Harper","given":"Nick"},{"family":"Howlett-Shipley","given":"Ruth"},{"family":"Ihekweazu","given":"Chikwe"},{"family":"Jacobs","given":"Michael"},{"family":"Kaindama","given":"Lukeki"},{"family":"Katwa","given":"Parisha"},{"family":"Khoo","given":"Saye"},{"family":"Lamb","given":"Lucy"},{"family":"Mawdsley","given":"Sharon"},{"family":"Morgan","given":"Dilys"},{"family":"Palmer","given":"Ruth"},{"family":"Phin","given":"Nick"},{"family":"Russell","given":"Katherine"},{"family":"Said","given":"Bengü"},{"family":"Simpson","given":"Andrew"},{"family":"Vivancos","given":"Roberto"},{"family":"Wade","given":"Michael"},{"family":"Walsh","given":"Amanda"},{"family":"Wilburn","given":"Jennifer"}],"issued":{"date-parts":[["2018"]]}}}],"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[18]</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4747CEF9" w14:textId="0D993991"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2018</w:t>
            </w:r>
          </w:p>
        </w:tc>
        <w:tc>
          <w:tcPr>
            <w:tcW w:w="1212" w:type="dxa"/>
            <w:tcBorders>
              <w:top w:val="nil"/>
              <w:left w:val="nil"/>
              <w:bottom w:val="nil"/>
              <w:right w:val="nil"/>
            </w:tcBorders>
            <w:noWrap/>
            <w:hideMark/>
          </w:tcPr>
          <w:p w14:paraId="28DC0697" w14:textId="67B8706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Nigeria</w:t>
            </w:r>
          </w:p>
        </w:tc>
        <w:tc>
          <w:tcPr>
            <w:tcW w:w="1082" w:type="dxa"/>
            <w:tcBorders>
              <w:top w:val="nil"/>
              <w:left w:val="nil"/>
              <w:bottom w:val="nil"/>
              <w:right w:val="nil"/>
            </w:tcBorders>
            <w:noWrap/>
            <w:hideMark/>
          </w:tcPr>
          <w:p w14:paraId="1BF5AA6C" w14:textId="64EF2D1C"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Case report</w:t>
            </w:r>
          </w:p>
        </w:tc>
        <w:tc>
          <w:tcPr>
            <w:tcW w:w="1180" w:type="dxa"/>
            <w:tcBorders>
              <w:top w:val="nil"/>
              <w:left w:val="nil"/>
              <w:bottom w:val="nil"/>
              <w:right w:val="nil"/>
            </w:tcBorders>
            <w:noWrap/>
            <w:hideMark/>
          </w:tcPr>
          <w:p w14:paraId="3A97A35D" w14:textId="64A4553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Hospital</w:t>
            </w:r>
          </w:p>
        </w:tc>
        <w:tc>
          <w:tcPr>
            <w:tcW w:w="1707" w:type="dxa"/>
            <w:tcBorders>
              <w:top w:val="nil"/>
              <w:left w:val="nil"/>
              <w:bottom w:val="nil"/>
              <w:right w:val="nil"/>
            </w:tcBorders>
            <w:noWrap/>
            <w:hideMark/>
          </w:tcPr>
          <w:p w14:paraId="6662EE1D" w14:textId="697CE1D6"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7C55CBBD" w14:textId="0E40171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0275FF82" w14:textId="0E7F5428"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Clade II</w:t>
            </w:r>
          </w:p>
        </w:tc>
        <w:tc>
          <w:tcPr>
            <w:tcW w:w="882" w:type="dxa"/>
            <w:tcBorders>
              <w:top w:val="nil"/>
              <w:left w:val="nil"/>
              <w:bottom w:val="nil"/>
              <w:right w:val="nil"/>
            </w:tcBorders>
            <w:noWrap/>
            <w:hideMark/>
          </w:tcPr>
          <w:p w14:paraId="03D7DCCC" w14:textId="2D9902C1"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0211EF">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hideMark/>
          </w:tcPr>
          <w:p w14:paraId="0B3E24EE" w14:textId="5680FA0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w:t>
            </w:r>
          </w:p>
        </w:tc>
        <w:tc>
          <w:tcPr>
            <w:tcW w:w="1125" w:type="dxa"/>
            <w:tcBorders>
              <w:top w:val="nil"/>
              <w:left w:val="nil"/>
              <w:bottom w:val="nil"/>
              <w:right w:val="nil"/>
            </w:tcBorders>
            <w:noWrap/>
            <w:hideMark/>
          </w:tcPr>
          <w:p w14:paraId="38256E70" w14:textId="1C43966C"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0.0</w:t>
            </w:r>
          </w:p>
        </w:tc>
      </w:tr>
      <w:tr w:rsidR="007569C4" w:rsidRPr="00B05F3A" w14:paraId="3D7E72B8" w14:textId="77777777" w:rsidTr="00E43530">
        <w:trPr>
          <w:trHeight w:val="290"/>
        </w:trPr>
        <w:tc>
          <w:tcPr>
            <w:tcW w:w="2410" w:type="dxa"/>
            <w:tcBorders>
              <w:top w:val="nil"/>
              <w:left w:val="nil"/>
              <w:bottom w:val="nil"/>
              <w:right w:val="nil"/>
            </w:tcBorders>
            <w:noWrap/>
            <w:hideMark/>
          </w:tcPr>
          <w:p w14:paraId="2F5F1EBD" w14:textId="42718AFF"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Yinka-</w:t>
            </w:r>
            <w:proofErr w:type="spellStart"/>
            <w:r w:rsidRPr="009E5B06">
              <w:rPr>
                <w:rFonts w:ascii="Garamond" w:eastAsia="Times New Roman" w:hAnsi="Garamond" w:cs="Calibri"/>
                <w:color w:val="000000"/>
                <w:kern w:val="0"/>
                <w:sz w:val="20"/>
                <w:szCs w:val="20"/>
                <w:lang w:eastAsia="fr-FR"/>
                <w14:ligatures w14:val="none"/>
              </w:rPr>
              <w:t>ogunleye</w:t>
            </w:r>
            <w:proofErr w:type="spellEnd"/>
            <w:r w:rsidRPr="009E5B06">
              <w:rPr>
                <w:rFonts w:ascii="Garamond" w:eastAsia="Times New Roman" w:hAnsi="Garamond" w:cs="Calibri"/>
                <w:color w:val="000000"/>
                <w:kern w:val="0"/>
                <w:sz w:val="20"/>
                <w:szCs w:val="20"/>
                <w:lang w:eastAsia="fr-FR"/>
                <w14:ligatures w14:val="none"/>
              </w:rPr>
              <w:t xml:space="preserve">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{"citationID":"yA2SGqkw","properties":{"formattedCitation":"[19]","plainCitation":"[19]","noteIndex":0},"citationItems":[{"id":4528,"uris":["http://zotero.org/users/1791235/items/U76H4DKF"],"itemData":{"id":4528,"type":"article-journal","abstract":"BACKGROUND: In September, 2017, human monkeypox re-emerged in Nigeria, 39 years after the last reported case. We aimed to describe the clinical and epidemiological features of the 2017-18 human monkeypox outbreak in Nigeria.\nMETHODS: We reviewed the epidemiological and clinical characteristics of cases of human monkeypox that occurred between Sept 22, 2017, and Sept 16, 2018. Data were collected with a standardised case investigation form, with a case definition of human monkeypox that was based on previously established guidelines. Diagnosis was confirmed by viral identification with real-time PCR and by detection of positive anti-orthopoxvirus IgM antibodies. Whole-genome sequencing was done for seven cases. Haplotype analysis results, genetic distance data, and epidemiological data were used to infer a likely series of events for potential human-to-human transmission of the west African clade of monkeypox virus.\nFINDINGS: 122 confirmed or probable cases of human monkeypox were recorded in 17 states, including seven deaths (case fatality rate 6%). People infected with monkeypox virus were aged between 2 days and 50 years (median 29 years [IQR 14]), and 84 (69%) were male. All 122 patients had vesiculopustular rash, and fever, pruritus, headache, and lymphadenopathy were also common. The rash affected all parts of the body, with the face being most affected. The distribution of cases and contacts suggested both primary zoonotic and secondary human-to-human transmission. Two cases of health-care-associated infection were recorded. Genomic analysis suggested multiple introductions of the virus and a single introduction along with human-to-human transmission in a prison facility.\nINTERPRETATION: This study describes the largest documented human outbreak of the west African clade of the monkeypox virus. Our results suggest endemicity of monkeypox virus in Nigeria, with some evidence of human-to-human transmission. Further studies are necessary to explore animal reservoirs and risk factors for transmission of the virus in Nigeria.\nFUNDING: None.","container-title":"The Lancet. Infectious Diseases","DOI":"10.1016/S1473-3099(19)30294-4","ISSN":"1474-4457","issue":"8","journalAbbreviation":"Lancet Infect Dis","language":"eng","note":"PMID: 31285143\nPMCID: PMC9628943","page":"872-879","source":"PubMed","title":"Outbreak of human monkeypox in Nigeria in 2017-18: a clinical and epidemiological report","title-short":"Outbreak of human monkeypox in Nigeria in 2017-18","volume":"19","author":[{"family":"Yinka-Ogunleye","given":"Adesola"},{"family":"Aruna","given":"Olusola"},{"family":"Dalhat","given":"Mahmood"},{"family":"Ogoina","given":"Dimie"},{"family":"McCollum","given":"Andrea"},{"family":"Disu","given":"Yahyah"},{"family":"Mamadu","given":"Ibrahim"},{"family":"Akinpelu","given":"Afolabi"},{"family":"Ahmad","given":"Adama"},{"family":"Burga","given":"Joel"},{"family":"Ndoreraho","given":"Adolphe"},{"family":"Nkunzimana","given":"Edouard"},{"family":"Manneh","given":"Lamin"},{"family":"Mohammed","given":"Amina"},{"family":"Adeoye","given":"Olawunmi"},{"family":"Tom-Aba","given":"Daniel"},{"family":"Silenou","given":"Bernard"},{"family":"Ipadeola","given":"Oladipupo"},{"family":"Saleh","given":"Muhammad"},{"family":"Adeyemo","given":"Ayodele"},{"family":"Nwadiutor","given":"Ifeoma"},{"family":"Aworabhi","given":"Neni"},{"family":"Uke","given":"Patience"},{"family":"John","given":"Doris"},{"family":"Wakama","given":"Paul"},{"family":"Reynolds","given":"Mary"},{"family":"Mauldin","given":"Matthew R."},{"family":"Doty","given":"Jeffrey"},{"family":"Wilkins","given":"Kimberly"},{"family":"Musa","given":"Joy"},{"family":"Khalakdina","given":"Asheena"},{"family":"Adedeji","given":"Adebayo"},{"family":"Mba","given":"Nwando"},{"family":"Ojo","given":"Olubunmi"},{"family":"Krause","given":"Gerard"},{"family":"Ihekweazu","given":"Chikwe"},{"literal":"CDC Monkeypox Outbreak Team"}],"issued":{"date-parts":[["2019"]]}}}],"schema":"https://github.com/citation-style-language/schema/raw/master/csl-citation.json"}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[19]</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6F2B13C5" w14:textId="6555816E"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2018</w:t>
            </w:r>
          </w:p>
        </w:tc>
        <w:tc>
          <w:tcPr>
            <w:tcW w:w="1212" w:type="dxa"/>
            <w:tcBorders>
              <w:top w:val="nil"/>
              <w:left w:val="nil"/>
              <w:bottom w:val="nil"/>
              <w:right w:val="nil"/>
            </w:tcBorders>
            <w:noWrap/>
            <w:hideMark/>
          </w:tcPr>
          <w:p w14:paraId="62A267F9" w14:textId="43F2590B"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Nigeria</w:t>
            </w:r>
          </w:p>
        </w:tc>
        <w:tc>
          <w:tcPr>
            <w:tcW w:w="1082" w:type="dxa"/>
            <w:tcBorders>
              <w:top w:val="nil"/>
              <w:left w:val="nil"/>
              <w:bottom w:val="nil"/>
              <w:right w:val="nil"/>
            </w:tcBorders>
            <w:noWrap/>
            <w:hideMark/>
          </w:tcPr>
          <w:p w14:paraId="0B7B9B98" w14:textId="41AF8E4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200CCB6C" w14:textId="0293F90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25E4A05D" w14:textId="13EC4D16"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4EE8D71E" w14:textId="5D492A58"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559170BD" w14:textId="6C61F3B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Clade II</w:t>
            </w:r>
          </w:p>
        </w:tc>
        <w:tc>
          <w:tcPr>
            <w:tcW w:w="882" w:type="dxa"/>
            <w:tcBorders>
              <w:top w:val="nil"/>
              <w:left w:val="nil"/>
              <w:bottom w:val="nil"/>
              <w:right w:val="nil"/>
            </w:tcBorders>
            <w:noWrap/>
            <w:hideMark/>
          </w:tcPr>
          <w:p w14:paraId="479EF081" w14:textId="6C2A7CF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0211EF">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hideMark/>
          </w:tcPr>
          <w:p w14:paraId="377D69A5" w14:textId="455D90D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118</w:t>
            </w:r>
          </w:p>
        </w:tc>
        <w:tc>
          <w:tcPr>
            <w:tcW w:w="1125" w:type="dxa"/>
            <w:tcBorders>
              <w:top w:val="nil"/>
              <w:left w:val="nil"/>
              <w:bottom w:val="nil"/>
              <w:right w:val="nil"/>
            </w:tcBorders>
            <w:noWrap/>
            <w:hideMark/>
          </w:tcPr>
          <w:p w14:paraId="06A3303E" w14:textId="189022A4"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5.9</w:t>
            </w:r>
          </w:p>
        </w:tc>
      </w:tr>
      <w:tr w:rsidR="007569C4" w:rsidRPr="00B05F3A" w14:paraId="7C236F6C" w14:textId="77777777" w:rsidTr="00E43530">
        <w:trPr>
          <w:trHeight w:val="290"/>
        </w:trPr>
        <w:tc>
          <w:tcPr>
            <w:tcW w:w="2410" w:type="dxa"/>
            <w:tcBorders>
              <w:top w:val="nil"/>
              <w:left w:val="nil"/>
              <w:bottom w:val="nil"/>
              <w:right w:val="nil"/>
            </w:tcBorders>
            <w:noWrap/>
            <w:hideMark/>
          </w:tcPr>
          <w:p w14:paraId="3703DF86" w14:textId="00462F6B"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proofErr w:type="spellStart"/>
            <w:r w:rsidRPr="009E5B06">
              <w:rPr>
                <w:rFonts w:ascii="Garamond" w:eastAsia="Times New Roman" w:hAnsi="Garamond" w:cs="Calibri"/>
                <w:color w:val="000000"/>
                <w:kern w:val="0"/>
                <w:sz w:val="20"/>
                <w:szCs w:val="20"/>
                <w:lang w:eastAsia="fr-FR"/>
                <w14:ligatures w14:val="none"/>
              </w:rPr>
              <w:t>Ogoina</w:t>
            </w:r>
            <w:proofErr w:type="spellEnd"/>
            <w:r w:rsidRPr="009E5B06">
              <w:rPr>
                <w:rFonts w:ascii="Garamond" w:eastAsia="Times New Roman" w:hAnsi="Garamond" w:cs="Calibri"/>
                <w:color w:val="000000"/>
                <w:kern w:val="0"/>
                <w:sz w:val="20"/>
                <w:szCs w:val="20"/>
                <w:lang w:eastAsia="fr-FR"/>
                <w14:ligatures w14:val="none"/>
              </w:rPr>
              <w:t xml:space="preserve">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{"citationID":"hIdycIMP","properties":{"formattedCitation":"[20]","plainCitation":"[20]","noteIndex":0},"citationItems":[{"id":4728,"uris":["http://zotero.org/users/1791235/items/4P5ZVXCH"],"itemData":{"id":4728,"type":"article-journal","abstract":"Abstract\n            In a retrospective review of hospital records of 40 human monkeypox cases from Nigeria, the majority developed fever and self-limiting vesiculopustular skin eruptions. Five deaths were reported. Compared to human immunodeficiency virus (HIV)–negative cases, HIV type 1–coinfected cases had more prolonged illness, larger lesions, and higher rates of both secondary bacterial skin infections and genital ulcers.","container-title":"Clinical Infectious Diseases","DOI":"10.1093/cid/ciaa143","ISSN":"1058-4838, 1537-6591","issue":"8","language":"en","license":"https://academic.oup.com/journals/pages/open_access/funder_policies/chorus/standard_publication_model","page":"e210-e214","source":"DOI.org (Crossref)","title":"Clinical Course and Outcome of Human Monkeypox in Nigeria","volume":"71","author":[{"family":"Ogoina","given":"Dimie"},{"family":"Iroezindu","given":"Michael"},{"family":"James","given":"Hendris Izibewule"},{"family":"Oladokun","given":"Regina"},{"family":"Yinka-Ogunleye","given":"Adesola"},{"family":"Wakama","given":"Paul"},{"family":"Otike-odibi","given":"Bolaji"},{"family":"Usman","given":"Liman Muhammed"},{"family":"Obazee","given":"Emmanuel"},{"family":"Aruna","given":"Olusola"},{"family":"Ihekweazu","given":"Chikwe"}],"issued":{"date-parts":[["2020"]]}}}],"schema":"https://github.com/citation-style-language/schema/raw/master/csl-citation.json"}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[20]</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2AA2F9FD" w14:textId="6F03F6D3"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2018</w:t>
            </w:r>
          </w:p>
        </w:tc>
        <w:tc>
          <w:tcPr>
            <w:tcW w:w="1212" w:type="dxa"/>
            <w:tcBorders>
              <w:top w:val="nil"/>
              <w:left w:val="nil"/>
              <w:bottom w:val="nil"/>
              <w:right w:val="nil"/>
            </w:tcBorders>
            <w:noWrap/>
            <w:hideMark/>
          </w:tcPr>
          <w:p w14:paraId="495D1E60" w14:textId="36723EB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Nigeria</w:t>
            </w:r>
          </w:p>
        </w:tc>
        <w:tc>
          <w:tcPr>
            <w:tcW w:w="1082" w:type="dxa"/>
            <w:tcBorders>
              <w:top w:val="nil"/>
              <w:left w:val="nil"/>
              <w:bottom w:val="nil"/>
              <w:right w:val="nil"/>
            </w:tcBorders>
            <w:noWrap/>
            <w:hideMark/>
          </w:tcPr>
          <w:p w14:paraId="14631CF3" w14:textId="2C774977"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395A421C" w14:textId="70D6F516"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Hospital</w:t>
            </w:r>
          </w:p>
        </w:tc>
        <w:tc>
          <w:tcPr>
            <w:tcW w:w="1707" w:type="dxa"/>
            <w:tcBorders>
              <w:top w:val="nil"/>
              <w:left w:val="nil"/>
              <w:bottom w:val="nil"/>
              <w:right w:val="nil"/>
            </w:tcBorders>
            <w:noWrap/>
            <w:hideMark/>
          </w:tcPr>
          <w:p w14:paraId="56A70FFA" w14:textId="6DB6798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621CC18F" w14:textId="107D76C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043A7FB1" w14:textId="5B3B6A00"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53415CA0" w14:textId="46EC066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0211EF">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hideMark/>
          </w:tcPr>
          <w:p w14:paraId="0D8B503A" w14:textId="62B4E111"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40</w:t>
            </w:r>
          </w:p>
        </w:tc>
        <w:tc>
          <w:tcPr>
            <w:tcW w:w="1125" w:type="dxa"/>
            <w:tcBorders>
              <w:top w:val="nil"/>
              <w:left w:val="nil"/>
              <w:bottom w:val="nil"/>
              <w:right w:val="nil"/>
            </w:tcBorders>
            <w:noWrap/>
            <w:hideMark/>
          </w:tcPr>
          <w:p w14:paraId="4C5BE315" w14:textId="13ACE221"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12.5</w:t>
            </w:r>
          </w:p>
        </w:tc>
      </w:tr>
      <w:tr w:rsidR="007569C4" w:rsidRPr="00B05F3A" w14:paraId="532B8644" w14:textId="77777777" w:rsidTr="00E43530">
        <w:trPr>
          <w:trHeight w:val="290"/>
        </w:trPr>
        <w:tc>
          <w:tcPr>
            <w:tcW w:w="2410" w:type="dxa"/>
            <w:tcBorders>
              <w:top w:val="nil"/>
              <w:left w:val="nil"/>
              <w:bottom w:val="nil"/>
              <w:right w:val="nil"/>
            </w:tcBorders>
            <w:noWrap/>
            <w:hideMark/>
          </w:tcPr>
          <w:p w14:paraId="7676776B" w14:textId="224B59B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proofErr w:type="spellStart"/>
            <w:r w:rsidRPr="009E5B06">
              <w:rPr>
                <w:rFonts w:ascii="Garamond" w:eastAsia="Times New Roman" w:hAnsi="Garamond" w:cs="Calibri"/>
                <w:color w:val="000000"/>
                <w:kern w:val="0"/>
                <w:sz w:val="20"/>
                <w:szCs w:val="20"/>
                <w:lang w:eastAsia="fr-FR"/>
                <w14:ligatures w14:val="none"/>
              </w:rPr>
              <w:t>Echekwube</w:t>
            </w:r>
            <w:proofErr w:type="spellEnd"/>
            <w:r w:rsidRPr="009E5B06">
              <w:rPr>
                <w:rFonts w:ascii="Garamond" w:eastAsia="Times New Roman" w:hAnsi="Garamond" w:cs="Calibri"/>
                <w:color w:val="000000"/>
                <w:kern w:val="0"/>
                <w:sz w:val="20"/>
                <w:szCs w:val="20"/>
                <w:lang w:eastAsia="fr-FR"/>
                <w14:ligatures w14:val="none"/>
              </w:rPr>
              <w:t xml:space="preserve">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{"citationID":"JZggvqju","properties":{"formattedCitation":"[21]","plainCitation":"[21]","noteIndex":0},"citationItems":[{"id":4729,"uris":["http://zotero.org/users/1791235/items/G37ZUUHC"],"itemData":{"id":4729,"type":"article-journal","container-title":"Journal of BioMedical Research and Clinical Practice","issue":"2","page":"375–381","source":"Google Scholar","title":"Human monkeypox and human immunodeficiency virus co-infection: a case series in Makurdi, Benue State, Nigeria","title-short":"Human monkeypox and human immunodeficiency virus co-infection","volume":"3","author":[{"family":"Echekwube","given":"P. O."},{"family":"Mbaave","given":"P. T."},{"family":"Abidakun","given":"O. A."},{"family":"Utoo","given":"B. T."},{"family":"Swende","given":"T. Z."}],"issued":{"date-parts":[["2020"]]}}}],"schema":"https://github.com/citation-style-language/schema/raw/master/csl-citation.json"}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[21]</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39D0475F" w14:textId="1319D18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2018</w:t>
            </w:r>
          </w:p>
        </w:tc>
        <w:tc>
          <w:tcPr>
            <w:tcW w:w="1212" w:type="dxa"/>
            <w:tcBorders>
              <w:top w:val="nil"/>
              <w:left w:val="nil"/>
              <w:bottom w:val="nil"/>
              <w:right w:val="nil"/>
            </w:tcBorders>
            <w:noWrap/>
            <w:hideMark/>
          </w:tcPr>
          <w:p w14:paraId="064ED8F6" w14:textId="3DF04F84"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Nigeria</w:t>
            </w:r>
          </w:p>
        </w:tc>
        <w:tc>
          <w:tcPr>
            <w:tcW w:w="1082" w:type="dxa"/>
            <w:tcBorders>
              <w:top w:val="nil"/>
              <w:left w:val="nil"/>
              <w:bottom w:val="nil"/>
              <w:right w:val="nil"/>
            </w:tcBorders>
            <w:noWrap/>
            <w:hideMark/>
          </w:tcPr>
          <w:p w14:paraId="19E619DB" w14:textId="62A980B2" w:rsidR="007569C4" w:rsidRPr="009E5B06" w:rsidRDefault="0041648E" w:rsidP="006B38D1">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Case series</w:t>
            </w:r>
          </w:p>
        </w:tc>
        <w:tc>
          <w:tcPr>
            <w:tcW w:w="1180" w:type="dxa"/>
            <w:tcBorders>
              <w:top w:val="nil"/>
              <w:left w:val="nil"/>
              <w:bottom w:val="nil"/>
              <w:right w:val="nil"/>
            </w:tcBorders>
            <w:noWrap/>
            <w:hideMark/>
          </w:tcPr>
          <w:p w14:paraId="2B7A9AC9" w14:textId="068CC6DE"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Hospital</w:t>
            </w:r>
          </w:p>
        </w:tc>
        <w:tc>
          <w:tcPr>
            <w:tcW w:w="1707" w:type="dxa"/>
            <w:tcBorders>
              <w:top w:val="nil"/>
              <w:left w:val="nil"/>
              <w:bottom w:val="nil"/>
              <w:right w:val="nil"/>
            </w:tcBorders>
            <w:noWrap/>
            <w:hideMark/>
          </w:tcPr>
          <w:p w14:paraId="1990DBA7" w14:textId="1BBA1ABF"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654745D8" w14:textId="2D0BD42E"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7A4F67CD" w14:textId="24A2F4A8"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534E18BC" w14:textId="1B4399CD"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0211EF">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hideMark/>
          </w:tcPr>
          <w:p w14:paraId="7617C879" w14:textId="6DD8EF27"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4</w:t>
            </w:r>
          </w:p>
        </w:tc>
        <w:tc>
          <w:tcPr>
            <w:tcW w:w="1125" w:type="dxa"/>
            <w:tcBorders>
              <w:top w:val="nil"/>
              <w:left w:val="nil"/>
              <w:bottom w:val="nil"/>
              <w:right w:val="nil"/>
            </w:tcBorders>
            <w:noWrap/>
            <w:hideMark/>
          </w:tcPr>
          <w:p w14:paraId="12EAC245" w14:textId="41105BC0"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0.0</w:t>
            </w:r>
          </w:p>
        </w:tc>
      </w:tr>
      <w:tr w:rsidR="007569C4" w:rsidRPr="00B05F3A" w14:paraId="5ACB794A" w14:textId="77777777" w:rsidTr="00E43530">
        <w:trPr>
          <w:trHeight w:val="290"/>
        </w:trPr>
        <w:tc>
          <w:tcPr>
            <w:tcW w:w="2410" w:type="dxa"/>
            <w:tcBorders>
              <w:top w:val="nil"/>
              <w:left w:val="nil"/>
              <w:bottom w:val="nil"/>
              <w:right w:val="nil"/>
            </w:tcBorders>
            <w:noWrap/>
            <w:hideMark/>
          </w:tcPr>
          <w:p w14:paraId="47CAB731" w14:textId="4310B898"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 xml:space="preserve">Hobson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1HDglfNJ","properties":{"formattedCitation":"[22]","plainCitation":"[22]","noteIndex":0},"citationItems":[{"id":4491,"uris":["http://zotero.org/users/1791235/items/KGLAQ3PR"],"itemData":{"id":4491,"type":"article-journal","container-title":"Eurosurveillance","issue":"32","page":"2100745","source":"Google Scholar","title":"Family cluster of three cases of monkeypox imported from Nigeria to the United Kingdom, May 2021","volume":"26","author":[{"family":"Hobson","given":"Gemma"},{"family":"Adamson","given":"James"},{"family":"Adler","given":"Hugh"},{"family":"Firth","given":"Richard"},{"family":"Gould","given":"Susan"},{"family":"Houlihan","given":"Catherine"},{"family":"Johnson","given":"Christopher"},{"family":"Porter","given":"David"},{"family":"Rampling","given":"Tommy"},{"family":"Ratcliffe","given":"Libuse"}],"issued":{"date-parts":[["2021"]]}}}],"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[22]</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46E2C07F" w14:textId="0707BAA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2021</w:t>
            </w:r>
          </w:p>
        </w:tc>
        <w:tc>
          <w:tcPr>
            <w:tcW w:w="1212" w:type="dxa"/>
            <w:tcBorders>
              <w:top w:val="nil"/>
              <w:left w:val="nil"/>
              <w:bottom w:val="nil"/>
              <w:right w:val="nil"/>
            </w:tcBorders>
            <w:noWrap/>
            <w:hideMark/>
          </w:tcPr>
          <w:p w14:paraId="03FF9EFC" w14:textId="1CE94D50"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Nigeria</w:t>
            </w:r>
          </w:p>
        </w:tc>
        <w:tc>
          <w:tcPr>
            <w:tcW w:w="1082" w:type="dxa"/>
            <w:tcBorders>
              <w:top w:val="nil"/>
              <w:left w:val="nil"/>
              <w:bottom w:val="nil"/>
              <w:right w:val="nil"/>
            </w:tcBorders>
            <w:noWrap/>
            <w:hideMark/>
          </w:tcPr>
          <w:p w14:paraId="0082CAAB" w14:textId="06394B84"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Case report</w:t>
            </w:r>
          </w:p>
        </w:tc>
        <w:tc>
          <w:tcPr>
            <w:tcW w:w="1180" w:type="dxa"/>
            <w:tcBorders>
              <w:top w:val="nil"/>
              <w:left w:val="nil"/>
              <w:bottom w:val="nil"/>
              <w:right w:val="nil"/>
            </w:tcBorders>
            <w:noWrap/>
            <w:hideMark/>
          </w:tcPr>
          <w:p w14:paraId="34A5C08A" w14:textId="6ED4251E"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Hospital</w:t>
            </w:r>
          </w:p>
        </w:tc>
        <w:tc>
          <w:tcPr>
            <w:tcW w:w="1707" w:type="dxa"/>
            <w:tcBorders>
              <w:top w:val="nil"/>
              <w:left w:val="nil"/>
              <w:bottom w:val="nil"/>
              <w:right w:val="nil"/>
            </w:tcBorders>
            <w:noWrap/>
            <w:hideMark/>
          </w:tcPr>
          <w:p w14:paraId="55D82D5F" w14:textId="47F70977"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6151868A" w14:textId="1DCFBC7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0FA34962" w14:textId="6BD37246"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Clade II</w:t>
            </w:r>
          </w:p>
        </w:tc>
        <w:tc>
          <w:tcPr>
            <w:tcW w:w="882" w:type="dxa"/>
            <w:tcBorders>
              <w:top w:val="nil"/>
              <w:left w:val="nil"/>
              <w:bottom w:val="nil"/>
              <w:right w:val="nil"/>
            </w:tcBorders>
            <w:noWrap/>
            <w:hideMark/>
          </w:tcPr>
          <w:p w14:paraId="0642E1A3" w14:textId="646B0A3B"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0211EF">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hideMark/>
          </w:tcPr>
          <w:p w14:paraId="4ED6E40F" w14:textId="2EAEE5AF"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3</w:t>
            </w:r>
          </w:p>
        </w:tc>
        <w:tc>
          <w:tcPr>
            <w:tcW w:w="1125" w:type="dxa"/>
            <w:tcBorders>
              <w:top w:val="nil"/>
              <w:left w:val="nil"/>
              <w:bottom w:val="nil"/>
              <w:right w:val="nil"/>
            </w:tcBorders>
            <w:noWrap/>
            <w:hideMark/>
          </w:tcPr>
          <w:p w14:paraId="57A4728D" w14:textId="33CEB4F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0.0</w:t>
            </w:r>
          </w:p>
        </w:tc>
      </w:tr>
      <w:tr w:rsidR="007569C4" w:rsidRPr="00B05F3A" w14:paraId="1F2E40A2" w14:textId="77777777" w:rsidTr="00E43530">
        <w:trPr>
          <w:trHeight w:val="290"/>
        </w:trPr>
        <w:tc>
          <w:tcPr>
            <w:tcW w:w="2410" w:type="dxa"/>
            <w:tcBorders>
              <w:top w:val="nil"/>
              <w:left w:val="nil"/>
              <w:bottom w:val="nil"/>
              <w:right w:val="nil"/>
            </w:tcBorders>
            <w:noWrap/>
            <w:hideMark/>
          </w:tcPr>
          <w:p w14:paraId="4AF90591" w14:textId="0D6F352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 xml:space="preserve">Amao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{"citationID":"ooSJvZrp","properties":{"formattedCitation":"[23]","plainCitation":"[23]","noteIndex":0},"citationItems":[{"id":4731,"uris":["http://zotero.org/users/1791235/items/LQYF4XF2"],"itemData":{"id":4731,"type":"article-journal","container-title":"Journal of public health in Africa","issue":"1","page":"2184","source":"Google Scholar","title":"Trend and enhanced surveillance of Monkeypox during COVID-19 pandemic in Nigeria","volume":"13","author":[{"family":"Amao","given":"Lateefat Kikelomo"},{"family":"Olatunji","given":"David Idowu"},{"family":"Igbodo","given":"Gordon"},{"family":"Okoli","given":"Solomon Chieloka"},{"family":"Amaechi","given":"Ifeanyichukwu"},{"family":"Goni","given":"Muhammad Isa"},{"family":"Ehiakhamen","given":"Odianosen"},{"family":"Aderinola","given":"Olaolu"},{"family":"Ogunleye","given":"Adesola"},{"family":"Ogunbode","given":"Oladipo"}],"issued":{"date-parts":[["2022"]]}}}],"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[23]</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hideMark/>
          </w:tcPr>
          <w:p w14:paraId="4E5764EA" w14:textId="284D1DE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2021</w:t>
            </w:r>
          </w:p>
        </w:tc>
        <w:tc>
          <w:tcPr>
            <w:tcW w:w="1212" w:type="dxa"/>
            <w:tcBorders>
              <w:top w:val="nil"/>
              <w:left w:val="nil"/>
              <w:bottom w:val="nil"/>
              <w:right w:val="nil"/>
            </w:tcBorders>
            <w:noWrap/>
            <w:hideMark/>
          </w:tcPr>
          <w:p w14:paraId="09C74BAA" w14:textId="44C08B2C"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Nigeria</w:t>
            </w:r>
          </w:p>
        </w:tc>
        <w:tc>
          <w:tcPr>
            <w:tcW w:w="1082" w:type="dxa"/>
            <w:tcBorders>
              <w:top w:val="nil"/>
              <w:left w:val="nil"/>
              <w:bottom w:val="nil"/>
              <w:right w:val="nil"/>
            </w:tcBorders>
            <w:noWrap/>
            <w:hideMark/>
          </w:tcPr>
          <w:p w14:paraId="3DAE6664" w14:textId="2B475AE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hideMark/>
          </w:tcPr>
          <w:p w14:paraId="669AD58E" w14:textId="4707F03D"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hideMark/>
          </w:tcPr>
          <w:p w14:paraId="5CFF9083" w14:textId="65E79628"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hideMark/>
          </w:tcPr>
          <w:p w14:paraId="5357C8F5" w14:textId="23B30AE4"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hideMark/>
          </w:tcPr>
          <w:p w14:paraId="69C530E6" w14:textId="214950FD"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Not reported</w:t>
            </w:r>
          </w:p>
        </w:tc>
        <w:tc>
          <w:tcPr>
            <w:tcW w:w="882" w:type="dxa"/>
            <w:tcBorders>
              <w:top w:val="nil"/>
              <w:left w:val="nil"/>
              <w:bottom w:val="nil"/>
              <w:right w:val="nil"/>
            </w:tcBorders>
            <w:noWrap/>
            <w:hideMark/>
          </w:tcPr>
          <w:p w14:paraId="4CF1D5D9" w14:textId="003B0421"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0211EF">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hideMark/>
          </w:tcPr>
          <w:p w14:paraId="74A5CE0E" w14:textId="550478AF"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3</w:t>
            </w:r>
          </w:p>
        </w:tc>
        <w:tc>
          <w:tcPr>
            <w:tcW w:w="1125" w:type="dxa"/>
            <w:tcBorders>
              <w:top w:val="nil"/>
              <w:left w:val="nil"/>
              <w:bottom w:val="nil"/>
              <w:right w:val="nil"/>
            </w:tcBorders>
            <w:noWrap/>
            <w:hideMark/>
          </w:tcPr>
          <w:p w14:paraId="5C9D7214" w14:textId="5679891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0.0</w:t>
            </w:r>
          </w:p>
        </w:tc>
      </w:tr>
      <w:tr w:rsidR="007569C4" w:rsidRPr="00B05F3A" w14:paraId="64A0AB01" w14:textId="77777777" w:rsidTr="00E43530">
        <w:trPr>
          <w:trHeight w:val="290"/>
        </w:trPr>
        <w:tc>
          <w:tcPr>
            <w:tcW w:w="2410" w:type="dxa"/>
            <w:tcBorders>
              <w:top w:val="nil"/>
              <w:left w:val="nil"/>
              <w:bottom w:val="nil"/>
              <w:right w:val="nil"/>
            </w:tcBorders>
            <w:noWrap/>
          </w:tcPr>
          <w:p w14:paraId="466ED52A" w14:textId="04B84D1D"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proofErr w:type="spellStart"/>
            <w:r w:rsidRPr="009E5B06">
              <w:rPr>
                <w:rFonts w:ascii="Garamond" w:eastAsia="Times New Roman" w:hAnsi="Garamond" w:cs="Calibri"/>
                <w:color w:val="000000"/>
                <w:kern w:val="0"/>
                <w:sz w:val="20"/>
                <w:szCs w:val="20"/>
                <w:lang w:eastAsia="fr-FR"/>
                <w14:ligatures w14:val="none"/>
              </w:rPr>
              <w:t>Djuic</w:t>
            </w:r>
            <w:r>
              <w:rPr>
                <w:rFonts w:ascii="Garamond" w:eastAsia="Times New Roman" w:hAnsi="Garamond" w:cs="Calibri"/>
                <w:color w:val="000000"/>
                <w:kern w:val="0"/>
                <w:sz w:val="20"/>
                <w:szCs w:val="20"/>
                <w:lang w:eastAsia="fr-FR"/>
                <w14:ligatures w14:val="none"/>
              </w:rPr>
              <w:t>y</w:t>
            </w:r>
            <w:proofErr w:type="spellEnd"/>
            <w:r w:rsidRPr="009E5B06">
              <w:rPr>
                <w:rFonts w:ascii="Garamond" w:eastAsia="Times New Roman" w:hAnsi="Garamond" w:cs="Calibri"/>
                <w:color w:val="000000"/>
                <w:kern w:val="0"/>
                <w:sz w:val="20"/>
                <w:szCs w:val="20"/>
                <w:lang w:eastAsia="fr-FR"/>
                <w14:ligatures w14:val="none"/>
              </w:rPr>
              <w:t xml:space="preserve">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{"citationID":"gCo0uJ6E","properties":{"formattedCitation":"[24]","plainCitation":"[24]","noteIndex":0},"citationItems":[{"id":4072,"uris":["http://zotero.org/users/1791235/items/SGC6E9JM"],"itemData":{"id":4072,"type":"article-journal","container-title":"Emerging Infectious Diseases","DOI":"10.3201/eid3003.230861","ISSN":"1080-6040, 1080-6059","issue":"3","journalAbbreviation":"Emerg. Infect. Dis.","page":"433-43","source":"DOI.org (Crossref)","title":"Concurrent Clade I and Clade II Monkeypox Virus Circulation, Cameroon, 1979–2022","volume":"30","author":[{"family":"Djuicy","given":"Delia D."},{"family":"Sadeuh-Mba","given":"Serge A."},{"family":"Bilounga","given":"Chanceline N."},{"family":"Yonga","given":"Martial G."},{"family":"Tchatchueng-Mbougua","given":"Jules B."},{"family":"Essima","given":"Gael D."},{"family":"Esso","given":"Linda"},{"family":"Nguidjol","given":"Inès M.E."},{"family":"Metomb","given":"Steve F."},{"family":"Chebo","given":"Cornelius"},{"family":"Agwe","given":"Samuel M."},{"family":"Ankone","given":"Placide A."},{"family":"Ngonla","given":"Firmin N.N."},{"family":"Mossi","given":"Hans M."},{"family":"Etoundi","given":"Alain G.M."},{"family":"Eyangoh","given":"Sara I."},{"family":"Kazanji","given":"Mirdad"},{"family":"Njouom","given":"Richard"}],"issued":{"date-parts":[["2024"]]}}}],"schema":"https://github.com/citation-style-language/schema/raw/master/csl-citation.json"}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[24]</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tcPr>
          <w:p w14:paraId="24F48ECA" w14:textId="283D2647"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2022</w:t>
            </w:r>
          </w:p>
        </w:tc>
        <w:tc>
          <w:tcPr>
            <w:tcW w:w="1212" w:type="dxa"/>
            <w:tcBorders>
              <w:top w:val="nil"/>
              <w:left w:val="nil"/>
              <w:bottom w:val="nil"/>
              <w:right w:val="nil"/>
            </w:tcBorders>
            <w:noWrap/>
          </w:tcPr>
          <w:p w14:paraId="5516AFC0" w14:textId="4CF22B0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Cameroon</w:t>
            </w:r>
          </w:p>
        </w:tc>
        <w:tc>
          <w:tcPr>
            <w:tcW w:w="1082" w:type="dxa"/>
            <w:tcBorders>
              <w:top w:val="nil"/>
              <w:left w:val="nil"/>
              <w:bottom w:val="nil"/>
              <w:right w:val="nil"/>
            </w:tcBorders>
            <w:noWrap/>
          </w:tcPr>
          <w:p w14:paraId="626146D1" w14:textId="0169EFC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tcPr>
          <w:p w14:paraId="48E6B99C" w14:textId="58209AA1"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 and hospital</w:t>
            </w:r>
          </w:p>
        </w:tc>
        <w:tc>
          <w:tcPr>
            <w:tcW w:w="1707" w:type="dxa"/>
            <w:tcBorders>
              <w:top w:val="nil"/>
              <w:left w:val="nil"/>
              <w:bottom w:val="nil"/>
              <w:right w:val="nil"/>
            </w:tcBorders>
            <w:noWrap/>
          </w:tcPr>
          <w:p w14:paraId="566B6EE9" w14:textId="75D8FD8F"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tcPr>
          <w:p w14:paraId="728AC74B" w14:textId="208451E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tcPr>
          <w:p w14:paraId="510C829A" w14:textId="0A83774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CA160F">
              <w:rPr>
                <w:rFonts w:ascii="Garamond" w:hAnsi="Garamond" w:cs="Calibri"/>
                <w:color w:val="000000"/>
                <w:sz w:val="20"/>
                <w:szCs w:val="20"/>
              </w:rPr>
              <w:t>Clade I and II</w:t>
            </w:r>
          </w:p>
        </w:tc>
        <w:tc>
          <w:tcPr>
            <w:tcW w:w="882" w:type="dxa"/>
            <w:tcBorders>
              <w:top w:val="nil"/>
              <w:left w:val="nil"/>
              <w:bottom w:val="nil"/>
              <w:right w:val="nil"/>
            </w:tcBorders>
            <w:noWrap/>
          </w:tcPr>
          <w:p w14:paraId="67FB3F9C" w14:textId="4BA5F806"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0211EF">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tcPr>
          <w:p w14:paraId="2CC43291" w14:textId="0D66E310"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32</w:t>
            </w:r>
          </w:p>
        </w:tc>
        <w:tc>
          <w:tcPr>
            <w:tcW w:w="1125" w:type="dxa"/>
            <w:tcBorders>
              <w:top w:val="nil"/>
              <w:left w:val="nil"/>
              <w:bottom w:val="nil"/>
              <w:right w:val="nil"/>
            </w:tcBorders>
            <w:noWrap/>
          </w:tcPr>
          <w:p w14:paraId="7DD4B7EB" w14:textId="28E963C8"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3.1</w:t>
            </w:r>
          </w:p>
        </w:tc>
      </w:tr>
      <w:tr w:rsidR="007569C4" w:rsidRPr="00B05F3A" w14:paraId="0F8A91DD" w14:textId="77777777" w:rsidTr="00E43530">
        <w:trPr>
          <w:trHeight w:val="290"/>
        </w:trPr>
        <w:tc>
          <w:tcPr>
            <w:tcW w:w="2410" w:type="dxa"/>
            <w:tcBorders>
              <w:top w:val="nil"/>
              <w:left w:val="nil"/>
              <w:bottom w:val="nil"/>
              <w:right w:val="nil"/>
            </w:tcBorders>
            <w:noWrap/>
          </w:tcPr>
          <w:p w14:paraId="38758B87" w14:textId="5F0E6841"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proofErr w:type="spellStart"/>
            <w:r w:rsidRPr="009E5B06">
              <w:rPr>
                <w:rFonts w:ascii="Garamond" w:eastAsia="Times New Roman" w:hAnsi="Garamond" w:cs="Calibri"/>
                <w:color w:val="000000"/>
                <w:kern w:val="0"/>
                <w:sz w:val="20"/>
                <w:szCs w:val="20"/>
                <w:lang w:eastAsia="fr-FR"/>
                <w14:ligatures w14:val="none"/>
              </w:rPr>
              <w:t>Yadouleton</w:t>
            </w:r>
            <w:proofErr w:type="spellEnd"/>
            <w:r w:rsidRPr="009E5B06">
              <w:rPr>
                <w:rFonts w:ascii="Garamond" w:eastAsia="Times New Roman" w:hAnsi="Garamond" w:cs="Calibri"/>
                <w:color w:val="000000"/>
                <w:kern w:val="0"/>
                <w:sz w:val="20"/>
                <w:szCs w:val="20"/>
                <w:lang w:eastAsia="fr-FR"/>
                <w14:ligatures w14:val="none"/>
              </w:rPr>
              <w:t xml:space="preserve">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{"citationID":"xveegAA9","properties":{"formattedCitation":"[25]","plainCitation":"[25]","noteIndex":0},"citationItems":[{"id":4736,"uris":["http://zotero.org/users/1791235/items/T6VZ7434"],"itemData":{"id":4736,"type":"article-journal","container-title":"Military Medical Research","DOI":"10.1186/s40779-022-00424-w","ISSN":"2054-9369","issue":"1","journalAbbreviation":"Military Med Res","language":"en","page":"63","source":"DOI.org (Crossref)","title":"Introduction of monkeypox virus in Benin, 2022","volume":"9","author":[{"family":"Yadouleton","given":"Anges"},{"family":"Faye","given":"Martin"},{"family":"Tchibozo","given":"Carine"},{"family":"Oke","given":"Mariam"},{"family":"Faye","given":"Oumar"},{"family":"Lawale","given":"Thierry"},{"family":"Denon","given":"Eric"},{"family":"Keke","given":"René"},{"family":"Dossou","given":"Ange"},{"family":"Zohoun","given":"Alban"},{"family":"Dossou","given":"Francis"},{"family":"Diagne","given":"Moussa Moise"},{"family":"Salifou","given":"Sourakou"},{"family":"Diatta","given":"Khadija Leila"},{"family":"Ndiaye","given":"Mignane"},{"family":"Sankhe","given":"Safietou"},{"family":"Diallo","given":"Amadou"},{"family":"Bedie","given":"Sonia"},{"family":"Glele-Kakai","given":"Clément"},{"family":"Onifade","given":"Al Fattah"},{"family":"Saizonou","given":"Raoul"},{"family":"Hounkanrin","given":"Gildas"},{"family":"Quenum","given":"Olga"},{"family":"Badou","given":"Yvette"},{"family":"Hounkpatin","given":"Benjamin"},{"family":"Sall","given":"Amadou Alpha"},{"family":"Faye","given":"Ousmane"}],"issued":{"date-parts":[["2022",11,9]]}}}],"schema":"https://github.com/citation-style-language/schema/raw/master/csl-citation.json"}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[25]</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tcPr>
          <w:p w14:paraId="10768E57" w14:textId="5B8BF326"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2022</w:t>
            </w:r>
          </w:p>
        </w:tc>
        <w:tc>
          <w:tcPr>
            <w:tcW w:w="1212" w:type="dxa"/>
            <w:tcBorders>
              <w:top w:val="nil"/>
              <w:left w:val="nil"/>
              <w:bottom w:val="nil"/>
              <w:right w:val="nil"/>
            </w:tcBorders>
            <w:noWrap/>
          </w:tcPr>
          <w:p w14:paraId="2F3F6058" w14:textId="22FBD42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Benin</w:t>
            </w:r>
          </w:p>
        </w:tc>
        <w:tc>
          <w:tcPr>
            <w:tcW w:w="1082" w:type="dxa"/>
            <w:tcBorders>
              <w:top w:val="nil"/>
              <w:left w:val="nil"/>
              <w:bottom w:val="nil"/>
              <w:right w:val="nil"/>
            </w:tcBorders>
            <w:noWrap/>
          </w:tcPr>
          <w:p w14:paraId="2D5FE769" w14:textId="73ACF53C" w:rsidR="007569C4" w:rsidRPr="009E5B06" w:rsidRDefault="0041648E" w:rsidP="006B38D1">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Case series</w:t>
            </w:r>
          </w:p>
        </w:tc>
        <w:tc>
          <w:tcPr>
            <w:tcW w:w="1180" w:type="dxa"/>
            <w:tcBorders>
              <w:top w:val="nil"/>
              <w:left w:val="nil"/>
              <w:bottom w:val="nil"/>
              <w:right w:val="nil"/>
            </w:tcBorders>
            <w:noWrap/>
          </w:tcPr>
          <w:p w14:paraId="533D8002" w14:textId="37AC073D"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tcPr>
          <w:p w14:paraId="7964B6E6" w14:textId="5D9E84E0"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tcPr>
          <w:p w14:paraId="27C97E28" w14:textId="255C7DC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tcPr>
          <w:p w14:paraId="77F98DE2" w14:textId="68525DE3"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Clade II</w:t>
            </w:r>
          </w:p>
        </w:tc>
        <w:tc>
          <w:tcPr>
            <w:tcW w:w="882" w:type="dxa"/>
            <w:tcBorders>
              <w:top w:val="nil"/>
              <w:left w:val="nil"/>
              <w:bottom w:val="nil"/>
              <w:right w:val="nil"/>
            </w:tcBorders>
            <w:noWrap/>
          </w:tcPr>
          <w:p w14:paraId="3BC510A3" w14:textId="6FC3002D"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0211EF">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tcPr>
          <w:p w14:paraId="121C08AC" w14:textId="0B52E268"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3</w:t>
            </w:r>
          </w:p>
        </w:tc>
        <w:tc>
          <w:tcPr>
            <w:tcW w:w="1125" w:type="dxa"/>
            <w:tcBorders>
              <w:top w:val="nil"/>
              <w:left w:val="nil"/>
              <w:bottom w:val="nil"/>
              <w:right w:val="nil"/>
            </w:tcBorders>
            <w:noWrap/>
          </w:tcPr>
          <w:p w14:paraId="58855E96" w14:textId="1C4A402D"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0.0</w:t>
            </w:r>
          </w:p>
        </w:tc>
      </w:tr>
      <w:tr w:rsidR="007569C4" w:rsidRPr="00B05F3A" w14:paraId="57866448" w14:textId="77777777" w:rsidTr="00E43530">
        <w:trPr>
          <w:trHeight w:val="290"/>
        </w:trPr>
        <w:tc>
          <w:tcPr>
            <w:tcW w:w="2410" w:type="dxa"/>
            <w:tcBorders>
              <w:top w:val="nil"/>
              <w:left w:val="nil"/>
              <w:bottom w:val="nil"/>
              <w:right w:val="nil"/>
            </w:tcBorders>
            <w:noWrap/>
          </w:tcPr>
          <w:p w14:paraId="31F1F7F2" w14:textId="4873508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proofErr w:type="spellStart"/>
            <w:r w:rsidRPr="009E5B06">
              <w:rPr>
                <w:rFonts w:ascii="Garamond" w:eastAsia="Times New Roman" w:hAnsi="Garamond" w:cs="Calibri"/>
                <w:color w:val="000000"/>
                <w:kern w:val="0"/>
                <w:sz w:val="20"/>
                <w:szCs w:val="20"/>
                <w:lang w:eastAsia="fr-FR"/>
                <w14:ligatures w14:val="none"/>
              </w:rPr>
              <w:t>Mmerem</w:t>
            </w:r>
            <w:proofErr w:type="spellEnd"/>
            <w:r w:rsidRPr="009E5B06">
              <w:rPr>
                <w:rFonts w:ascii="Garamond" w:eastAsia="Times New Roman" w:hAnsi="Garamond" w:cs="Calibri"/>
                <w:color w:val="000000"/>
                <w:kern w:val="0"/>
                <w:sz w:val="20"/>
                <w:szCs w:val="20"/>
                <w:lang w:eastAsia="fr-FR"/>
                <w14:ligatures w14:val="none"/>
              </w:rPr>
              <w:t xml:space="preserve">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{"citationID":"E0zzNMll","properties":{"formattedCitation":"[26]","plainCitation":"[26]","noteIndex":0},"citationItems":[{"id":4040,"uris":["http://zotero.org/users/1791235/items/Z9ZK9VF9"],"itemData":{"id":4040,"type":"article-journal","abstract":"Abstract\n            \n              Background\n              We describe clinicoepidemiologic characteristics of mpox-chickenpox coinfection in Nigeria.\n            \n            \n              Methods\n              A retrospective cohort analysis was performed of confirmed mpox cases in Nigeria from January 2022 to March 2023. Mpox and chickenpox were confirmed by real-time polymerase chain reaction (RT-PCR).\n            \n            \n              Results\n              Of 94 (60.0%) suspected cases, 56 had confirmed mpox, of whom 16 (28.6%) had chickenpox coinfection. The median age of confirmed mpox cases was 29 years (interquartile range, 20–37 years), 24 were men (60.7%), 6 (10.7%) were bisexual, and 5 (8.9%) died. Mpox-chickenpox–coinfected patients had more complications than mpox-monoinfected cases (56.3% vs 22.5%, P = .015).\n            \n            \n              Conclusions\n              The high frequency of mpox-chickenpox coinfection argues for accelerated access to mpox and chickenpox vaccines in Africa.","container-title":"The Journal of Infectious Diseases","DOI":"10.1093/infdis/jiad556","ISSN":"0022-1899, 1537-6613","issue":"Supplement_2","language":"en","license":"https://academic.oup.com/pages/standard-publication-reuse-rights","page":"S260-4","source":"DOI.org (Crossref)","title":"Mpox and Chickenpox Coinfection: Case Series From Southern Nigeria","title-short":"Mpox and Chickenpox Coinfection","volume":"229","author":[{"family":"Mmerem","given":"Juliet I"},{"family":"Umenzekwe","given":"Chukwudi C"},{"family":"Johnson","given":"Simon M"},{"family":"Onukak","given":"Asukwo E"},{"family":"Chika-Igwenyi","given":"Nneka M"},{"family":"Chukwu","given":"Sunday K"},{"family":"Onyeaghala","given":"Chizaram A"},{"family":"Ozougwu","given":"Jideofor J"},{"family":"Alasia","given":"Datonye"},{"family":"Ehiakhamen","given":"Odianosen"},{"family":"Nwankwo","given":"Henry M"},{"family":"Ezejiofor","given":"Ogochukwu I"},{"family":"Unigwe","given":"Uche S"},{"family":"Iroezindu","given":"Michael O"}],"issued":{"date-parts":[["2024"]]}}}],"schema":"https://github.com/citation-style-language/schema/raw/master/csl-citation.json"}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[26]</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tcPr>
          <w:p w14:paraId="2AC1C3DA" w14:textId="53DA43A2"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2023</w:t>
            </w:r>
          </w:p>
        </w:tc>
        <w:tc>
          <w:tcPr>
            <w:tcW w:w="1212" w:type="dxa"/>
            <w:tcBorders>
              <w:top w:val="nil"/>
              <w:left w:val="nil"/>
              <w:bottom w:val="nil"/>
              <w:right w:val="nil"/>
            </w:tcBorders>
            <w:noWrap/>
          </w:tcPr>
          <w:p w14:paraId="668339DD" w14:textId="77618E8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Nigeria</w:t>
            </w:r>
          </w:p>
        </w:tc>
        <w:tc>
          <w:tcPr>
            <w:tcW w:w="1082" w:type="dxa"/>
            <w:tcBorders>
              <w:top w:val="nil"/>
              <w:left w:val="nil"/>
              <w:bottom w:val="nil"/>
              <w:right w:val="nil"/>
            </w:tcBorders>
            <w:noWrap/>
          </w:tcPr>
          <w:p w14:paraId="534FD1EA" w14:textId="74A64B86"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Cohort study</w:t>
            </w:r>
          </w:p>
        </w:tc>
        <w:tc>
          <w:tcPr>
            <w:tcW w:w="1180" w:type="dxa"/>
            <w:tcBorders>
              <w:top w:val="nil"/>
              <w:left w:val="nil"/>
              <w:bottom w:val="nil"/>
              <w:right w:val="nil"/>
            </w:tcBorders>
            <w:noWrap/>
          </w:tcPr>
          <w:p w14:paraId="3834D6CC" w14:textId="2AAC5C93"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Hospital</w:t>
            </w:r>
          </w:p>
        </w:tc>
        <w:tc>
          <w:tcPr>
            <w:tcW w:w="1707" w:type="dxa"/>
            <w:tcBorders>
              <w:top w:val="nil"/>
              <w:left w:val="nil"/>
              <w:bottom w:val="nil"/>
              <w:right w:val="nil"/>
            </w:tcBorders>
            <w:noWrap/>
          </w:tcPr>
          <w:p w14:paraId="5E213350" w14:textId="316847D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tcPr>
          <w:p w14:paraId="3ABA70C9" w14:textId="08991E83"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tcPr>
          <w:p w14:paraId="1D859801" w14:textId="7534306C"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Clade Ib</w:t>
            </w:r>
          </w:p>
        </w:tc>
        <w:tc>
          <w:tcPr>
            <w:tcW w:w="882" w:type="dxa"/>
            <w:tcBorders>
              <w:top w:val="nil"/>
              <w:left w:val="nil"/>
              <w:bottom w:val="nil"/>
              <w:right w:val="nil"/>
            </w:tcBorders>
            <w:noWrap/>
          </w:tcPr>
          <w:p w14:paraId="29250EB2" w14:textId="1252EA60"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0211EF">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tcPr>
          <w:p w14:paraId="0DB17C36" w14:textId="2712BDC0"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56</w:t>
            </w:r>
          </w:p>
        </w:tc>
        <w:tc>
          <w:tcPr>
            <w:tcW w:w="1125" w:type="dxa"/>
            <w:tcBorders>
              <w:top w:val="nil"/>
              <w:left w:val="nil"/>
              <w:bottom w:val="nil"/>
              <w:right w:val="nil"/>
            </w:tcBorders>
            <w:noWrap/>
          </w:tcPr>
          <w:p w14:paraId="6CF6EA46" w14:textId="1F998EC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8.9</w:t>
            </w:r>
          </w:p>
        </w:tc>
      </w:tr>
      <w:tr w:rsidR="007569C4" w:rsidRPr="00B05F3A" w14:paraId="2CFB7279" w14:textId="77777777" w:rsidTr="00E43530">
        <w:trPr>
          <w:trHeight w:val="290"/>
        </w:trPr>
        <w:tc>
          <w:tcPr>
            <w:tcW w:w="2410" w:type="dxa"/>
            <w:tcBorders>
              <w:top w:val="nil"/>
              <w:left w:val="nil"/>
              <w:bottom w:val="nil"/>
              <w:right w:val="nil"/>
            </w:tcBorders>
            <w:noWrap/>
          </w:tcPr>
          <w:p w14:paraId="2E6A915A" w14:textId="2F6FC6F3"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proofErr w:type="spellStart"/>
            <w:r w:rsidRPr="009E5B06">
              <w:rPr>
                <w:rFonts w:ascii="Garamond" w:eastAsia="Times New Roman" w:hAnsi="Garamond" w:cs="Calibri"/>
                <w:color w:val="000000"/>
                <w:kern w:val="0"/>
                <w:sz w:val="20"/>
                <w:szCs w:val="20"/>
                <w:lang w:eastAsia="fr-FR"/>
                <w14:ligatures w14:val="none"/>
              </w:rPr>
              <w:t>Kibungu</w:t>
            </w:r>
            <w:proofErr w:type="spellEnd"/>
            <w:r w:rsidRPr="009E5B06">
              <w:rPr>
                <w:rFonts w:ascii="Garamond" w:eastAsia="Times New Roman" w:hAnsi="Garamond" w:cs="Calibri"/>
                <w:color w:val="000000"/>
                <w:kern w:val="0"/>
                <w:sz w:val="20"/>
                <w:szCs w:val="20"/>
                <w:lang w:eastAsia="fr-FR"/>
                <w14:ligatures w14:val="none"/>
              </w:rPr>
              <w:t xml:space="preserve">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{"citationID":"PVl3YBhx","properties":{"formattedCitation":"[27]","plainCitation":"[27]","noteIndex":0},"citationItems":[{"id":3572,"uris":["http://zotero.org/users/1791235/items/ZLADRLXQ"],"itemData":{"id":3572,"type":"article-journal","container-title":"Emerging Infectious Diseases","DOI":"10.3201/eid3001.231164","ISSN":"1080-6040, 1080-6059","issue":"1","journalAbbreviation":"Emerg. Infect. Dis.","page":"172-6","source":"DOI.org (Crossref)","title":"Clade I–Associated Mpox Cases Associated with Sexual Contact, the Democratic Republic of the Congo","volume":"30","author":[{"family":"Kibungu","given":"Emile M."},{"family":"Vakaniaki","given":"Emmanuel H."},{"family":"Kinganda-Lusamaki","given":"Eddy"},{"family":"Kalonji-Mukendi","given":"Thierry"},{"family":"Pukuta","given":"Elisabeth"},{"family":"Hoff","given":"Nicole A."},{"family":"Bogoch","given":"Isaac I."},{"family":"Cevik","given":"Muge"},{"family":"Gonsalves","given":"Gregg S."},{"family":"Hensley","given":"Lisa E."},{"family":"Low","given":"Nicola"},{"family":"Shaw","given":"Souradet Y."},{"family":"Schillberg","given":"Erin"},{"family":"Hunter","given":"Mikayla"},{"family":"Lunyanga","given":"Lygie"},{"family":"Linsuke","given":"Sylvie"},{"family":"Madinga","given":"Joule"},{"family":"Peeters","given":"Martine"},{"family":"Cigolo","given":"Jean-Claude Makangara"},{"family":"Ahuka-Mundeke","given":"Steve"},{"family":"Muyembe","given":"Jean-Jacques"},{"family":"Rimoin","given":"Anne W."},{"family":"Kindrachuk","given":"Jason"},{"family":"Mbala-Kingebeni","given":"Placide"},{"family":"Lushima","given":"Robert S."},{"literal":"International Mpox Research Consortium"}],"issued":{"date-parts":[["2024"]]}}}],"schema":"https://github.com/citation-style-language/schema/raw/master/csl-citation.json"}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[27]</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tcPr>
          <w:p w14:paraId="4956F42C" w14:textId="76326CE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2023</w:t>
            </w:r>
          </w:p>
        </w:tc>
        <w:tc>
          <w:tcPr>
            <w:tcW w:w="1212" w:type="dxa"/>
            <w:tcBorders>
              <w:top w:val="nil"/>
              <w:left w:val="nil"/>
              <w:bottom w:val="nil"/>
              <w:right w:val="nil"/>
            </w:tcBorders>
            <w:noWrap/>
          </w:tcPr>
          <w:p w14:paraId="27E22AF4" w14:textId="0789572E"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DRC</w:t>
            </w:r>
          </w:p>
        </w:tc>
        <w:tc>
          <w:tcPr>
            <w:tcW w:w="1082" w:type="dxa"/>
            <w:tcBorders>
              <w:top w:val="nil"/>
              <w:left w:val="nil"/>
              <w:bottom w:val="nil"/>
              <w:right w:val="nil"/>
            </w:tcBorders>
            <w:noWrap/>
          </w:tcPr>
          <w:p w14:paraId="2A96ACDB" w14:textId="045FF545" w:rsidR="007569C4" w:rsidRPr="009E5B06" w:rsidRDefault="0041648E" w:rsidP="006B38D1">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Case series</w:t>
            </w:r>
          </w:p>
        </w:tc>
        <w:tc>
          <w:tcPr>
            <w:tcW w:w="1180" w:type="dxa"/>
            <w:tcBorders>
              <w:top w:val="nil"/>
              <w:left w:val="nil"/>
              <w:bottom w:val="nil"/>
              <w:right w:val="nil"/>
            </w:tcBorders>
            <w:noWrap/>
          </w:tcPr>
          <w:p w14:paraId="71721BB5" w14:textId="12820DBC"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tcPr>
          <w:p w14:paraId="419DD9E7" w14:textId="225598A0"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tcPr>
          <w:p w14:paraId="5FBD432A" w14:textId="48CCF5DC"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tcPr>
          <w:p w14:paraId="7AC690B3" w14:textId="7A00DA8D"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Clade Ia</w:t>
            </w:r>
          </w:p>
        </w:tc>
        <w:tc>
          <w:tcPr>
            <w:tcW w:w="882" w:type="dxa"/>
            <w:tcBorders>
              <w:top w:val="nil"/>
              <w:left w:val="nil"/>
              <w:bottom w:val="nil"/>
              <w:right w:val="nil"/>
            </w:tcBorders>
            <w:noWrap/>
          </w:tcPr>
          <w:p w14:paraId="2EAA1931" w14:textId="2A3ED8C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0211EF">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tcPr>
          <w:p w14:paraId="4E953182" w14:textId="172C03C3"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5</w:t>
            </w:r>
          </w:p>
        </w:tc>
        <w:tc>
          <w:tcPr>
            <w:tcW w:w="1125" w:type="dxa"/>
            <w:tcBorders>
              <w:top w:val="nil"/>
              <w:left w:val="nil"/>
              <w:bottom w:val="nil"/>
              <w:right w:val="nil"/>
            </w:tcBorders>
            <w:noWrap/>
          </w:tcPr>
          <w:p w14:paraId="4C9937B8" w14:textId="5F1355B7"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0.0</w:t>
            </w:r>
          </w:p>
        </w:tc>
      </w:tr>
      <w:tr w:rsidR="007569C4" w:rsidRPr="00B05F3A" w14:paraId="0B04A04B" w14:textId="77777777" w:rsidTr="00E43530">
        <w:trPr>
          <w:trHeight w:val="290"/>
        </w:trPr>
        <w:tc>
          <w:tcPr>
            <w:tcW w:w="2410" w:type="dxa"/>
            <w:tcBorders>
              <w:top w:val="nil"/>
              <w:left w:val="nil"/>
              <w:bottom w:val="nil"/>
              <w:right w:val="nil"/>
            </w:tcBorders>
            <w:noWrap/>
          </w:tcPr>
          <w:p w14:paraId="2350C826" w14:textId="3EEE5875"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 xml:space="preserve">Nizigiyimana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{"citationID":"DfLsJhua","properties":{"formattedCitation":"[28]","plainCitation":"[28]","noteIndex":0},"citationItems":[{"id":4738,"uris":["http://zotero.org/users/1791235/items/FSZCC3W5"],"itemData":{"id":4738,"type":"article-journal","abstract":"We analysed mpox cases in Burundi from July to September 2024, following the introduction of Clade Ib virus. Of 607 samples from the whole population of suspected cases, 154 were PCR-positive, of whom 85 were children under 15 years, with a higher proportion of female children testing positive. Geographical analysis demonstrates case concentration in Bujumbura Mairie (91/154). Age- and sex-specific interventions, as well as community engagement, are important for outbreak containment, as are targeted public health strategies in Burundi.","container-title":"Eurosurveillance","DOI":"10.2807/1560-7917.ES.2024.29.42.2400647","ISSN":"1560-7917","issue":"42","language":"en","note":"publisher: European Centre for Disease Prevention and Control","page":"2400647","source":"www.eurosurveillance.org","title":"Epidemiological analysis of confirmed mpox cases, Burundi, 3 July to 9 September 2024","volume":"29","author":[{"family":"Nizigiyimana","given":"Alexis"},{"family":"Ndikumwenayo","given":"Francois"},{"family":"Houben","given":"Sarah"},{"family":"Manirakiza","given":"Martin"},{"family":"Lettow","given":"Monique","dropping-particle":"van"},{"family":"Liesenborghs","given":"Laurens"},{"family":"Mbala-Kingebeni","given":"Placide"},{"family":"Rimoin","given":"Anne W."},{"family":"Bogoch","given":"Isaac I."},{"family":"Kindrachuk","given":"Jason"}],"issued":{"date-parts":[["2024"]]}}}],"schema":"https://github.com/citation-style-language/schema/raw/master/csl-citation.json"}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[28]</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tcPr>
          <w:p w14:paraId="6D1B263B" w14:textId="1E941636"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2024</w:t>
            </w:r>
          </w:p>
        </w:tc>
        <w:tc>
          <w:tcPr>
            <w:tcW w:w="1212" w:type="dxa"/>
            <w:tcBorders>
              <w:top w:val="nil"/>
              <w:left w:val="nil"/>
              <w:bottom w:val="nil"/>
              <w:right w:val="nil"/>
            </w:tcBorders>
            <w:noWrap/>
          </w:tcPr>
          <w:p w14:paraId="45969544" w14:textId="3224CC17"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Burundi</w:t>
            </w:r>
          </w:p>
        </w:tc>
        <w:tc>
          <w:tcPr>
            <w:tcW w:w="1082" w:type="dxa"/>
            <w:tcBorders>
              <w:top w:val="nil"/>
              <w:left w:val="nil"/>
              <w:bottom w:val="nil"/>
              <w:right w:val="nil"/>
            </w:tcBorders>
            <w:noWrap/>
          </w:tcPr>
          <w:p w14:paraId="3CE91C42" w14:textId="48B66A38"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tcPr>
          <w:p w14:paraId="55EDDF8D" w14:textId="1915B459"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tcPr>
          <w:p w14:paraId="21A5FA51" w14:textId="70B4712D"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tcPr>
          <w:p w14:paraId="7780C3F3" w14:textId="5566CA0D"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tcPr>
          <w:p w14:paraId="21EA28E8" w14:textId="6362348E"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Clade Ib</w:t>
            </w:r>
          </w:p>
        </w:tc>
        <w:tc>
          <w:tcPr>
            <w:tcW w:w="882" w:type="dxa"/>
            <w:tcBorders>
              <w:top w:val="nil"/>
              <w:left w:val="nil"/>
              <w:bottom w:val="nil"/>
              <w:right w:val="nil"/>
            </w:tcBorders>
            <w:noWrap/>
          </w:tcPr>
          <w:p w14:paraId="2F3007DA" w14:textId="177CEAA7"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0211EF">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tcPr>
          <w:p w14:paraId="60A9F92E" w14:textId="5DBC8330"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154</w:t>
            </w:r>
          </w:p>
        </w:tc>
        <w:tc>
          <w:tcPr>
            <w:tcW w:w="1125" w:type="dxa"/>
            <w:tcBorders>
              <w:top w:val="nil"/>
              <w:left w:val="nil"/>
              <w:bottom w:val="nil"/>
              <w:right w:val="nil"/>
            </w:tcBorders>
            <w:noWrap/>
          </w:tcPr>
          <w:p w14:paraId="73C94262" w14:textId="4D6B9FAA"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0.0</w:t>
            </w:r>
          </w:p>
        </w:tc>
      </w:tr>
      <w:tr w:rsidR="00F2694A" w:rsidRPr="00B05F3A" w14:paraId="5DB45278" w14:textId="77777777" w:rsidTr="00E43530">
        <w:trPr>
          <w:trHeight w:val="290"/>
        </w:trPr>
        <w:tc>
          <w:tcPr>
            <w:tcW w:w="2410" w:type="dxa"/>
            <w:tcBorders>
              <w:top w:val="nil"/>
              <w:left w:val="nil"/>
              <w:bottom w:val="nil"/>
              <w:right w:val="nil"/>
            </w:tcBorders>
            <w:noWrap/>
          </w:tcPr>
          <w:p w14:paraId="1F42BB8E" w14:textId="602AD3AD" w:rsidR="00F2694A" w:rsidRPr="009E5B06" w:rsidRDefault="00F2694A"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lastRenderedPageBreak/>
              <w:t xml:space="preserve">Brosius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{"citationID":"YCq0YQ0q","properties":{"formattedCitation":"[29]","plainCitation":"[29]","noteIndex":0},"citationItems":[{"id":3575,"uris":["http://zotero.org/users/1791235/items/JJVH2HZE"],"itemData":{"id":3575,"type":"article-journal","container-title":"The Lancet","DOI":"10.1016/S0140-6736(25)00047-9","ISSN":"0140-6736, 1474-547X","issue":"10478","journalAbbreviation":"The Lancet","language":"English","note":"publisher: Elsevier\nPMID: 39892407","page":"547-59","source":"www.thelancet.com","title":"Epidemiological and clinical features of mpox during the clade Ib outbreak in South Kivu, Democratic Republic of the Congo: a prospective cohort study","title-short":"Epidemiological and clinical features of mpox during the clade Ib outbreak in South Kivu, Democratic Republic of the Congo","volume":"405","author":[{"family":"Brosius","given":"Isabel"},{"family":"Vakaniaki","given":"Emmanuel Hasivirwe"},{"family":"Mukari","given":"Guy"},{"family":"Munganga","given":"Papy"},{"family":"Tshomba","given":"Jean Claude"},{"family":"Vos","given":"Elise De"},{"family":"Bangwen","given":"Eugene"},{"family":"Mujula","given":"Yves"},{"family":"Tsoumanis","given":"Achilleas"},{"family":"Dijck","given":"Christophe Van"},{"family":"Alengo","given":"Aimé"},{"family":"Mutimbwa-Mambo","given":"Léandre"},{"family":"Kumbana","given":"Franklin Mweshi"},{"family":"Munga","given":"Jenestin Babingwa"},{"family":"Mambo","given":"Divin Mazambi"},{"family":"Zangilwa","given":"James Wakilongo"},{"family":"Kitwanda","given":"Steeven Bilembo"},{"family":"Houben","given":"Sarah"},{"family":"Hoff","given":"Nicole A."},{"family":"Makangara-Cigolo","given":"Jean-Claude"},{"family":"Kinganda-Lusamaki","given":"Eddy"},{"family":"Peeters","given":"Martine"},{"family":"Rimoin","given":"Anne W."},{"family":"Kindrachuk","given":"Jason"},{"family":"Low","given":"Nicola"},{"family":"Katoto","given":"Patrick D. M. C."},{"family":"Malembaka","given":"Espoir Bwenge"},{"family":"Amuasi","given":"John H."},{"family":"Tshiani-Mbaya","given":"Olivier"},{"family":"Kambaji","given":"Dally Muamba"},{"family":"Kojan","given":"Richard"},{"family":"Kacita","given":"Cris"},{"family":"Mukadi-Bamuleka","given":"Daniel"},{"family":"Ahuka-Mundeke","given":"Steve"},{"family":"Vercauteren","given":"Koen"},{"family":"Wawina-Bokalanga","given":"Tony"},{"family":"Muyembe-Tamfum","given":"Jean-Jacques"},{"family":"Nundu","given":"Sabin Sabiti"},{"family":"Liesenborghs","given":"Laurens"},{"family":"Mbala-Kingebeni","given":"Placide"}],"issued":{"date-parts":[["2025"]]}}}],"schema":"https://github.com/citation-style-language/schema/raw/master/csl-citation.json"}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[29]</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tcPr>
          <w:p w14:paraId="5E2204A9" w14:textId="4F47B8D5" w:rsidR="00F2694A" w:rsidRPr="009E5B06" w:rsidRDefault="00F2694A"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2024</w:t>
            </w:r>
          </w:p>
        </w:tc>
        <w:tc>
          <w:tcPr>
            <w:tcW w:w="1212" w:type="dxa"/>
            <w:tcBorders>
              <w:top w:val="nil"/>
              <w:left w:val="nil"/>
              <w:bottom w:val="nil"/>
              <w:right w:val="nil"/>
            </w:tcBorders>
            <w:noWrap/>
          </w:tcPr>
          <w:p w14:paraId="5A19AB93" w14:textId="0D8AA0D1" w:rsidR="00F2694A" w:rsidRPr="009E5B06" w:rsidRDefault="00F2694A"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DRC</w:t>
            </w:r>
          </w:p>
        </w:tc>
        <w:tc>
          <w:tcPr>
            <w:tcW w:w="1082" w:type="dxa"/>
            <w:tcBorders>
              <w:top w:val="nil"/>
              <w:left w:val="nil"/>
              <w:bottom w:val="nil"/>
              <w:right w:val="nil"/>
            </w:tcBorders>
            <w:noWrap/>
          </w:tcPr>
          <w:p w14:paraId="25D7FAA0" w14:textId="1A4838D0" w:rsidR="00F2694A" w:rsidRPr="009E5B06" w:rsidRDefault="00F2694A"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Cohort study</w:t>
            </w:r>
          </w:p>
        </w:tc>
        <w:tc>
          <w:tcPr>
            <w:tcW w:w="1180" w:type="dxa"/>
            <w:tcBorders>
              <w:top w:val="nil"/>
              <w:left w:val="nil"/>
              <w:bottom w:val="nil"/>
              <w:right w:val="nil"/>
            </w:tcBorders>
            <w:noWrap/>
          </w:tcPr>
          <w:p w14:paraId="69B685E4" w14:textId="5FB83098" w:rsidR="00F2694A" w:rsidRPr="009E5B06" w:rsidRDefault="00F2694A"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Hospital</w:t>
            </w:r>
          </w:p>
        </w:tc>
        <w:tc>
          <w:tcPr>
            <w:tcW w:w="1707" w:type="dxa"/>
            <w:tcBorders>
              <w:top w:val="nil"/>
              <w:left w:val="nil"/>
              <w:bottom w:val="nil"/>
              <w:right w:val="nil"/>
            </w:tcBorders>
            <w:noWrap/>
          </w:tcPr>
          <w:p w14:paraId="1A3B7DC2" w14:textId="382D176D" w:rsidR="00F2694A" w:rsidRPr="009E5B06" w:rsidRDefault="00F2694A"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tcPr>
          <w:p w14:paraId="77542D9A" w14:textId="34E89321" w:rsidR="00F2694A" w:rsidRPr="009E5B06" w:rsidRDefault="00F2694A"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tcPr>
          <w:p w14:paraId="73665AA3" w14:textId="59612D5B" w:rsidR="00F2694A" w:rsidRPr="009E5B06" w:rsidRDefault="00F2694A"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Clade Ib</w:t>
            </w:r>
          </w:p>
        </w:tc>
        <w:tc>
          <w:tcPr>
            <w:tcW w:w="882" w:type="dxa"/>
            <w:tcBorders>
              <w:top w:val="nil"/>
              <w:left w:val="nil"/>
              <w:bottom w:val="nil"/>
              <w:right w:val="nil"/>
            </w:tcBorders>
            <w:noWrap/>
          </w:tcPr>
          <w:p w14:paraId="38B01C6C" w14:textId="6F889E4C" w:rsidR="00F2694A" w:rsidRPr="009E5B06" w:rsidRDefault="00F2694A"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M</w:t>
            </w:r>
            <w:r w:rsidR="007569C4">
              <w:rPr>
                <w:rFonts w:ascii="Garamond" w:eastAsia="Times New Roman" w:hAnsi="Garamond" w:cs="Calibri"/>
                <w:color w:val="000000"/>
                <w:kern w:val="0"/>
                <w:sz w:val="20"/>
                <w:szCs w:val="20"/>
                <w:lang w:eastAsia="fr-FR"/>
                <w14:ligatures w14:val="none"/>
              </w:rPr>
              <w:t>oderate</w:t>
            </w:r>
          </w:p>
        </w:tc>
        <w:tc>
          <w:tcPr>
            <w:tcW w:w="1077" w:type="dxa"/>
            <w:tcBorders>
              <w:top w:val="nil"/>
              <w:left w:val="nil"/>
              <w:bottom w:val="nil"/>
              <w:right w:val="nil"/>
            </w:tcBorders>
            <w:noWrap/>
          </w:tcPr>
          <w:p w14:paraId="573F22CA" w14:textId="63C3C74F" w:rsidR="00F2694A" w:rsidRPr="009E5B06" w:rsidRDefault="00F2694A"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431</w:t>
            </w:r>
          </w:p>
        </w:tc>
        <w:tc>
          <w:tcPr>
            <w:tcW w:w="1125" w:type="dxa"/>
            <w:tcBorders>
              <w:top w:val="nil"/>
              <w:left w:val="nil"/>
              <w:bottom w:val="nil"/>
              <w:right w:val="nil"/>
            </w:tcBorders>
            <w:noWrap/>
          </w:tcPr>
          <w:p w14:paraId="2C268B22" w14:textId="05E60D09" w:rsidR="00F2694A" w:rsidRPr="009E5B06" w:rsidRDefault="00F2694A"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hAnsi="Garamond" w:cs="Calibri"/>
                <w:color w:val="000000"/>
                <w:sz w:val="20"/>
                <w:szCs w:val="20"/>
              </w:rPr>
              <w:t>0.5</w:t>
            </w:r>
          </w:p>
        </w:tc>
      </w:tr>
      <w:tr w:rsidR="00F2694A" w:rsidRPr="00B05F3A" w14:paraId="7E85C7B5" w14:textId="77777777" w:rsidTr="00E43530">
        <w:trPr>
          <w:trHeight w:val="290"/>
        </w:trPr>
        <w:tc>
          <w:tcPr>
            <w:tcW w:w="2410" w:type="dxa"/>
            <w:tcBorders>
              <w:top w:val="nil"/>
              <w:left w:val="nil"/>
              <w:bottom w:val="nil"/>
              <w:right w:val="nil"/>
            </w:tcBorders>
            <w:noWrap/>
          </w:tcPr>
          <w:p w14:paraId="7E30C80F" w14:textId="27C55213" w:rsidR="00F2694A" w:rsidRPr="009E5B06" w:rsidRDefault="00F2694A"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Mukadi-</w:t>
            </w:r>
            <w:proofErr w:type="spellStart"/>
            <w:r w:rsidRPr="009E5B06">
              <w:rPr>
                <w:rFonts w:ascii="Garamond" w:eastAsia="Times New Roman" w:hAnsi="Garamond" w:cs="Calibri"/>
                <w:color w:val="000000"/>
                <w:kern w:val="0"/>
                <w:sz w:val="20"/>
                <w:szCs w:val="20"/>
                <w:lang w:eastAsia="fr-FR"/>
                <w14:ligatures w14:val="none"/>
              </w:rPr>
              <w:t>Bamuleka</w:t>
            </w:r>
            <w:proofErr w:type="spellEnd"/>
            <w:r w:rsidRPr="009E5B06">
              <w:rPr>
                <w:rFonts w:ascii="Garamond" w:eastAsia="Times New Roman" w:hAnsi="Garamond" w:cs="Calibri"/>
                <w:color w:val="000000"/>
                <w:kern w:val="0"/>
                <w:sz w:val="20"/>
                <w:szCs w:val="20"/>
                <w:lang w:eastAsia="fr-FR"/>
                <w14:ligatures w14:val="none"/>
              </w:rPr>
              <w:t xml:space="preserve"> </w:t>
            </w:r>
            <w:r w:rsidRPr="009E5B06">
              <w:rPr>
                <w:rFonts w:ascii="Garamond" w:eastAsia="Times New Roman" w:hAnsi="Garamond" w:cs="Calibri"/>
                <w:i/>
                <w:iCs/>
                <w:color w:val="000000"/>
                <w:kern w:val="0"/>
                <w:sz w:val="20"/>
                <w:szCs w:val="20"/>
                <w:lang w:eastAsia="fr-FR"/>
                <w14:ligatures w14:val="none"/>
              </w:rPr>
              <w:t xml:space="preserve">et al. </w:t>
            </w:r>
            <w:r w:rsidRPr="009E5B06">
              <w:rPr>
                <w:rFonts w:ascii="Garamond" w:eastAsia="Times New Roman" w:hAnsi="Garamond" w:cs="Calibri"/>
                <w:i/>
                <w:iCs/>
                <w:color w:val="000000"/>
                <w:kern w:val="0"/>
                <w:sz w:val="20"/>
                <w:szCs w:val="20"/>
                <w:lang w:eastAsia="fr-FR"/>
                <w14:ligatures w14:val="none"/>
              </w:rPr>
              <w:fldChar w:fldCharType="begin"/>
            </w:r>
            <w:r w:rsidRPr="009E5B06">
              <w:rPr>
                <w:rFonts w:ascii="Garamond" w:eastAsia="Times New Roman" w:hAnsi="Garamond" w:cs="Calibri"/>
                <w:i/>
                <w:iCs/>
                <w:color w:val="000000"/>
                <w:kern w:val="0"/>
                <w:sz w:val="20"/>
                <w:szCs w:val="20"/>
                <w:lang w:eastAsia="fr-FR"/>
                <w14:ligatures w14:val="none"/>
              </w:rPr>
              <w:instrText xml:space="preserve"> ADDIN ZOTERO_ITEM CSL_CITATION {"citationID":"2YUSGDld","properties":{"formattedCitation":"[30]","plainCitation":"[30]","noteIndex":0},"citationItems":[{"id":3580,"uris":["http://zotero.org/users/1791235/items/ATT8FU22"],"itemData":{"id":3580,"type":"article","abstract":"ABSTRACT\n          The ongoing national mpox outbreak in the Democratic Republic of the Congo has resulted in more &gt;30,000 suspected cases in the country from January 2023 to August 2024. While these historic case totals have been driven by primarily by zoonosis, the emergence of Clade Ib monkeypox virus (MPXV), which is connected to more sustained human-to-human transmission, has been associated with increasing public health impacts in eastern DRC. First identified in South Kivu province, Clade Ib MPXV has been identified in multiple non-endemic East African countries for the first time. In DRC, there have been concerns over broader Clade Ib expansion in the country that could further complicate containment and mitigation responses. Here, we report the first introductions of Clade Ib into North Kivu province, including within internal displacement camps, with suspected close contact transmission that includes non-intimate contacts and children. These findings demonstrate that mpox case investigations and community messaging campaigns should include considerations for non-sexual contact-mediated transmission of Clade Ib that includes children &lt;15 years.","DOI":"10.1101/2024.09.12.24313188","language":"en","license":"http://creativecommons.org/licenses/by-nc-nd/4.0/","publisher":"medRxiv","source":"Infectious Diseases (except HIV/AIDS)","title":"First imported Cases of MPXV Clade Ib in Goma, Democratic Republic of the Congo: Implications for Global Surveillance and Transmission Dynamics","title-short":"First imported Cases of MPXV Clade Ib in Goma, Democratic Republic of the Congo","URL":"http://medrxiv.org/lookup/doi/10.1101/2024.09.12.24313188","author":[{"family":"Mukadi-Bamuleka","given":"Daniel"},{"family":"Kinganda-Lusamaki","given":"Eddy"},{"family":"Mulopo-Mukanya","given":"Noella"},{"family":"Amuri-Aziza","given":"Adrienne"},{"family":"O’Toole","given":"Áine"},{"family":"Modadra-Madakpa","given":"Brigitte"},{"family":"Ndongala","given":"Guy Mutombo"},{"family":"Vakaniaki","given":"Emmanuel Hasivirwe"},{"family":"Merritt","given":"Sydney"},{"family":"Kacita","given":"Cris"},{"family":"Maboko","given":"Gaston Lubambo"},{"family":"Makangara-Cigolo","given":"Jean-Claude"},{"family":"Ngimba","given":"Michel"},{"family":"Lokilo","given":"Emmanuel"},{"family":"Pukuta-Simbu","given":"Elisabeth"},{"family":"Luakanda","given":"Gradi"},{"family":"Bodisa-Matamu","given":"Tavia"},{"family":"Kalimuli","given":"Zephanie Paluku"},{"family":"Akil-Bandali","given":"Prince"},{"family":"Kavira","given":"Sifa"},{"family":"Jansen","given":"Daan"},{"family":"Kamaliro","given":"Adèle Kavira"},{"family":"Muhindo-Milonde","given":"Emile"},{"family":"Mufungizi","given":"Jeriel"},{"family":"Hamisi","given":"Yves Birindwa"},{"family":"Kavunga","given":"Hugo"},{"family":"Tshiani","given":"Olivier"},{"family":"Nundu","given":"Sabin S."},{"family":"Liesenborghs","given":"Laurens"},{"family":"Hoff","given":"Nicole A."},{"family":"Nachega","given":"Jean"},{"family":"Shongo","given":"Robert"},{"family":"Ayouba","given":"Ahidjo"},{"family":"Pilarowski","given":"Genay"},{"family":"Mangolopa","given":"Alain Kakule"},{"family":"Ebondo","given":"Amos Kiuka"},{"family":"Low","given":"Nicola"},{"family":"Shaw","given":"Souradet Y."},{"family":"Wilkinson","given":"Sam"},{"family":"Tessema","given":"Sofonias Kifle"},{"family":"Subissi","given":"Lorenzo"},{"family":"Delaporte","given":"Eric"},{"family":"Vercauteren","given":"Koen"},{"family":"Wawina-Bokalanga","given":"Tony"},{"family":"Rimoin","given":"Anne W"},{"family":"Peeters","given":"Martine"},{"family":"Loman","given":"Nicholas"},{"family":"Rambaut","given":"Andrew"},{"family":"Muyembe-Tamfum","given":"Jean-Jacques"},{"family":"Hensley","given":"Lisa E."},{"family":"Kindrachuk","given":"Jason"},{"family":"Mbala-Kingebeni","given":"Placide"},{"family":"Ahuka-Mundeke","given":"Steve"}],"accessed":{"date-parts":[["2025",2,24]]},"issued":{"date-parts":[["2024"]]}}}],"schema":"https://github.com/citation-style-language/schema/raw/master/csl-citation.json"} </w:instrText>
            </w:r>
            <w:r w:rsidRPr="009E5B06">
              <w:rPr>
                <w:rFonts w:ascii="Garamond" w:eastAsia="Times New Roman" w:hAnsi="Garamond" w:cs="Calibri"/>
                <w:i/>
                <w:iCs/>
                <w:color w:val="000000"/>
                <w:kern w:val="0"/>
                <w:sz w:val="20"/>
                <w:szCs w:val="20"/>
                <w:lang w:eastAsia="fr-FR"/>
                <w14:ligatures w14:val="none"/>
              </w:rPr>
              <w:fldChar w:fldCharType="separate"/>
            </w:r>
            <w:r w:rsidRPr="009E5B06">
              <w:rPr>
                <w:rFonts w:ascii="Garamond" w:hAnsi="Garamond"/>
                <w:sz w:val="20"/>
                <w:szCs w:val="20"/>
              </w:rPr>
              <w:t>[30]</w:t>
            </w:r>
            <w:r w:rsidRPr="009E5B06">
              <w:rPr>
                <w:rFonts w:ascii="Garamond" w:eastAsia="Times New Roman" w:hAnsi="Garamond" w:cs="Calibri"/>
                <w:i/>
                <w:iCs/>
                <w:color w:val="000000"/>
                <w:kern w:val="0"/>
                <w:sz w:val="20"/>
                <w:szCs w:val="20"/>
                <w:lang w:eastAsia="fr-FR"/>
                <w14:ligatures w14:val="none"/>
              </w:rPr>
              <w:fldChar w:fldCharType="end"/>
            </w:r>
          </w:p>
        </w:tc>
        <w:tc>
          <w:tcPr>
            <w:tcW w:w="773" w:type="dxa"/>
            <w:tcBorders>
              <w:top w:val="nil"/>
              <w:left w:val="nil"/>
              <w:bottom w:val="nil"/>
              <w:right w:val="nil"/>
            </w:tcBorders>
            <w:noWrap/>
          </w:tcPr>
          <w:p w14:paraId="3077D525" w14:textId="3AA5C790" w:rsidR="00F2694A" w:rsidRPr="009E5B06" w:rsidRDefault="00F2694A"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2024</w:t>
            </w:r>
          </w:p>
        </w:tc>
        <w:tc>
          <w:tcPr>
            <w:tcW w:w="1212" w:type="dxa"/>
            <w:tcBorders>
              <w:top w:val="nil"/>
              <w:left w:val="nil"/>
              <w:bottom w:val="nil"/>
              <w:right w:val="nil"/>
            </w:tcBorders>
            <w:noWrap/>
          </w:tcPr>
          <w:p w14:paraId="0038C34A" w14:textId="04E5BBDA" w:rsidR="00F2694A" w:rsidRPr="009E5B06" w:rsidRDefault="00F2694A"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DRC</w:t>
            </w:r>
          </w:p>
        </w:tc>
        <w:tc>
          <w:tcPr>
            <w:tcW w:w="1082" w:type="dxa"/>
            <w:tcBorders>
              <w:top w:val="nil"/>
              <w:left w:val="nil"/>
              <w:bottom w:val="nil"/>
              <w:right w:val="nil"/>
            </w:tcBorders>
            <w:noWrap/>
          </w:tcPr>
          <w:p w14:paraId="1CA88F01" w14:textId="7C645A2E" w:rsidR="00F2694A" w:rsidRPr="009E5B06" w:rsidRDefault="00F2694A"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tcPr>
          <w:p w14:paraId="0982D7C9" w14:textId="30E49B8F" w:rsidR="00F2694A" w:rsidRPr="009E5B06" w:rsidRDefault="00F2694A"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tcPr>
          <w:p w14:paraId="7B9CE147" w14:textId="4D3098BC" w:rsidR="00F2694A" w:rsidRPr="009E5B06" w:rsidRDefault="00F2694A"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tcPr>
          <w:p w14:paraId="4C7B67E3" w14:textId="5C6051B1" w:rsidR="00F2694A" w:rsidRPr="009E5B06" w:rsidRDefault="00F2694A"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tcPr>
          <w:p w14:paraId="354D5C7D" w14:textId="762AD4A1" w:rsidR="00F2694A" w:rsidRPr="009E5B06" w:rsidRDefault="00F2694A"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Clade Ib</w:t>
            </w:r>
          </w:p>
        </w:tc>
        <w:tc>
          <w:tcPr>
            <w:tcW w:w="882" w:type="dxa"/>
            <w:tcBorders>
              <w:top w:val="nil"/>
              <w:left w:val="nil"/>
              <w:bottom w:val="nil"/>
              <w:right w:val="nil"/>
            </w:tcBorders>
            <w:noWrap/>
          </w:tcPr>
          <w:p w14:paraId="73E1E5E6" w14:textId="51300980" w:rsidR="00F2694A"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L</w:t>
            </w:r>
            <w:r>
              <w:rPr>
                <w:rFonts w:ascii="Garamond" w:eastAsia="Times New Roman" w:hAnsi="Garamond" w:cs="Calibri"/>
                <w:color w:val="000000"/>
                <w:kern w:val="0"/>
                <w:sz w:val="20"/>
                <w:szCs w:val="20"/>
                <w:lang w:eastAsia="fr-FR"/>
                <w14:ligatures w14:val="none"/>
              </w:rPr>
              <w:t>ow</w:t>
            </w:r>
          </w:p>
        </w:tc>
        <w:tc>
          <w:tcPr>
            <w:tcW w:w="1077" w:type="dxa"/>
            <w:tcBorders>
              <w:top w:val="nil"/>
              <w:left w:val="nil"/>
              <w:bottom w:val="nil"/>
              <w:right w:val="nil"/>
            </w:tcBorders>
            <w:noWrap/>
          </w:tcPr>
          <w:p w14:paraId="3C3D9520" w14:textId="0C408F5C" w:rsidR="00F2694A" w:rsidRPr="009E5B06" w:rsidRDefault="00F2694A" w:rsidP="006B38D1">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color w:val="000000"/>
                <w:kern w:val="0"/>
                <w:sz w:val="20"/>
                <w:szCs w:val="20"/>
                <w:lang w:eastAsia="fr-FR"/>
                <w14:ligatures w14:val="none"/>
              </w:rPr>
              <w:t>9</w:t>
            </w:r>
          </w:p>
        </w:tc>
        <w:tc>
          <w:tcPr>
            <w:tcW w:w="1125" w:type="dxa"/>
            <w:tcBorders>
              <w:top w:val="nil"/>
              <w:left w:val="nil"/>
              <w:bottom w:val="nil"/>
              <w:right w:val="nil"/>
            </w:tcBorders>
            <w:noWrap/>
          </w:tcPr>
          <w:p w14:paraId="218ECE1C" w14:textId="31CEFBDA" w:rsidR="00F2694A" w:rsidRPr="009E5B06" w:rsidRDefault="00F2694A" w:rsidP="006B38D1">
            <w:pPr>
              <w:spacing w:after="0" w:line="240" w:lineRule="auto"/>
              <w:rPr>
                <w:rFonts w:ascii="Garamond" w:eastAsia="Times New Roman" w:hAnsi="Garamond" w:cs="Calibri"/>
                <w:color w:val="000000"/>
                <w:kern w:val="0"/>
                <w:sz w:val="20"/>
                <w:szCs w:val="20"/>
                <w:lang w:eastAsia="fr-FR"/>
                <w14:ligatures w14:val="none"/>
              </w:rPr>
            </w:pPr>
            <w:r w:rsidRPr="006B38D1">
              <w:rPr>
                <w:rFonts w:ascii="Garamond" w:eastAsia="Times New Roman" w:hAnsi="Garamond" w:cs="Calibri"/>
                <w:color w:val="000000"/>
                <w:kern w:val="0"/>
                <w:sz w:val="20"/>
                <w:szCs w:val="20"/>
                <w:lang w:eastAsia="fr-FR"/>
                <w14:ligatures w14:val="none"/>
              </w:rPr>
              <w:t>0.0</w:t>
            </w:r>
          </w:p>
        </w:tc>
      </w:tr>
      <w:tr w:rsidR="007569C4" w:rsidRPr="00B05F3A" w14:paraId="0979BFFB" w14:textId="77777777" w:rsidTr="00E43530">
        <w:trPr>
          <w:trHeight w:val="290"/>
        </w:trPr>
        <w:tc>
          <w:tcPr>
            <w:tcW w:w="2410" w:type="dxa"/>
            <w:tcBorders>
              <w:top w:val="nil"/>
              <w:left w:val="nil"/>
              <w:bottom w:val="nil"/>
              <w:right w:val="nil"/>
            </w:tcBorders>
            <w:noWrap/>
          </w:tcPr>
          <w:p w14:paraId="44C33738" w14:textId="0CF88981" w:rsidR="007569C4" w:rsidRPr="009E5B06" w:rsidRDefault="007569C4" w:rsidP="00351D1C">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 xml:space="preserve">Malembi </w:t>
            </w:r>
            <w:r>
              <w:rPr>
                <w:rFonts w:ascii="Garamond" w:eastAsia="Times New Roman" w:hAnsi="Garamond" w:cs="Calibri"/>
                <w:i/>
                <w:iCs/>
                <w:color w:val="000000"/>
                <w:kern w:val="0"/>
                <w:sz w:val="20"/>
                <w:szCs w:val="20"/>
                <w:lang w:eastAsia="fr-FR"/>
                <w14:ligatures w14:val="none"/>
              </w:rPr>
              <w:t>et al.</w:t>
            </w:r>
            <w:r>
              <w:rPr>
                <w:rFonts w:ascii="Garamond" w:eastAsia="Times New Roman" w:hAnsi="Garamond" w:cs="Calibri"/>
                <w:color w:val="000000"/>
                <w:kern w:val="0"/>
                <w:sz w:val="20"/>
                <w:szCs w:val="20"/>
                <w:lang w:eastAsia="fr-FR"/>
                <w14:ligatures w14:val="none"/>
              </w:rPr>
              <w:t xml:space="preserve"> </w:t>
            </w:r>
            <w:r>
              <w:rPr>
                <w:rFonts w:ascii="Garamond" w:eastAsia="Times New Roman" w:hAnsi="Garamond" w:cs="Calibri"/>
                <w:color w:val="000000"/>
                <w:kern w:val="0"/>
                <w:sz w:val="20"/>
                <w:szCs w:val="20"/>
                <w:lang w:eastAsia="fr-FR"/>
                <w14:ligatures w14:val="none"/>
              </w:rPr>
              <w:fldChar w:fldCharType="begin"/>
            </w:r>
            <w:r w:rsidR="00351D1C">
              <w:rPr>
                <w:rFonts w:ascii="Garamond" w:eastAsia="Times New Roman" w:hAnsi="Garamond" w:cs="Calibri"/>
                <w:color w:val="000000"/>
                <w:kern w:val="0"/>
                <w:sz w:val="20"/>
                <w:szCs w:val="20"/>
                <w:lang w:eastAsia="fr-FR"/>
                <w14:ligatures w14:val="none"/>
              </w:rPr>
              <w:instrText xml:space="preserve"> ADDIN ZOTERO_ITEM CSL_CITATION {"citationID":"djvjpR2N","properties":{"formattedCitation":"[31]","plainCitation":"[31]","noteIndex":0},"citationItems":[{"id":4753,"uris":["http://zotero.org/users/1791235/items/L7ZLHSXT"],"itemData":{"id":4753,"type":"article-journal","container-title":"The Lancet","DOI":"10.1016/S0140-6736(25)00152-7","ISSN":"0140-6736, 1474-547X","issue":"10490","journalAbbreviation":"The Lancet","language":"English","note":"publisher: Elsevier\nPMID: 40222380","page":"1666-1675","source":"www.thelancet.com","title":"Clinical presentation and epidemiological assessment of confirmed human mpox cases in DR Congo: a surveillance-based observational study","title-short":"Clinical presentation and epidemiological assessment of confirmed human mpox cases in DR Congo","volume":"405","author":[{"family":"Malembi","given":"Emile"},{"family":"Escrig-Sarreta","given":"Roser"},{"family":"Ntumba","given":"Jackie"},{"family":"Beiras","given":"Camila G."},{"family":"Shongo","given":"Robert"},{"family":"Bengehya","given":"Justin"},{"family":"Nselaka","given":"Charles"},{"family":"Pukuta","given":"Elisabeth"},{"family":"Mukadi-Bamuleka","given":"Daniel"},{"family":"Mulopo-Mukanya","given":"Noëlla"},{"family":"Leng","given":"Xinying"},{"family":"Pérez-Mañá","given":"Clara"},{"family":"Galván-Casas","given":"Cristina"},{"family":"Muñoz","given":"Susana"},{"family":"Bilembo-Kitwanda","given":"Steeven"},{"family":"Kitha","given":"Pierre"},{"family":"Maketa","given":"Vivi"},{"family":"Mitashi","given":"Patrick"},{"family":"Abedi","given":"Aruna"},{"family":"Nsio","given":"Justus"},{"family":"Ahuka-Mundeke","given":"Steve"},{"family":"Mbala-Kingebeni","given":"Placide"},{"family":"Muyembe","given":"Jean-Jacques"},{"family":"Marks","given":"Michael"},{"family":"Muhindo-Mavoko","given":"Hypolite"},{"family":"Mitjà","given":"Oriol"},{"family":"Kalonji","given":"Thierry"},{"family":"Tshisuaka","given":"Derrick"},{"family":"Misima","given":"Bob"},{"family":"Mukaba","given":"Junior"},{"family":"Bikioli","given":"Freddy"},{"family":"Umba","given":"Aimé"},{"family":"Delphin","given":"Phanzu M."},{"family":"Makuma","given":"Olivier"},{"family":"Rodriguez","given":"Bandu Bola"},{"family":"Kanda","given":"Innocent"},{"family":"Linsuke","given":"Sylvie"},{"family":"Madinga","given":"Joules"},{"family":"Kalowa","given":"John"},{"family":"Català","given":"Alba"},{"family":"Torres","given":"María Jesús"},{"family":"Carrion","given":"Astrid"},{"family":"Capella","given":"Pere"},{"family":"Chakkour","given":"Lobna"},{"family":"Dermoumi","given":"Maruan"},{"family":"Garay","given":"Juan"},{"family":"Roig","given":"Narcís"},{"family":"Rimoine","given":"Anne"},{"family":"Hoff","given":"Nicole"},{"family":"Muhindo-Milonde","given":"Emile"},{"family":"Nsimire-Bahasa","given":"Noëlla"},{"family":"Bodisa-Matamu","given":"Tavia"},{"family":"Paluku-Kalimuli","given":"Zéphanie"},{"family":"Ngimba","given":"Michel"},{"family":"Mupanga","given":"Laetitia Nyinya","dropping-particle":"wa"},{"family":"Modadra-Madakpa","given":"Brigitte"},{"family":"Kavira-Kamaliro","given":"Adèle"},{"family":"Muhindo-Karungu","given":"Patrick"},{"family":"Cinyabuuma","given":"Jacques Daudi"}],"issued":{"date-parts":[["2025"]]}}}],"schema":"https://github.com/citation-style-language/schema/raw/master/csl-citation.json"} </w:instrText>
            </w:r>
            <w:r>
              <w:rPr>
                <w:rFonts w:ascii="Garamond" w:eastAsia="Times New Roman" w:hAnsi="Garamond" w:cs="Calibri"/>
                <w:color w:val="000000"/>
                <w:kern w:val="0"/>
                <w:sz w:val="20"/>
                <w:szCs w:val="20"/>
                <w:lang w:eastAsia="fr-FR"/>
                <w14:ligatures w14:val="none"/>
              </w:rPr>
              <w:fldChar w:fldCharType="separate"/>
            </w:r>
            <w:r w:rsidR="00351D1C" w:rsidRPr="00351D1C">
              <w:rPr>
                <w:rFonts w:ascii="Garamond" w:hAnsi="Garamond"/>
                <w:sz w:val="20"/>
              </w:rPr>
              <w:t>[31]</w:t>
            </w:r>
            <w:r>
              <w:rPr>
                <w:rFonts w:ascii="Garamond" w:eastAsia="Times New Roman" w:hAnsi="Garamond" w:cs="Calibri"/>
                <w:color w:val="000000"/>
                <w:kern w:val="0"/>
                <w:sz w:val="20"/>
                <w:szCs w:val="20"/>
                <w:lang w:eastAsia="fr-FR"/>
                <w14:ligatures w14:val="none"/>
              </w:rPr>
              <w:fldChar w:fldCharType="end"/>
            </w:r>
          </w:p>
        </w:tc>
        <w:tc>
          <w:tcPr>
            <w:tcW w:w="773" w:type="dxa"/>
            <w:tcBorders>
              <w:top w:val="nil"/>
              <w:left w:val="nil"/>
              <w:bottom w:val="nil"/>
              <w:right w:val="nil"/>
            </w:tcBorders>
            <w:noWrap/>
          </w:tcPr>
          <w:p w14:paraId="102A4001" w14:textId="0B1CA3EE"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2024</w:t>
            </w:r>
          </w:p>
        </w:tc>
        <w:tc>
          <w:tcPr>
            <w:tcW w:w="1212" w:type="dxa"/>
            <w:tcBorders>
              <w:top w:val="nil"/>
              <w:left w:val="nil"/>
              <w:bottom w:val="nil"/>
              <w:right w:val="nil"/>
            </w:tcBorders>
            <w:noWrap/>
          </w:tcPr>
          <w:p w14:paraId="3FE625FA" w14:textId="64C99B74"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DRC</w:t>
            </w:r>
          </w:p>
        </w:tc>
        <w:tc>
          <w:tcPr>
            <w:tcW w:w="1082" w:type="dxa"/>
            <w:tcBorders>
              <w:top w:val="nil"/>
              <w:left w:val="nil"/>
              <w:bottom w:val="nil"/>
              <w:right w:val="nil"/>
            </w:tcBorders>
            <w:noWrap/>
          </w:tcPr>
          <w:p w14:paraId="7B4BC9D3" w14:textId="255DA19C"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Cross-sectional</w:t>
            </w:r>
          </w:p>
        </w:tc>
        <w:tc>
          <w:tcPr>
            <w:tcW w:w="1180" w:type="dxa"/>
            <w:tcBorders>
              <w:top w:val="nil"/>
              <w:left w:val="nil"/>
              <w:bottom w:val="nil"/>
              <w:right w:val="nil"/>
            </w:tcBorders>
            <w:noWrap/>
          </w:tcPr>
          <w:p w14:paraId="258A93F9" w14:textId="140DA9CD"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Community</w:t>
            </w:r>
          </w:p>
        </w:tc>
        <w:tc>
          <w:tcPr>
            <w:tcW w:w="1707" w:type="dxa"/>
            <w:tcBorders>
              <w:top w:val="nil"/>
              <w:left w:val="nil"/>
              <w:bottom w:val="nil"/>
              <w:right w:val="nil"/>
            </w:tcBorders>
            <w:noWrap/>
          </w:tcPr>
          <w:p w14:paraId="505B75B9" w14:textId="6B37E5ED"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General population</w:t>
            </w:r>
          </w:p>
        </w:tc>
        <w:tc>
          <w:tcPr>
            <w:tcW w:w="1105" w:type="dxa"/>
            <w:tcBorders>
              <w:top w:val="nil"/>
              <w:left w:val="nil"/>
              <w:bottom w:val="nil"/>
              <w:right w:val="nil"/>
            </w:tcBorders>
            <w:noWrap/>
          </w:tcPr>
          <w:p w14:paraId="5FC011DF" w14:textId="5A7CA7BD"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Non-probabilistic</w:t>
            </w:r>
          </w:p>
        </w:tc>
        <w:tc>
          <w:tcPr>
            <w:tcW w:w="1197" w:type="dxa"/>
            <w:tcBorders>
              <w:top w:val="nil"/>
              <w:left w:val="nil"/>
              <w:bottom w:val="nil"/>
              <w:right w:val="nil"/>
            </w:tcBorders>
            <w:noWrap/>
          </w:tcPr>
          <w:p w14:paraId="667A85C8" w14:textId="7B3BD433"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Clade Ib</w:t>
            </w:r>
          </w:p>
        </w:tc>
        <w:tc>
          <w:tcPr>
            <w:tcW w:w="882" w:type="dxa"/>
            <w:tcBorders>
              <w:top w:val="nil"/>
              <w:left w:val="nil"/>
              <w:bottom w:val="nil"/>
              <w:right w:val="nil"/>
            </w:tcBorders>
            <w:noWrap/>
          </w:tcPr>
          <w:p w14:paraId="056B2778" w14:textId="4148A0DD" w:rsidR="007569C4" w:rsidRPr="009E5B06" w:rsidRDefault="007569C4" w:rsidP="006B38D1">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Low</w:t>
            </w:r>
          </w:p>
        </w:tc>
        <w:tc>
          <w:tcPr>
            <w:tcW w:w="1077" w:type="dxa"/>
            <w:tcBorders>
              <w:top w:val="nil"/>
              <w:left w:val="nil"/>
              <w:bottom w:val="nil"/>
              <w:right w:val="nil"/>
            </w:tcBorders>
            <w:noWrap/>
          </w:tcPr>
          <w:p w14:paraId="7AD5E9F3" w14:textId="31854DDA" w:rsidR="007569C4" w:rsidRPr="009E5B06" w:rsidRDefault="006B38D1" w:rsidP="006B38D1">
            <w:pPr>
              <w:spacing w:after="0" w:line="240" w:lineRule="auto"/>
              <w:rPr>
                <w:rFonts w:ascii="Garamond" w:eastAsia="Times New Roman" w:hAnsi="Garamond" w:cs="Calibri"/>
                <w:color w:val="000000"/>
                <w:kern w:val="0"/>
                <w:sz w:val="20"/>
                <w:szCs w:val="20"/>
                <w:lang w:eastAsia="fr-FR"/>
                <w14:ligatures w14:val="none"/>
              </w:rPr>
            </w:pPr>
            <w:r>
              <w:rPr>
                <w:rFonts w:ascii="Garamond" w:eastAsia="Times New Roman" w:hAnsi="Garamond" w:cs="Calibri"/>
                <w:color w:val="000000"/>
                <w:kern w:val="0"/>
                <w:sz w:val="20"/>
                <w:szCs w:val="20"/>
                <w:lang w:eastAsia="fr-FR"/>
                <w14:ligatures w14:val="none"/>
              </w:rPr>
              <w:t>4895</w:t>
            </w:r>
          </w:p>
        </w:tc>
        <w:tc>
          <w:tcPr>
            <w:tcW w:w="1125" w:type="dxa"/>
            <w:tcBorders>
              <w:top w:val="nil"/>
              <w:left w:val="nil"/>
              <w:bottom w:val="nil"/>
              <w:right w:val="nil"/>
            </w:tcBorders>
            <w:noWrap/>
          </w:tcPr>
          <w:p w14:paraId="5CB3EFB3" w14:textId="77777777" w:rsidR="006B38D1" w:rsidRPr="006B38D1" w:rsidRDefault="006B38D1" w:rsidP="006B38D1">
            <w:pPr>
              <w:rPr>
                <w:rFonts w:ascii="Garamond" w:eastAsia="Times New Roman" w:hAnsi="Garamond" w:cs="Calibri"/>
                <w:color w:val="000000"/>
                <w:kern w:val="0"/>
                <w:sz w:val="20"/>
                <w:szCs w:val="20"/>
                <w:lang w:eastAsia="fr-FR"/>
                <w14:ligatures w14:val="none"/>
              </w:rPr>
            </w:pPr>
            <w:r w:rsidRPr="006B38D1">
              <w:rPr>
                <w:rFonts w:ascii="Garamond" w:eastAsia="Times New Roman" w:hAnsi="Garamond" w:cs="Calibri"/>
                <w:color w:val="000000"/>
                <w:kern w:val="0"/>
                <w:sz w:val="20"/>
                <w:szCs w:val="20"/>
                <w:lang w:eastAsia="fr-FR"/>
                <w14:ligatures w14:val="none"/>
              </w:rPr>
              <w:t>1,0</w:t>
            </w:r>
          </w:p>
          <w:p w14:paraId="7B7D1ACA" w14:textId="77777777" w:rsidR="007569C4" w:rsidRPr="006B38D1" w:rsidRDefault="007569C4" w:rsidP="006B38D1">
            <w:pPr>
              <w:spacing w:after="0" w:line="240" w:lineRule="auto"/>
              <w:rPr>
                <w:rFonts w:ascii="Garamond" w:eastAsia="Times New Roman" w:hAnsi="Garamond" w:cs="Calibri"/>
                <w:color w:val="000000"/>
                <w:kern w:val="0"/>
                <w:sz w:val="20"/>
                <w:szCs w:val="20"/>
                <w:lang w:eastAsia="fr-FR"/>
                <w14:ligatures w14:val="none"/>
              </w:rPr>
            </w:pPr>
          </w:p>
        </w:tc>
      </w:tr>
      <w:tr w:rsidR="00F2694A" w:rsidRPr="00B05F3A" w14:paraId="4BE8E90A" w14:textId="77777777" w:rsidTr="00E43530">
        <w:trPr>
          <w:trHeight w:val="290"/>
        </w:trPr>
        <w:tc>
          <w:tcPr>
            <w:tcW w:w="13754" w:type="dxa"/>
            <w:gridSpan w:val="11"/>
            <w:tcBorders>
              <w:top w:val="single" w:sz="12" w:space="0" w:color="auto"/>
              <w:left w:val="nil"/>
              <w:bottom w:val="nil"/>
              <w:right w:val="nil"/>
            </w:tcBorders>
            <w:noWrap/>
          </w:tcPr>
          <w:p w14:paraId="3CC0CF99" w14:textId="3E084879" w:rsidR="00F2694A" w:rsidRPr="009E5B06" w:rsidRDefault="00F2694A" w:rsidP="00F2694A">
            <w:pPr>
              <w:spacing w:after="0" w:line="240" w:lineRule="auto"/>
              <w:rPr>
                <w:rFonts w:ascii="Garamond" w:eastAsia="Times New Roman" w:hAnsi="Garamond" w:cs="Calibri"/>
                <w:color w:val="000000"/>
                <w:kern w:val="0"/>
                <w:sz w:val="20"/>
                <w:szCs w:val="20"/>
                <w:lang w:eastAsia="fr-FR"/>
                <w14:ligatures w14:val="none"/>
              </w:rPr>
            </w:pPr>
            <w:r w:rsidRPr="009E5B06">
              <w:rPr>
                <w:rFonts w:ascii="Garamond" w:eastAsia="Times New Roman" w:hAnsi="Garamond" w:cs="Calibri"/>
                <w:i/>
                <w:iCs/>
                <w:color w:val="000000"/>
                <w:kern w:val="0"/>
                <w:sz w:val="20"/>
                <w:szCs w:val="20"/>
                <w:lang w:eastAsia="fr-FR"/>
                <w14:ligatures w14:val="none"/>
              </w:rPr>
              <w:t>1</w:t>
            </w:r>
            <w:r w:rsidRPr="009E5B06">
              <w:rPr>
                <w:rFonts w:ascii="Garamond" w:eastAsia="Times New Roman" w:hAnsi="Garamond" w:cs="Calibri"/>
                <w:color w:val="000000"/>
                <w:kern w:val="0"/>
                <w:sz w:val="20"/>
                <w:szCs w:val="20"/>
                <w:lang w:eastAsia="fr-FR"/>
                <w14:ligatures w14:val="none"/>
              </w:rPr>
              <w:t>: Last year that the study was conducted; DRC: Democratic Republic of Congo; CAR: Central African Republic</w:t>
            </w:r>
          </w:p>
        </w:tc>
      </w:tr>
    </w:tbl>
    <w:p w14:paraId="335CE46C" w14:textId="77777777" w:rsidR="000338E3" w:rsidRDefault="000338E3"/>
    <w:p w14:paraId="66337A7B" w14:textId="77777777" w:rsidR="000338E3" w:rsidRDefault="000338E3">
      <w:pPr>
        <w:sectPr w:rsidR="000338E3" w:rsidSect="00732E62">
          <w:footerReference w:type="default" r:id="rId7"/>
          <w:pgSz w:w="15840" w:h="12240" w:orient="landscape"/>
          <w:pgMar w:top="851" w:right="1417" w:bottom="1417" w:left="1417" w:header="708" w:footer="708" w:gutter="0"/>
          <w:cols w:space="708"/>
          <w:docGrid w:linePitch="360"/>
        </w:sectPr>
      </w:pPr>
    </w:p>
    <w:p w14:paraId="36D48F6E" w14:textId="7A4AF86A" w:rsidR="00E43530" w:rsidRDefault="002A5D23" w:rsidP="00351D1C">
      <w:pPr>
        <w:pStyle w:val="Bibliographie"/>
        <w:rPr>
          <w:rFonts w:ascii="Gill Sans MT" w:hAnsi="Gill Sans MT"/>
          <w:b/>
          <w:bCs/>
          <w:sz w:val="24"/>
          <w:szCs w:val="24"/>
          <w:u w:val="single"/>
        </w:rPr>
      </w:pPr>
      <w:r w:rsidRPr="00EC56E4">
        <w:rPr>
          <w:noProof/>
        </w:rPr>
        <w:lastRenderedPageBreak/>
        <mc:AlternateContent>
          <mc:Choice Requires="wps">
            <w:drawing>
              <wp:anchor distT="0" distB="0" distL="114300" distR="114300" simplePos="0" relativeHeight="251661312" behindDoc="0" locked="0" layoutInCell="1" allowOverlap="1" wp14:anchorId="4A8295A8" wp14:editId="124A4064">
                <wp:simplePos x="0" y="0"/>
                <wp:positionH relativeFrom="column">
                  <wp:posOffset>4739351</wp:posOffset>
                </wp:positionH>
                <wp:positionV relativeFrom="paragraph">
                  <wp:posOffset>228600</wp:posOffset>
                </wp:positionV>
                <wp:extent cx="1073150" cy="280035"/>
                <wp:effectExtent l="0" t="0" r="0" b="5715"/>
                <wp:wrapNone/>
                <wp:docPr id="972291936" name="Zone de texte 27"/>
                <wp:cNvGraphicFramePr/>
                <a:graphic xmlns:a="http://schemas.openxmlformats.org/drawingml/2006/main">
                  <a:graphicData uri="http://schemas.microsoft.com/office/word/2010/wordprocessingShape">
                    <wps:wsp>
                      <wps:cNvSpPr txBox="1"/>
                      <wps:spPr>
                        <a:xfrm>
                          <a:off x="0" y="0"/>
                          <a:ext cx="1073150" cy="280035"/>
                        </a:xfrm>
                        <a:prstGeom prst="rect">
                          <a:avLst/>
                        </a:prstGeom>
                        <a:solidFill>
                          <a:sysClr val="window" lastClr="FFFFFF"/>
                        </a:solidFill>
                        <a:ln w="6350">
                          <a:noFill/>
                        </a:ln>
                      </wps:spPr>
                      <wps:txbx>
                        <w:txbxContent>
                          <w:p w14:paraId="0E3610D0" w14:textId="77777777" w:rsidR="007F2658" w:rsidRPr="00003FF2" w:rsidRDefault="007F2658" w:rsidP="007F2658">
                            <w:pPr>
                              <w:rPr>
                                <w:rFonts w:asciiTheme="minorBidi" w:hAnsiTheme="minorBidi"/>
                                <w:b/>
                                <w:bCs/>
                                <w:sz w:val="18"/>
                                <w:szCs w:val="18"/>
                              </w:rPr>
                            </w:pPr>
                            <w:r w:rsidRPr="00003FF2">
                              <w:rPr>
                                <w:rFonts w:asciiTheme="minorBidi" w:hAnsiTheme="minorBidi"/>
                                <w:b/>
                                <w:bCs/>
                                <w:sz w:val="18"/>
                                <w:szCs w:val="18"/>
                              </w:rPr>
                              <w:t>Event rate (%)</w:t>
                            </w:r>
                          </w:p>
                          <w:p w14:paraId="4B2FC644" w14:textId="77777777" w:rsidR="007F2658" w:rsidRPr="00003FF2" w:rsidRDefault="007F2658" w:rsidP="007F2658">
                            <w:pPr>
                              <w:rPr>
                                <w:rFonts w:asciiTheme="minorBidi" w:hAnsiTheme="minorBid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8295A8" id="_x0000_t202" coordsize="21600,21600" o:spt="202" path="m,l,21600r21600,l21600,xe">
                <v:stroke joinstyle="miter"/>
                <v:path gradientshapeok="t" o:connecttype="rect"/>
              </v:shapetype>
              <v:shape id="Zone de texte 27" o:spid="_x0000_s1026" type="#_x0000_t202" style="position:absolute;margin-left:373.2pt;margin-top:18pt;width:84.5pt;height:22.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TmmNAIAAGUEAAAOAAAAZHJzL2Uyb0RvYy54bWysVEtv2zAMvg/YfxB0b+y82s6IU2QpMgwI&#10;2gLp0LMiS7EBWdQkJXb260fJzmPdTkNzUEiR4uP7SM8e2lqRg7CuAp3T4SClRGgORaV3Of3xurq5&#10;p8R5pgumQIucHoWjD/PPn2aNycQISlCFsASDaJc1Jqel9yZLEsdLUTM3ACM0GiXYmnlU7S4pLGsw&#10;eq2SUZreJg3Ywljgwjm8feyMdB7jSym4f5bSCU9UTrE2H08bz204k/mMZTvLTFnxvgz2H1XUrNKY&#10;9BzqkXlG9rb6K1RdcQsOpB9wqBOQsuIi9oDdDNN33WxKZkTsBcFx5gyT+7iw/OmwMS+W+PYrtEhg&#10;AKQxLnN4Gfpppa3DP1ZK0I4QHs+widYTHh6ld+PhFE0cbaP7NB1PQ5jk8tpY578JqEkQcmqRlogW&#10;O6yd71xPLiGZA1UVq0qpqBzdUllyYMggEl9AQ4lizuNlTlfx12f745nSpMnp7RjrClE0hHhdKqWx&#10;uEuTQfLttu0730JxREAsdLPiDF9VWPUaU74wi8OBjeLA+2c8pAJMAr1ESQn217/ugz9yhlZKGhy2&#10;nLqfe2YFdvJdI5tfhpNJmM6oTKZ3I1TstWV7bdH7egmIxhBXy/AoBn+vTqK0UL/hXixCVjQxzTF3&#10;Tv1JXPpuBXCvuFgsohPOo2F+rTeGh9ABtMDJa/vGrOmJ80j5E5zGkmXv+Ot8O7gXew+yiuQGgDtU&#10;e9xxluN49HsXluVaj16Xr8P8NwAAAP//AwBQSwMEFAAGAAgAAAAhAB56cSnhAAAACQEAAA8AAABk&#10;cnMvZG93bnJldi54bWxMj8FOwzAMhu9IvENkJG4sLYwySt0JIRBMohoUJK5ZY9pCk1RNtnZ7eswJ&#10;jrY//f7+bDmZTuxo8K2zCPEsAkG2crq1NcL728PZAoQPymrVOUsIe/KwzI+PMpVqN9pX2pWhFhxi&#10;faoQmhD6VEpfNWSUn7meLN8+3WBU4HGopR7UyOGmk+dRlEijWssfGtXTXUPVd7k1CB9j+TisV6uv&#10;l/6pOKwPZfFM9wXi6cl0ewMi0BT+YPjVZ3XI2WnjtlZ70SFczZM5owgXCXdi4Dq+5MUGYRHFIPNM&#10;/m+Q/wAAAP//AwBQSwECLQAUAAYACAAAACEAtoM4kv4AAADhAQAAEwAAAAAAAAAAAAAAAAAAAAAA&#10;W0NvbnRlbnRfVHlwZXNdLnhtbFBLAQItABQABgAIAAAAIQA4/SH/1gAAAJQBAAALAAAAAAAAAAAA&#10;AAAAAC8BAABfcmVscy8ucmVsc1BLAQItABQABgAIAAAAIQAW3TmmNAIAAGUEAAAOAAAAAAAAAAAA&#10;AAAAAC4CAABkcnMvZTJvRG9jLnhtbFBLAQItABQABgAIAAAAIQAeenEp4QAAAAkBAAAPAAAAAAAA&#10;AAAAAAAAAI4EAABkcnMvZG93bnJldi54bWxQSwUGAAAAAAQABADzAAAAnAUAAAAA&#10;" fillcolor="window" stroked="f" strokeweight=".5pt">
                <v:textbox>
                  <w:txbxContent>
                    <w:p w14:paraId="0E3610D0" w14:textId="77777777" w:rsidR="007F2658" w:rsidRPr="00003FF2" w:rsidRDefault="007F2658" w:rsidP="007F2658">
                      <w:pPr>
                        <w:rPr>
                          <w:rFonts w:asciiTheme="minorBidi" w:hAnsiTheme="minorBidi"/>
                          <w:b/>
                          <w:bCs/>
                          <w:sz w:val="18"/>
                          <w:szCs w:val="18"/>
                        </w:rPr>
                      </w:pPr>
                      <w:r w:rsidRPr="00003FF2">
                        <w:rPr>
                          <w:rFonts w:asciiTheme="minorBidi" w:hAnsiTheme="minorBidi"/>
                          <w:b/>
                          <w:bCs/>
                          <w:sz w:val="18"/>
                          <w:szCs w:val="18"/>
                        </w:rPr>
                        <w:t>Event rate (%)</w:t>
                      </w:r>
                    </w:p>
                    <w:p w14:paraId="4B2FC644" w14:textId="77777777" w:rsidR="007F2658" w:rsidRPr="00003FF2" w:rsidRDefault="007F2658" w:rsidP="007F2658">
                      <w:pPr>
                        <w:rPr>
                          <w:rFonts w:asciiTheme="minorBidi" w:hAnsiTheme="minorBidi"/>
                          <w:b/>
                          <w:bCs/>
                          <w:sz w:val="18"/>
                          <w:szCs w:val="18"/>
                        </w:rPr>
                      </w:pPr>
                    </w:p>
                  </w:txbxContent>
                </v:textbox>
              </v:shape>
            </w:pict>
          </mc:Fallback>
        </mc:AlternateContent>
      </w:r>
      <w:r w:rsidR="007F2658" w:rsidRPr="00EC56E4">
        <w:rPr>
          <w:noProof/>
        </w:rPr>
        <mc:AlternateContent>
          <mc:Choice Requires="wps">
            <w:drawing>
              <wp:anchor distT="0" distB="0" distL="114300" distR="114300" simplePos="0" relativeHeight="251659264" behindDoc="0" locked="0" layoutInCell="1" allowOverlap="1" wp14:anchorId="4F8CB07D" wp14:editId="4F229635">
                <wp:simplePos x="0" y="0"/>
                <wp:positionH relativeFrom="column">
                  <wp:posOffset>3237966</wp:posOffset>
                </wp:positionH>
                <wp:positionV relativeFrom="paragraph">
                  <wp:posOffset>228726</wp:posOffset>
                </wp:positionV>
                <wp:extent cx="1447248" cy="280035"/>
                <wp:effectExtent l="0" t="0" r="635" b="5715"/>
                <wp:wrapNone/>
                <wp:docPr id="483663171" name="Zone de texte 26"/>
                <wp:cNvGraphicFramePr/>
                <a:graphic xmlns:a="http://schemas.openxmlformats.org/drawingml/2006/main">
                  <a:graphicData uri="http://schemas.microsoft.com/office/word/2010/wordprocessingShape">
                    <wps:wsp>
                      <wps:cNvSpPr txBox="1"/>
                      <wps:spPr>
                        <a:xfrm>
                          <a:off x="0" y="0"/>
                          <a:ext cx="1447248" cy="280035"/>
                        </a:xfrm>
                        <a:prstGeom prst="rect">
                          <a:avLst/>
                        </a:prstGeom>
                        <a:solidFill>
                          <a:sysClr val="window" lastClr="FFFFFF"/>
                        </a:solidFill>
                        <a:ln w="6350">
                          <a:noFill/>
                        </a:ln>
                      </wps:spPr>
                      <wps:txbx>
                        <w:txbxContent>
                          <w:p w14:paraId="6D06DEF7" w14:textId="77777777" w:rsidR="007F2658" w:rsidRPr="00003FF2" w:rsidRDefault="007F2658" w:rsidP="007F2658">
                            <w:pPr>
                              <w:jc w:val="center"/>
                              <w:rPr>
                                <w:rFonts w:asciiTheme="minorBidi" w:hAnsiTheme="minorBidi"/>
                                <w:b/>
                                <w:bCs/>
                                <w:sz w:val="18"/>
                                <w:szCs w:val="18"/>
                              </w:rPr>
                            </w:pPr>
                            <w:r w:rsidRPr="00003FF2">
                              <w:rPr>
                                <w:rFonts w:asciiTheme="minorBidi" w:hAnsiTheme="minorBidi"/>
                                <w:b/>
                                <w:bCs/>
                                <w:sz w:val="18"/>
                                <w:szCs w:val="18"/>
                              </w:rPr>
                              <w:t>Case fatality rate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CB07D" id="Zone de texte 26" o:spid="_x0000_s1027" type="#_x0000_t202" style="position:absolute;margin-left:254.95pt;margin-top:18pt;width:113.95pt;height:22.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jkRNgIAAGwEAAAOAAAAZHJzL2Uyb0RvYy54bWysVEtv2zAMvg/YfxB0X+ykSdsZcYosRYYB&#10;QVsgHXpWZCkWIIuapMTOfv0oOa91Ow3LQSFFio/vIz196BpN9sJ5Baakw0FOiTAcKmW2Jf3+uvx0&#10;T4kPzFRMgxElPQhPH2YfP0xbW4gR1KAr4QgGMb5obUnrEGyRZZ7XomF+AFYYNEpwDQuoum1WOdZi&#10;9EZnozy/zVpwlXXAhfd4+9gb6SzFl1Lw8CylF4HokmJtIZ0unZt4ZrMpK7aO2VrxYxnsH6pomDKY&#10;9BzqkQVGdk79EapR3IEHGQYcmgykVFykHrCbYf6um3XNrEi9IDjenmHy/y8sf9qv7YsjofsCHRIY&#10;AWmtLzxexn466Zr4j5UStCOEhzNsoguEx0fj8d1ojERztI3u8/xmEsNkl9fW+fBVQEOiUFKHtCS0&#10;2H7lQ+96conJPGhVLZXWSTn4hXZkz5BBJL6ClhLNfMDLki7T75jtt2fakLaktzeTPGUyEOP1qbTB&#10;4i5NRil0m46o6gqADVQHxMVBPzLe8qXC4leY+YU5nBGEAuc+POMhNWAuOEqU1OB+/u0++iN1aKWk&#10;xZkrqf+xY05gQ98MkvoZkYxDmpTx5G6Eiru2bK4tZtcsAEEZ4oZZnsToH/RJlA6aN1yPecyKJmY4&#10;5i5pOImL0G8CrhcX83lywrG0LKzM2vIYOjIQqXnt3pizR/4CMv8Ep+lkxTsae9/40sB8F0CqxHHE&#10;uUf1CD+OdJqS4/rFnbnWk9flIzH7BQAA//8DAFBLAwQUAAYACAAAACEALz0ZwOEAAAAJAQAADwAA&#10;AGRycy9kb3ducmV2LnhtbEyPy07DMBBF90j8gzVI7KhdKvoImVQIgaASUSEgsXWTIQnEdmS7TejX&#10;M6xgOZqre89J16PpxIF8aJ1FmE4UCLKlq1pbI7y93l8sQYSobaU7ZwnhmwKss9OTVCeVG+wLHYpY&#10;Cy6xIdEITYx9ImUoGzI6TFxPln8fzhsd+fS1rLweuNx08lKpuTS6tbzQ6J5uGyq/ir1BeB+KB7/d&#10;bD6f+8f8uD0W+RPd5YjnZ+PNNYhIY/wLwy8+o0PGTDu3t1UQHcKVWq04ijCbsxMHFrMFu+wQlmoK&#10;Mkvlf4PsBwAA//8DAFBLAQItABQABgAIAAAAIQC2gziS/gAAAOEBAAATAAAAAAAAAAAAAAAAAAAA&#10;AABbQ29udGVudF9UeXBlc10ueG1sUEsBAi0AFAAGAAgAAAAhADj9If/WAAAAlAEAAAsAAAAAAAAA&#10;AAAAAAAALwEAAF9yZWxzLy5yZWxzUEsBAi0AFAAGAAgAAAAhACs6ORE2AgAAbAQAAA4AAAAAAAAA&#10;AAAAAAAALgIAAGRycy9lMm9Eb2MueG1sUEsBAi0AFAAGAAgAAAAhAC89GcDhAAAACQEAAA8AAAAA&#10;AAAAAAAAAAAAkAQAAGRycy9kb3ducmV2LnhtbFBLBQYAAAAABAAEAPMAAACeBQAAAAA=&#10;" fillcolor="window" stroked="f" strokeweight=".5pt">
                <v:textbox>
                  <w:txbxContent>
                    <w:p w14:paraId="6D06DEF7" w14:textId="77777777" w:rsidR="007F2658" w:rsidRPr="00003FF2" w:rsidRDefault="007F2658" w:rsidP="007F2658">
                      <w:pPr>
                        <w:jc w:val="center"/>
                        <w:rPr>
                          <w:rFonts w:asciiTheme="minorBidi" w:hAnsiTheme="minorBidi"/>
                          <w:b/>
                          <w:bCs/>
                          <w:sz w:val="18"/>
                          <w:szCs w:val="18"/>
                        </w:rPr>
                      </w:pPr>
                      <w:r w:rsidRPr="00003FF2">
                        <w:rPr>
                          <w:rFonts w:asciiTheme="minorBidi" w:hAnsiTheme="minorBidi"/>
                          <w:b/>
                          <w:bCs/>
                          <w:sz w:val="18"/>
                          <w:szCs w:val="18"/>
                        </w:rPr>
                        <w:t>Case fatality rate (%)</w:t>
                      </w:r>
                    </w:p>
                  </w:txbxContent>
                </v:textbox>
              </v:shape>
            </w:pict>
          </mc:Fallback>
        </mc:AlternateContent>
      </w:r>
      <w:r w:rsidR="0048550F" w:rsidRPr="0048550F">
        <w:rPr>
          <w:rFonts w:ascii="Gill Sans MT" w:hAnsi="Gill Sans MT"/>
          <w:b/>
          <w:bCs/>
          <w:sz w:val="24"/>
          <w:szCs w:val="24"/>
          <w:u w:val="single"/>
        </w:rPr>
        <w:t>Study period</w:t>
      </w:r>
    </w:p>
    <w:p w14:paraId="1F61AAF0" w14:textId="0C2AD7C0" w:rsidR="0048550F" w:rsidRDefault="006950AA" w:rsidP="0048550F">
      <w:r>
        <w:rPr>
          <w:noProof/>
        </w:rPr>
        <w:drawing>
          <wp:inline distT="0" distB="0" distL="0" distR="0" wp14:anchorId="45204C1E" wp14:editId="6C6B396C">
            <wp:extent cx="6331585" cy="8039477"/>
            <wp:effectExtent l="0" t="0" r="0" b="0"/>
            <wp:docPr id="137719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920"/>
                    <a:stretch>
                      <a:fillRect/>
                    </a:stretch>
                  </pic:blipFill>
                  <pic:spPr bwMode="auto">
                    <a:xfrm>
                      <a:off x="0" y="0"/>
                      <a:ext cx="6335069" cy="8043901"/>
                    </a:xfrm>
                    <a:prstGeom prst="rect">
                      <a:avLst/>
                    </a:prstGeom>
                    <a:noFill/>
                    <a:ln>
                      <a:noFill/>
                    </a:ln>
                    <a:extLst>
                      <a:ext uri="{53640926-AAD7-44D8-BBD7-CCE9431645EC}">
                        <a14:shadowObscured xmlns:a14="http://schemas.microsoft.com/office/drawing/2010/main"/>
                      </a:ext>
                    </a:extLst>
                  </pic:spPr>
                </pic:pic>
              </a:graphicData>
            </a:graphic>
          </wp:inline>
        </w:drawing>
      </w:r>
    </w:p>
    <w:p w14:paraId="7778AA45" w14:textId="56446FDC" w:rsidR="0048550F" w:rsidRPr="00A933A0" w:rsidRDefault="006950AA" w:rsidP="00E1514F">
      <w:pPr>
        <w:pStyle w:val="Lgende"/>
      </w:pPr>
      <w:r w:rsidRPr="00E1514F">
        <w:rPr>
          <w:b/>
          <w:bCs/>
        </w:rPr>
        <w:t xml:space="preserve">Supplementary Fig. </w:t>
      </w:r>
      <w:r w:rsidRPr="00E1514F">
        <w:rPr>
          <w:b/>
          <w:bCs/>
        </w:rPr>
        <w:fldChar w:fldCharType="begin"/>
      </w:r>
      <w:r w:rsidRPr="00E1514F">
        <w:rPr>
          <w:b/>
          <w:bCs/>
        </w:rPr>
        <w:instrText xml:space="preserve"> SEQ Supplementary_Fig. \* ARABIC </w:instrText>
      </w:r>
      <w:r w:rsidRPr="00E1514F">
        <w:rPr>
          <w:b/>
          <w:bCs/>
        </w:rPr>
        <w:fldChar w:fldCharType="separate"/>
      </w:r>
      <w:r w:rsidR="00CB77CE">
        <w:rPr>
          <w:b/>
          <w:bCs/>
          <w:noProof/>
        </w:rPr>
        <w:t>1</w:t>
      </w:r>
      <w:r w:rsidRPr="00E1514F">
        <w:rPr>
          <w:b/>
          <w:bCs/>
        </w:rPr>
        <w:fldChar w:fldCharType="end"/>
      </w:r>
      <w:r>
        <w:rPr>
          <w:i/>
          <w:iCs/>
        </w:rPr>
        <w:t xml:space="preserve"> </w:t>
      </w:r>
      <w:r w:rsidRPr="00E1514F">
        <w:t>Case fatality rate among confirmed mpox case in Africa</w:t>
      </w:r>
      <w:r w:rsidR="00E1514F">
        <w:t xml:space="preserve"> by</w:t>
      </w:r>
      <w:r w:rsidR="006553F0">
        <w:t xml:space="preserve"> study period</w:t>
      </w:r>
      <w:r w:rsidR="00E9666F">
        <w:t>s</w:t>
      </w:r>
    </w:p>
    <w:p w14:paraId="23BDF22D" w14:textId="2928EFB3" w:rsidR="0048550F" w:rsidRPr="007F2658" w:rsidRDefault="00E1514F" w:rsidP="007F2658">
      <w:pPr>
        <w:pStyle w:val="Bibliographie"/>
        <w:rPr>
          <w:rFonts w:ascii="Gill Sans MT" w:hAnsi="Gill Sans MT"/>
          <w:b/>
          <w:bCs/>
          <w:sz w:val="24"/>
          <w:szCs w:val="24"/>
          <w:u w:val="single"/>
        </w:rPr>
      </w:pPr>
      <w:r w:rsidRPr="00EC56E4">
        <w:rPr>
          <w:noProof/>
        </w:rPr>
        <w:lastRenderedPageBreak/>
        <mc:AlternateContent>
          <mc:Choice Requires="wps">
            <w:drawing>
              <wp:anchor distT="0" distB="0" distL="114300" distR="114300" simplePos="0" relativeHeight="251665408" behindDoc="0" locked="0" layoutInCell="1" allowOverlap="1" wp14:anchorId="3D594ABF" wp14:editId="2C9F54ED">
                <wp:simplePos x="0" y="0"/>
                <wp:positionH relativeFrom="column">
                  <wp:posOffset>3228340</wp:posOffset>
                </wp:positionH>
                <wp:positionV relativeFrom="paragraph">
                  <wp:posOffset>237653</wp:posOffset>
                </wp:positionV>
                <wp:extent cx="805759" cy="226223"/>
                <wp:effectExtent l="0" t="0" r="0" b="2540"/>
                <wp:wrapNone/>
                <wp:docPr id="1380948257" name="Zone de texte 27"/>
                <wp:cNvGraphicFramePr/>
                <a:graphic xmlns:a="http://schemas.openxmlformats.org/drawingml/2006/main">
                  <a:graphicData uri="http://schemas.microsoft.com/office/word/2010/wordprocessingShape">
                    <wps:wsp>
                      <wps:cNvSpPr txBox="1"/>
                      <wps:spPr>
                        <a:xfrm>
                          <a:off x="0" y="0"/>
                          <a:ext cx="805759" cy="226223"/>
                        </a:xfrm>
                        <a:prstGeom prst="rect">
                          <a:avLst/>
                        </a:prstGeom>
                        <a:solidFill>
                          <a:sysClr val="window" lastClr="FFFFFF"/>
                        </a:solidFill>
                        <a:ln w="6350">
                          <a:noFill/>
                        </a:ln>
                      </wps:spPr>
                      <wps:txbx>
                        <w:txbxContent>
                          <w:p w14:paraId="284F91B9" w14:textId="77777777" w:rsidR="001D436D" w:rsidRPr="00E1514F" w:rsidRDefault="001D436D" w:rsidP="001D436D">
                            <w:pPr>
                              <w:rPr>
                                <w:rFonts w:asciiTheme="minorBidi" w:hAnsiTheme="minorBidi"/>
                                <w:b/>
                                <w:bCs/>
                                <w:sz w:val="14"/>
                                <w:szCs w:val="14"/>
                              </w:rPr>
                            </w:pPr>
                            <w:r w:rsidRPr="00E1514F">
                              <w:rPr>
                                <w:rFonts w:asciiTheme="minorBidi" w:hAnsiTheme="minorBidi"/>
                                <w:b/>
                                <w:bCs/>
                                <w:sz w:val="14"/>
                                <w:szCs w:val="14"/>
                              </w:rPr>
                              <w:t>Event rate (%)</w:t>
                            </w:r>
                          </w:p>
                          <w:p w14:paraId="0F9627FF" w14:textId="77777777" w:rsidR="001D436D" w:rsidRPr="00E1514F" w:rsidRDefault="001D436D" w:rsidP="001D436D">
                            <w:pPr>
                              <w:rPr>
                                <w:rFonts w:asciiTheme="minorBidi" w:hAnsiTheme="minorBidi"/>
                                <w:b/>
                                <w:bCs/>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594ABF" id="_x0000_s1028" type="#_x0000_t202" style="position:absolute;margin-left:254.2pt;margin-top:18.7pt;width:63.45pt;height:17.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XTtOgIAAGsEAAAOAAAAZHJzL2Uyb0RvYy54bWysVN1v2jAQf5+0/8Hy+0hIgbYRoWJUTJNQ&#10;W4lOfTaODZEcn2cbEvbX7+yEj3Z7msaDufOd7+P3u8v0oa0VOQjrKtAFHQ5SSoTmUFZ6W9Afr8sv&#10;d5Q4z3TJFGhR0KNw9GH2+dO0MbnIYAeqFJZgEO3yxhR0573Jk8TxnaiZG4ARGo0SbM08qnablJY1&#10;GL1WSZamk6QBWxoLXDiHt4+dkc5ifCkF989SOuGJKijW5uNp47kJZzKbsnxrmdlVvC+D/UMVNas0&#10;Jj2HemSekb2t/ghVV9yCA+kHHOoEpKy4iD1gN8P0QzfrHTMi9oLgOHOGyf2/sPzpsDYvlvj2K7RI&#10;YACkMS53eBn6aaWtwz9WStCOEB7PsInWE46Xd+n4dnxPCUdTlk2y7CZESS6PjXX+m4CaBKGgFlmJ&#10;YLHDyvnO9eQScjlQVbmslIrK0S2UJQeGBCLvJTSUKOY8XhZ0GX99tnfPlCZNQSc34zRm0hDidamU&#10;xuIuPQbJt5uWVCWWf+p/A+URYbHQTYwzfFlh8SvM/MIsjggigWPvn/GQCjAX9BIlO7C//nYf/JE5&#10;tFLS4MgV1P3cMyuwoe8aOb0fjkZhRqMyGt9mqNhry+baovf1AhCUIS6Y4VEM/l6dRGmhfsPtmIes&#10;aGKaY+6C+pO48N0i4HZxMZ9HJ5xKw/xKrw0PoQMDgZrX9o1Z0/PnkfgnOA0nyz/Q2PmGlxrmew+y&#10;ihwHnDtUe/hxouOU9NsXVuZaj16Xb8TsNwAAAP//AwBQSwMEFAAGAAgAAAAhAJfm1KniAAAACQEA&#10;AA8AAABkcnMvZG93bnJldi54bWxMj8tOwzAQRfdI/IM1SOyoDaEPhUwqhEBQqVFpisTWjYckENuR&#10;7TahX49ZwWo0mqM752bLUXfsSM631iBcTwQwMpVVrakR3nZPVwtgPkijZGcNIXyTh2V+fpbJVNnB&#10;bOlYhprFEONTidCE0Kec+6ohLf3E9mTi7cM6LUNcXc2Vk0MM1x2/EWLGtWxN/NDInh4aqr7Kg0Z4&#10;H8pnt1mtPl/7l+K0OZXFmh4LxMuL8f4OWKAx/MHwqx/VIY9Oe3swyrMOYSoWtxFFSOZxRmCWTBNg&#10;e4R5IoDnGf/fIP8BAAD//wMAUEsBAi0AFAAGAAgAAAAhALaDOJL+AAAA4QEAABMAAAAAAAAAAAAA&#10;AAAAAAAAAFtDb250ZW50X1R5cGVzXS54bWxQSwECLQAUAAYACAAAACEAOP0h/9YAAACUAQAACwAA&#10;AAAAAAAAAAAAAAAvAQAAX3JlbHMvLnJlbHNQSwECLQAUAAYACAAAACEA0eF07ToCAABrBAAADgAA&#10;AAAAAAAAAAAAAAAuAgAAZHJzL2Uyb0RvYy54bWxQSwECLQAUAAYACAAAACEAl+bUqeIAAAAJAQAA&#10;DwAAAAAAAAAAAAAAAACUBAAAZHJzL2Rvd25yZXYueG1sUEsFBgAAAAAEAAQA8wAAAKMFAAAAAA==&#10;" fillcolor="window" stroked="f" strokeweight=".5pt">
                <v:textbox>
                  <w:txbxContent>
                    <w:p w14:paraId="284F91B9" w14:textId="77777777" w:rsidR="001D436D" w:rsidRPr="00E1514F" w:rsidRDefault="001D436D" w:rsidP="001D436D">
                      <w:pPr>
                        <w:rPr>
                          <w:rFonts w:asciiTheme="minorBidi" w:hAnsiTheme="minorBidi"/>
                          <w:b/>
                          <w:bCs/>
                          <w:sz w:val="14"/>
                          <w:szCs w:val="14"/>
                        </w:rPr>
                      </w:pPr>
                      <w:r w:rsidRPr="00E1514F">
                        <w:rPr>
                          <w:rFonts w:asciiTheme="minorBidi" w:hAnsiTheme="minorBidi"/>
                          <w:b/>
                          <w:bCs/>
                          <w:sz w:val="14"/>
                          <w:szCs w:val="14"/>
                        </w:rPr>
                        <w:t>Event rate (%)</w:t>
                      </w:r>
                    </w:p>
                    <w:p w14:paraId="0F9627FF" w14:textId="77777777" w:rsidR="001D436D" w:rsidRPr="00E1514F" w:rsidRDefault="001D436D" w:rsidP="001D436D">
                      <w:pPr>
                        <w:rPr>
                          <w:rFonts w:asciiTheme="minorBidi" w:hAnsiTheme="minorBidi"/>
                          <w:b/>
                          <w:bCs/>
                          <w:sz w:val="14"/>
                          <w:szCs w:val="14"/>
                        </w:rPr>
                      </w:pPr>
                    </w:p>
                  </w:txbxContent>
                </v:textbox>
              </v:shape>
            </w:pict>
          </mc:Fallback>
        </mc:AlternateContent>
      </w:r>
      <w:r w:rsidR="001D436D" w:rsidRPr="00EC56E4">
        <w:rPr>
          <w:noProof/>
        </w:rPr>
        <mc:AlternateContent>
          <mc:Choice Requires="wps">
            <w:drawing>
              <wp:anchor distT="0" distB="0" distL="114300" distR="114300" simplePos="0" relativeHeight="251663360" behindDoc="0" locked="0" layoutInCell="1" allowOverlap="1" wp14:anchorId="4E70E44E" wp14:editId="7026661C">
                <wp:simplePos x="0" y="0"/>
                <wp:positionH relativeFrom="column">
                  <wp:posOffset>2214924</wp:posOffset>
                </wp:positionH>
                <wp:positionV relativeFrom="paragraph">
                  <wp:posOffset>237779</wp:posOffset>
                </wp:positionV>
                <wp:extent cx="1104523" cy="217283"/>
                <wp:effectExtent l="0" t="0" r="635" b="0"/>
                <wp:wrapNone/>
                <wp:docPr id="873154560" name="Zone de texte 26"/>
                <wp:cNvGraphicFramePr/>
                <a:graphic xmlns:a="http://schemas.openxmlformats.org/drawingml/2006/main">
                  <a:graphicData uri="http://schemas.microsoft.com/office/word/2010/wordprocessingShape">
                    <wps:wsp>
                      <wps:cNvSpPr txBox="1"/>
                      <wps:spPr>
                        <a:xfrm>
                          <a:off x="0" y="0"/>
                          <a:ext cx="1104523" cy="217283"/>
                        </a:xfrm>
                        <a:prstGeom prst="rect">
                          <a:avLst/>
                        </a:prstGeom>
                        <a:solidFill>
                          <a:sysClr val="window" lastClr="FFFFFF"/>
                        </a:solidFill>
                        <a:ln w="6350">
                          <a:noFill/>
                        </a:ln>
                      </wps:spPr>
                      <wps:txbx>
                        <w:txbxContent>
                          <w:p w14:paraId="1CADC8D9" w14:textId="77777777" w:rsidR="001D436D" w:rsidRPr="001D436D" w:rsidRDefault="001D436D" w:rsidP="001D436D">
                            <w:pPr>
                              <w:jc w:val="center"/>
                              <w:rPr>
                                <w:rFonts w:asciiTheme="minorBidi" w:hAnsiTheme="minorBidi"/>
                                <w:b/>
                                <w:bCs/>
                                <w:sz w:val="14"/>
                                <w:szCs w:val="14"/>
                              </w:rPr>
                            </w:pPr>
                            <w:r w:rsidRPr="001D436D">
                              <w:rPr>
                                <w:rFonts w:asciiTheme="minorBidi" w:hAnsiTheme="minorBidi"/>
                                <w:b/>
                                <w:bCs/>
                                <w:sz w:val="14"/>
                                <w:szCs w:val="14"/>
                              </w:rPr>
                              <w:t>Case fatality rate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70E44E" id="_x0000_s1029" type="#_x0000_t202" style="position:absolute;margin-left:174.4pt;margin-top:18.7pt;width:86.95pt;height:17.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2BFOQIAAGwEAAAOAAAAZHJzL2Uyb0RvYy54bWysVN9v2jAQfp+0/8Hy+wgJ0HYRoWJUTJNQ&#10;W4lOfTaOTSI5Ps82JOyv39kJhXV7msaDufOd78f33WV+3zWKHIV1NeiCpqMxJUJzKGu9L+j3l/Wn&#10;O0qcZ7pkCrQo6Ek4er/4+GHemlxkUIEqhSUYRLu8NQWtvDd5kjheiYa5ERih0SjBNsyjavdJaVmL&#10;0RuVZOPxTdKCLY0FLpzD24feSBcxvpSC+ycpnfBEFRRr8/G08dyFM1nMWb63zFQ1H8pg/1BFw2qN&#10;Sd9CPTDPyMHWf4Rqam7BgfQjDk0CUtZcxB6wm3T8rpttxYyIvSA4zrzB5P5fWP543JpnS3z3BTok&#10;MADSGpc7vAz9dNI24R8rJWhHCE9vsInOEx4epePpLJtQwtGWpbfZ3SSESS6vjXX+q4CGBKGgFmmJ&#10;aLHjxvne9ewSkjlQdbmulYrKya2UJUeGDCLxJbSUKOY8XhZ0HX9Dtt+eKU3agt5MZuOYSUOI16dS&#10;Gou7NBkk3+06UpcFjZWHmx2UJ8TFQj8yzvB1jcVvMPMzszgjCAXOvX/CQyrAXDBIlFRgf/7tPvgj&#10;dWilpMWZK6j7cWBWYEPfNJL6OZ1Ow5BGZTq7zVCx15bdtUUfmhUgKClumOFRDP5enUVpoXnF9ViG&#10;rGhimmPugvqzuPL9JuB6cbFcRiccS8P8Rm8ND6EDA4Gal+6VWTPw55H5RzhPJ8vf0dj7hpcalgcP&#10;so4cX1Ad4MeRjlMyrF/YmWs9el0+EotfAAAA//8DAFBLAwQUAAYACAAAACEA6Y6IFuIAAAAJAQAA&#10;DwAAAGRycy9kb3ducmV2LnhtbEyPQUvDQBCF74L/YRnBm9001qbEbIqIogVDNQpet8mYRLOzYXfb&#10;xP56x5Pe5jGP976XrSfTiwM631lSMJ9FIJAqW3fUKHh7vb9YgfBBU617S6jgGz2s89OTTKe1HekF&#10;D2VoBIeQT7WCNoQhldJXLRrtZ3ZA4t+HdUYHlq6RtdMjh5texlG0lEZ3xA2tHvC2xeqr3BsF72P5&#10;4Labzefz8Fgct8eyeMK7Qqnzs+nmGkTAKfyZ4Ref0SFnpp3dU+1Fr+BysWL0wEeyAMGGqzhOQOwU&#10;JPMlyDyT/xfkPwAAAP//AwBQSwECLQAUAAYACAAAACEAtoM4kv4AAADhAQAAEwAAAAAAAAAAAAAA&#10;AAAAAAAAW0NvbnRlbnRfVHlwZXNdLnhtbFBLAQItABQABgAIAAAAIQA4/SH/1gAAAJQBAAALAAAA&#10;AAAAAAAAAAAAAC8BAABfcmVscy8ucmVsc1BLAQItABQABgAIAAAAIQCPV2BFOQIAAGwEAAAOAAAA&#10;AAAAAAAAAAAAAC4CAABkcnMvZTJvRG9jLnhtbFBLAQItABQABgAIAAAAIQDpjogW4gAAAAkBAAAP&#10;AAAAAAAAAAAAAAAAAJMEAABkcnMvZG93bnJldi54bWxQSwUGAAAAAAQABADzAAAAogUAAAAA&#10;" fillcolor="window" stroked="f" strokeweight=".5pt">
                <v:textbox>
                  <w:txbxContent>
                    <w:p w14:paraId="1CADC8D9" w14:textId="77777777" w:rsidR="001D436D" w:rsidRPr="001D436D" w:rsidRDefault="001D436D" w:rsidP="001D436D">
                      <w:pPr>
                        <w:jc w:val="center"/>
                        <w:rPr>
                          <w:rFonts w:asciiTheme="minorBidi" w:hAnsiTheme="minorBidi"/>
                          <w:b/>
                          <w:bCs/>
                          <w:sz w:val="14"/>
                          <w:szCs w:val="14"/>
                        </w:rPr>
                      </w:pPr>
                      <w:r w:rsidRPr="001D436D">
                        <w:rPr>
                          <w:rFonts w:asciiTheme="minorBidi" w:hAnsiTheme="minorBidi"/>
                          <w:b/>
                          <w:bCs/>
                          <w:sz w:val="14"/>
                          <w:szCs w:val="14"/>
                        </w:rPr>
                        <w:t>Case fatality rate (%)</w:t>
                      </w:r>
                    </w:p>
                  </w:txbxContent>
                </v:textbox>
              </v:shape>
            </w:pict>
          </mc:Fallback>
        </mc:AlternateContent>
      </w:r>
      <w:r w:rsidR="007F2658" w:rsidRPr="007F2658">
        <w:rPr>
          <w:rFonts w:ascii="Gill Sans MT" w:hAnsi="Gill Sans MT"/>
          <w:b/>
          <w:bCs/>
          <w:sz w:val="24"/>
          <w:szCs w:val="24"/>
          <w:u w:val="single"/>
        </w:rPr>
        <w:t>Country</w:t>
      </w:r>
    </w:p>
    <w:p w14:paraId="30B51DF6" w14:textId="46C9EEE6" w:rsidR="0048550F" w:rsidRDefault="00292B4E" w:rsidP="0048550F">
      <w:r>
        <w:rPr>
          <w:noProof/>
        </w:rPr>
        <w:drawing>
          <wp:inline distT="0" distB="0" distL="0" distR="0" wp14:anchorId="57C5298D" wp14:editId="21F8C10F">
            <wp:extent cx="4490016" cy="8229600"/>
            <wp:effectExtent l="0" t="0" r="6350" b="0"/>
            <wp:docPr id="45718165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110"/>
                    <a:stretch>
                      <a:fillRect/>
                    </a:stretch>
                  </pic:blipFill>
                  <pic:spPr bwMode="auto">
                    <a:xfrm>
                      <a:off x="0" y="0"/>
                      <a:ext cx="4502944" cy="8253295"/>
                    </a:xfrm>
                    <a:prstGeom prst="rect">
                      <a:avLst/>
                    </a:prstGeom>
                    <a:noFill/>
                    <a:ln>
                      <a:noFill/>
                    </a:ln>
                    <a:extLst>
                      <a:ext uri="{53640926-AAD7-44D8-BBD7-CCE9431645EC}">
                        <a14:shadowObscured xmlns:a14="http://schemas.microsoft.com/office/drawing/2010/main"/>
                      </a:ext>
                    </a:extLst>
                  </pic:spPr>
                </pic:pic>
              </a:graphicData>
            </a:graphic>
          </wp:inline>
        </w:drawing>
      </w:r>
    </w:p>
    <w:p w14:paraId="70BDB308" w14:textId="27228D0D" w:rsidR="0048550F" w:rsidRDefault="00E1514F" w:rsidP="00E1514F">
      <w:pPr>
        <w:pStyle w:val="Lgende"/>
      </w:pPr>
      <w:r w:rsidRPr="006553F0">
        <w:rPr>
          <w:b/>
          <w:bCs/>
        </w:rPr>
        <w:t xml:space="preserve">Supplementary Fig. </w:t>
      </w:r>
      <w:r w:rsidRPr="006553F0">
        <w:rPr>
          <w:b/>
          <w:bCs/>
        </w:rPr>
        <w:fldChar w:fldCharType="begin"/>
      </w:r>
      <w:r w:rsidRPr="006553F0">
        <w:rPr>
          <w:b/>
          <w:bCs/>
        </w:rPr>
        <w:instrText xml:space="preserve"> SEQ Supplementary_Fig. \* ARABIC </w:instrText>
      </w:r>
      <w:r w:rsidRPr="006553F0">
        <w:rPr>
          <w:b/>
          <w:bCs/>
        </w:rPr>
        <w:fldChar w:fldCharType="separate"/>
      </w:r>
      <w:r w:rsidR="00CB77CE">
        <w:rPr>
          <w:b/>
          <w:bCs/>
          <w:noProof/>
        </w:rPr>
        <w:t>2</w:t>
      </w:r>
      <w:r w:rsidRPr="006553F0">
        <w:rPr>
          <w:b/>
          <w:bCs/>
        </w:rPr>
        <w:fldChar w:fldCharType="end"/>
      </w:r>
      <w:r w:rsidR="006553F0">
        <w:t xml:space="preserve"> </w:t>
      </w:r>
      <w:r w:rsidR="006553F0" w:rsidRPr="00E1514F">
        <w:t xml:space="preserve">Case fatality rate among confirmed mpox case </w:t>
      </w:r>
      <w:r w:rsidR="00F83106">
        <w:t>by African</w:t>
      </w:r>
      <w:r w:rsidR="006553F0">
        <w:t xml:space="preserve"> countr</w:t>
      </w:r>
      <w:r w:rsidR="00E9666F">
        <w:t>ies</w:t>
      </w:r>
    </w:p>
    <w:p w14:paraId="29995948" w14:textId="3320C222" w:rsidR="0048550F" w:rsidRPr="00E9666F" w:rsidRDefault="00003FF2" w:rsidP="00E9666F">
      <w:pPr>
        <w:pStyle w:val="Bibliographie"/>
        <w:rPr>
          <w:rFonts w:ascii="Gill Sans MT" w:hAnsi="Gill Sans MT"/>
          <w:b/>
          <w:bCs/>
          <w:sz w:val="24"/>
          <w:szCs w:val="24"/>
          <w:u w:val="single"/>
        </w:rPr>
      </w:pPr>
      <w:r w:rsidRPr="00EC56E4">
        <w:rPr>
          <w:noProof/>
        </w:rPr>
        <w:lastRenderedPageBreak/>
        <mc:AlternateContent>
          <mc:Choice Requires="wps">
            <w:drawing>
              <wp:anchor distT="0" distB="0" distL="114300" distR="114300" simplePos="0" relativeHeight="251669504" behindDoc="0" locked="0" layoutInCell="1" allowOverlap="1" wp14:anchorId="269A541A" wp14:editId="094A7070">
                <wp:simplePos x="0" y="0"/>
                <wp:positionH relativeFrom="column">
                  <wp:posOffset>4322100</wp:posOffset>
                </wp:positionH>
                <wp:positionV relativeFrom="paragraph">
                  <wp:posOffset>219710</wp:posOffset>
                </wp:positionV>
                <wp:extent cx="968721" cy="280035"/>
                <wp:effectExtent l="0" t="0" r="3175" b="5715"/>
                <wp:wrapNone/>
                <wp:docPr id="322848437" name="Zone de texte 27"/>
                <wp:cNvGraphicFramePr/>
                <a:graphic xmlns:a="http://schemas.openxmlformats.org/drawingml/2006/main">
                  <a:graphicData uri="http://schemas.microsoft.com/office/word/2010/wordprocessingShape">
                    <wps:wsp>
                      <wps:cNvSpPr txBox="1"/>
                      <wps:spPr>
                        <a:xfrm>
                          <a:off x="0" y="0"/>
                          <a:ext cx="968721" cy="280035"/>
                        </a:xfrm>
                        <a:prstGeom prst="rect">
                          <a:avLst/>
                        </a:prstGeom>
                        <a:solidFill>
                          <a:sysClr val="window" lastClr="FFFFFF"/>
                        </a:solidFill>
                        <a:ln w="6350">
                          <a:noFill/>
                        </a:ln>
                      </wps:spPr>
                      <wps:txbx>
                        <w:txbxContent>
                          <w:p w14:paraId="124450F9" w14:textId="77777777" w:rsidR="00003FF2" w:rsidRPr="00003FF2" w:rsidRDefault="00003FF2" w:rsidP="00003FF2">
                            <w:pPr>
                              <w:rPr>
                                <w:rFonts w:asciiTheme="minorBidi" w:hAnsiTheme="minorBidi"/>
                                <w:b/>
                                <w:bCs/>
                                <w:sz w:val="18"/>
                                <w:szCs w:val="18"/>
                              </w:rPr>
                            </w:pPr>
                            <w:r w:rsidRPr="00003FF2">
                              <w:rPr>
                                <w:rFonts w:asciiTheme="minorBidi" w:hAnsiTheme="minorBidi"/>
                                <w:b/>
                                <w:bCs/>
                                <w:sz w:val="18"/>
                                <w:szCs w:val="18"/>
                              </w:rPr>
                              <w:t>Event rate (%)</w:t>
                            </w:r>
                          </w:p>
                          <w:p w14:paraId="61E32A69" w14:textId="77777777" w:rsidR="00003FF2" w:rsidRPr="00003FF2" w:rsidRDefault="00003FF2" w:rsidP="00003FF2">
                            <w:pPr>
                              <w:rPr>
                                <w:rFonts w:asciiTheme="minorBidi" w:hAnsiTheme="minorBid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9A541A" id="_x0000_s1030" type="#_x0000_t202" style="position:absolute;margin-left:340.3pt;margin-top:17.3pt;width:76.3pt;height:22.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YZEOQIAAGsEAAAOAAAAZHJzL2Uyb0RvYy54bWysVN9v2jAQfp+0/8Hy+0igQGlEqBgV0yTU&#10;VqJTn43jEEuOz7MNCfvrd3YCpd2epvFg7nzn+/F9d5nft7UiR2GdBJ3T4SClRGgOhdT7nP54WX+Z&#10;UeI80wVToEVOT8LR+8XnT/PGZGIEFahCWIJBtMsak9PKe5MlieOVqJkbgBEajSXYmnlU7T4pLGsw&#10;eq2SUZpOkwZsYSxw4RzePnRGuojxy1Jw/1SWTniicoq1+XjaeO7CmSzmLNtbZirJ+zLYP1RRM6kx&#10;6SXUA/OMHKz8I1QtuQUHpR9wqBMoS8lF7AG7GaYfutlWzIjYC4LjzAUm9//C8sfj1jxb4tuv0CKB&#10;AZDGuMzhZeinLW0d/rFSgnaE8HSBTbSecLy8m85uR0NKOJpGszS9mYQoydtjY53/JqAmQcipRVYi&#10;WOy4cb5zPbuEXA6ULNZSqaic3EpZcmRIIPJeQEOJYs7jZU7X8ddne/dMadLkdHozSWMmDSFel0pp&#10;LO6txyD5dtcSWeR0fO5/B8UJYbHQTYwzfC2x+A1mfmYWRwSRwLH3T3iUCjAX9BIlFdhff7sP/sgc&#10;WilpcORy6n4emBXY0HeNnN4Nx+Mwo1EZT25HqNhry+7aog/1ChAUBB6ri2Lw9+oslhbqV9yOZciK&#10;JqY55s6pP4sr3y0CbhcXy2V0wqk0zG/01vAQOjAQqHlpX5k1PX8eiX+E83Cy7AONnW94qWF58FDK&#10;yHHAuUO1hx8nOk5Jv31hZa716PX2jVj8BgAA//8DAFBLAwQUAAYACAAAACEAR8v+G+EAAAAJAQAA&#10;DwAAAGRycy9kb3ducmV2LnhtbEyPwUrDQBCG74LvsIzgzW5sJA0xkyKiaMFQjYLXbTIm0exs2N02&#10;sU/vetLTMMzHP9+fr2c9iANZ1xtGuFxEIIhr0/TcIry93l+kIJxX3KjBMCF8k4N1cXqSq6wxE7/Q&#10;ofKtCCHsMoXQeT9mUrq6I63cwozE4fZhrFY+rLaVjVVTCNeDXEZRIrXqOXzo1Ei3HdVf1V4jvE/V&#10;g91uNp/P42N53B6r8onuSsTzs/nmGoSn2f/B8Ksf1KEITjuz58aJASFJoySgCPFVmAFI43gJYoew&#10;Slcgi1z+b1D8AAAA//8DAFBLAQItABQABgAIAAAAIQC2gziS/gAAAOEBAAATAAAAAAAAAAAAAAAA&#10;AAAAAABbQ29udGVudF9UeXBlc10ueG1sUEsBAi0AFAAGAAgAAAAhADj9If/WAAAAlAEAAAsAAAAA&#10;AAAAAAAAAAAALwEAAF9yZWxzLy5yZWxzUEsBAi0AFAAGAAgAAAAhAKchhkQ5AgAAawQAAA4AAAAA&#10;AAAAAAAAAAAALgIAAGRycy9lMm9Eb2MueG1sUEsBAi0AFAAGAAgAAAAhAEfL/hvhAAAACQEAAA8A&#10;AAAAAAAAAAAAAAAAkwQAAGRycy9kb3ducmV2LnhtbFBLBQYAAAAABAAEAPMAAAChBQAAAAA=&#10;" fillcolor="window" stroked="f" strokeweight=".5pt">
                <v:textbox>
                  <w:txbxContent>
                    <w:p w14:paraId="124450F9" w14:textId="77777777" w:rsidR="00003FF2" w:rsidRPr="00003FF2" w:rsidRDefault="00003FF2" w:rsidP="00003FF2">
                      <w:pPr>
                        <w:rPr>
                          <w:rFonts w:asciiTheme="minorBidi" w:hAnsiTheme="minorBidi"/>
                          <w:b/>
                          <w:bCs/>
                          <w:sz w:val="18"/>
                          <w:szCs w:val="18"/>
                        </w:rPr>
                      </w:pPr>
                      <w:r w:rsidRPr="00003FF2">
                        <w:rPr>
                          <w:rFonts w:asciiTheme="minorBidi" w:hAnsiTheme="minorBidi"/>
                          <w:b/>
                          <w:bCs/>
                          <w:sz w:val="18"/>
                          <w:szCs w:val="18"/>
                        </w:rPr>
                        <w:t>Event rate (%)</w:t>
                      </w:r>
                    </w:p>
                    <w:p w14:paraId="61E32A69" w14:textId="77777777" w:rsidR="00003FF2" w:rsidRPr="00003FF2" w:rsidRDefault="00003FF2" w:rsidP="00003FF2">
                      <w:pPr>
                        <w:rPr>
                          <w:rFonts w:asciiTheme="minorBidi" w:hAnsiTheme="minorBidi"/>
                          <w:b/>
                          <w:bCs/>
                          <w:sz w:val="18"/>
                          <w:szCs w:val="18"/>
                        </w:rPr>
                      </w:pPr>
                    </w:p>
                  </w:txbxContent>
                </v:textbox>
              </v:shape>
            </w:pict>
          </mc:Fallback>
        </mc:AlternateContent>
      </w:r>
      <w:r w:rsidRPr="00EC56E4">
        <w:rPr>
          <w:noProof/>
        </w:rPr>
        <mc:AlternateContent>
          <mc:Choice Requires="wps">
            <w:drawing>
              <wp:anchor distT="0" distB="0" distL="114300" distR="114300" simplePos="0" relativeHeight="251667456" behindDoc="0" locked="0" layoutInCell="1" allowOverlap="1" wp14:anchorId="46C016B2" wp14:editId="6AC0F70D">
                <wp:simplePos x="0" y="0"/>
                <wp:positionH relativeFrom="column">
                  <wp:posOffset>2930148</wp:posOffset>
                </wp:positionH>
                <wp:positionV relativeFrom="paragraph">
                  <wp:posOffset>219672</wp:posOffset>
                </wp:positionV>
                <wp:extent cx="1447248" cy="280035"/>
                <wp:effectExtent l="0" t="0" r="635" b="5715"/>
                <wp:wrapNone/>
                <wp:docPr id="1717716986" name="Zone de texte 26"/>
                <wp:cNvGraphicFramePr/>
                <a:graphic xmlns:a="http://schemas.openxmlformats.org/drawingml/2006/main">
                  <a:graphicData uri="http://schemas.microsoft.com/office/word/2010/wordprocessingShape">
                    <wps:wsp>
                      <wps:cNvSpPr txBox="1"/>
                      <wps:spPr>
                        <a:xfrm>
                          <a:off x="0" y="0"/>
                          <a:ext cx="1447248" cy="280035"/>
                        </a:xfrm>
                        <a:prstGeom prst="rect">
                          <a:avLst/>
                        </a:prstGeom>
                        <a:solidFill>
                          <a:sysClr val="window" lastClr="FFFFFF"/>
                        </a:solidFill>
                        <a:ln w="6350">
                          <a:noFill/>
                        </a:ln>
                      </wps:spPr>
                      <wps:txbx>
                        <w:txbxContent>
                          <w:p w14:paraId="088A6E45" w14:textId="77777777" w:rsidR="00003FF2" w:rsidRPr="00003FF2" w:rsidRDefault="00003FF2" w:rsidP="00003FF2">
                            <w:pPr>
                              <w:jc w:val="center"/>
                              <w:rPr>
                                <w:rFonts w:asciiTheme="minorBidi" w:hAnsiTheme="minorBidi"/>
                                <w:b/>
                                <w:bCs/>
                                <w:sz w:val="18"/>
                                <w:szCs w:val="18"/>
                              </w:rPr>
                            </w:pPr>
                            <w:r w:rsidRPr="00003FF2">
                              <w:rPr>
                                <w:rFonts w:asciiTheme="minorBidi" w:hAnsiTheme="minorBidi"/>
                                <w:b/>
                                <w:bCs/>
                                <w:sz w:val="18"/>
                                <w:szCs w:val="18"/>
                              </w:rPr>
                              <w:t>Case fatality rate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C016B2" id="_x0000_s1031" type="#_x0000_t202" style="position:absolute;margin-left:230.7pt;margin-top:17.3pt;width:113.95pt;height:22.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yNwIAAGwEAAAOAAAAZHJzL2Uyb0RvYy54bWysVEtv2zAMvg/YfxB0X+ykSdsZcYosRYYB&#10;QVsgHXpWZCkWIIuapMTOfv0oOa91Ow3LQSFFio/vIz196BpN9sJ5Baakw0FOiTAcKmW2Jf3+uvx0&#10;T4kPzFRMgxElPQhPH2YfP0xbW4gR1KAr4QgGMb5obUnrEGyRZZ7XomF+AFYYNEpwDQuoum1WOdZi&#10;9EZnozy/zVpwlXXAhfd4+9gb6SzFl1Lw8CylF4HokmJtIZ0unZt4ZrMpK7aO2VrxYxnsH6pomDKY&#10;9BzqkQVGdk79EapR3IEHGQYcmgykVFykHrCbYf6um3XNrEi9IDjenmHy/y8sf9qv7YsjofsCHRIY&#10;AWmtLzxexn466Zr4j5UStCOEhzNsoguEx0fj8d1ojERztI3u8/xmEsNkl9fW+fBVQEOiUFKHtCS0&#10;2H7lQ+96conJPGhVLZXWSTn4hXZkz5BBJL6ClhLNfMDLki7T75jtt2fakLaktzeTPGUyEOP1qbTB&#10;4i5NRil0m46oqqSp8nizgeqAuDjoR8ZbvlRY/AozvzCHM4JQ4NyHZzykBswFR4mSGtzPv91Hf6QO&#10;rZS0OHMl9T92zAls6JtBUj8jknFIkzKe3I1QcdeWzbXF7JoFIChD3DDLkxj9gz6J0kHzhusxj1nR&#10;xAzH3CUNJ3ER+k3A9eJiPk9OOJaWhZVZWx5DRwYiNa/dG3P2yF9A5p/gNJ2seEdj7xtfGpjvAkiV&#10;OL6geoQfRzpNyXH94s5c68nr8pGY/QIAAP//AwBQSwMEFAAGAAgAAAAhAFj5CHfiAAAACQEAAA8A&#10;AABkcnMvZG93bnJldi54bWxMj1FLwzAUhd8F/0O4gm8unStdrb0dIooOLNuq4GvWXNtqk5QkW+t+&#10;vfFJHy/n45zv5qtJ9exI1nVGI8xnETDStZGdbhDeXh+vUmDOCy1FbzQhfJODVXF+lotMmlHv6Fj5&#10;hoUS7TKB0Ho/ZJy7uiUl3MwMpEP2YawSPpy24dKKMZSrnl9HUcKV6HRYaMVA9y3VX9VBIbyP1ZPd&#10;rNef2+G5PG1OVflCDyXi5cV0dwvM0+T/YPjVD+pQBKe9OWjpWI8QJ/M4oAiLOAEWgCS9WQDbIyzT&#10;JfAi5/8/KH4AAAD//wMAUEsBAi0AFAAGAAgAAAAhALaDOJL+AAAA4QEAABMAAAAAAAAAAAAAAAAA&#10;AAAAAFtDb250ZW50X1R5cGVzXS54bWxQSwECLQAUAAYACAAAACEAOP0h/9YAAACUAQAACwAAAAAA&#10;AAAAAAAAAAAvAQAAX3JlbHMvLnJlbHNQSwECLQAUAAYACAAAACEAVf/l8jcCAABsBAAADgAAAAAA&#10;AAAAAAAAAAAuAgAAZHJzL2Uyb0RvYy54bWxQSwECLQAUAAYACAAAACEAWPkId+IAAAAJAQAADwAA&#10;AAAAAAAAAAAAAACRBAAAZHJzL2Rvd25yZXYueG1sUEsFBgAAAAAEAAQA8wAAAKAFAAAAAA==&#10;" fillcolor="window" stroked="f" strokeweight=".5pt">
                <v:textbox>
                  <w:txbxContent>
                    <w:p w14:paraId="088A6E45" w14:textId="77777777" w:rsidR="00003FF2" w:rsidRPr="00003FF2" w:rsidRDefault="00003FF2" w:rsidP="00003FF2">
                      <w:pPr>
                        <w:jc w:val="center"/>
                        <w:rPr>
                          <w:rFonts w:asciiTheme="minorBidi" w:hAnsiTheme="minorBidi"/>
                          <w:b/>
                          <w:bCs/>
                          <w:sz w:val="18"/>
                          <w:szCs w:val="18"/>
                        </w:rPr>
                      </w:pPr>
                      <w:r w:rsidRPr="00003FF2">
                        <w:rPr>
                          <w:rFonts w:asciiTheme="minorBidi" w:hAnsiTheme="minorBidi"/>
                          <w:b/>
                          <w:bCs/>
                          <w:sz w:val="18"/>
                          <w:szCs w:val="18"/>
                        </w:rPr>
                        <w:t>Case fatality rate (%)</w:t>
                      </w:r>
                    </w:p>
                  </w:txbxContent>
                </v:textbox>
              </v:shape>
            </w:pict>
          </mc:Fallback>
        </mc:AlternateContent>
      </w:r>
      <w:r w:rsidR="00E9666F" w:rsidRPr="00E9666F">
        <w:rPr>
          <w:rFonts w:ascii="Gill Sans MT" w:hAnsi="Gill Sans MT"/>
          <w:b/>
          <w:bCs/>
          <w:sz w:val="24"/>
          <w:szCs w:val="24"/>
          <w:u w:val="single"/>
        </w:rPr>
        <w:t>Study design</w:t>
      </w:r>
    </w:p>
    <w:p w14:paraId="3BE082C4" w14:textId="5A1D5A5F" w:rsidR="0048550F" w:rsidRDefault="00003FF2" w:rsidP="0048550F">
      <w:r>
        <w:rPr>
          <w:noProof/>
        </w:rPr>
        <w:drawing>
          <wp:inline distT="0" distB="0" distL="0" distR="0" wp14:anchorId="2443D822" wp14:editId="384DD510">
            <wp:extent cx="5812790" cy="8020853"/>
            <wp:effectExtent l="0" t="0" r="0" b="0"/>
            <wp:docPr id="205478907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774"/>
                    <a:stretch>
                      <a:fillRect/>
                    </a:stretch>
                  </pic:blipFill>
                  <pic:spPr bwMode="auto">
                    <a:xfrm>
                      <a:off x="0" y="0"/>
                      <a:ext cx="5819395" cy="8029967"/>
                    </a:xfrm>
                    <a:prstGeom prst="rect">
                      <a:avLst/>
                    </a:prstGeom>
                    <a:noFill/>
                    <a:ln>
                      <a:noFill/>
                    </a:ln>
                    <a:extLst>
                      <a:ext uri="{53640926-AAD7-44D8-BBD7-CCE9431645EC}">
                        <a14:shadowObscured xmlns:a14="http://schemas.microsoft.com/office/drawing/2010/main"/>
                      </a:ext>
                    </a:extLst>
                  </pic:spPr>
                </pic:pic>
              </a:graphicData>
            </a:graphic>
          </wp:inline>
        </w:drawing>
      </w:r>
    </w:p>
    <w:p w14:paraId="539E9FD2" w14:textId="704532A7" w:rsidR="00003FF2" w:rsidRDefault="00003FF2" w:rsidP="00003FF2">
      <w:pPr>
        <w:pStyle w:val="Lgende"/>
      </w:pPr>
      <w:r w:rsidRPr="00F83106">
        <w:rPr>
          <w:b/>
          <w:bCs/>
        </w:rPr>
        <w:t xml:space="preserve">Supplementary Fig. </w:t>
      </w:r>
      <w:r w:rsidRPr="00F83106">
        <w:rPr>
          <w:b/>
          <w:bCs/>
        </w:rPr>
        <w:fldChar w:fldCharType="begin"/>
      </w:r>
      <w:r w:rsidRPr="00F83106">
        <w:rPr>
          <w:b/>
          <w:bCs/>
        </w:rPr>
        <w:instrText xml:space="preserve"> SEQ Supplementary_Fig. \* ARABIC </w:instrText>
      </w:r>
      <w:r w:rsidRPr="00F83106">
        <w:rPr>
          <w:b/>
          <w:bCs/>
        </w:rPr>
        <w:fldChar w:fldCharType="separate"/>
      </w:r>
      <w:r w:rsidR="00CB77CE">
        <w:rPr>
          <w:b/>
          <w:bCs/>
          <w:noProof/>
        </w:rPr>
        <w:t>3</w:t>
      </w:r>
      <w:r w:rsidRPr="00F83106">
        <w:rPr>
          <w:b/>
          <w:bCs/>
        </w:rPr>
        <w:fldChar w:fldCharType="end"/>
      </w:r>
      <w:r>
        <w:t xml:space="preserve"> </w:t>
      </w:r>
      <w:r w:rsidRPr="00E1514F">
        <w:t>Case fatality rate among confirmed mpox case in Africa</w:t>
      </w:r>
      <w:r>
        <w:t xml:space="preserve"> by countries</w:t>
      </w:r>
    </w:p>
    <w:p w14:paraId="7F493C98" w14:textId="278A6DF6" w:rsidR="0048550F" w:rsidRPr="00712844" w:rsidRDefault="005E3B79" w:rsidP="00712844">
      <w:pPr>
        <w:pStyle w:val="Bibliographie"/>
        <w:rPr>
          <w:rFonts w:ascii="Gill Sans MT" w:hAnsi="Gill Sans MT"/>
          <w:b/>
          <w:bCs/>
          <w:sz w:val="24"/>
          <w:szCs w:val="24"/>
          <w:u w:val="single"/>
        </w:rPr>
      </w:pPr>
      <w:r w:rsidRPr="00EC56E4">
        <w:rPr>
          <w:noProof/>
        </w:rPr>
        <w:lastRenderedPageBreak/>
        <mc:AlternateContent>
          <mc:Choice Requires="wps">
            <w:drawing>
              <wp:anchor distT="0" distB="0" distL="114300" distR="114300" simplePos="0" relativeHeight="251671552" behindDoc="0" locked="0" layoutInCell="1" allowOverlap="1" wp14:anchorId="7E19676A" wp14:editId="04A94E1D">
                <wp:simplePos x="0" y="0"/>
                <wp:positionH relativeFrom="column">
                  <wp:posOffset>2922484</wp:posOffset>
                </wp:positionH>
                <wp:positionV relativeFrom="paragraph">
                  <wp:posOffset>219672</wp:posOffset>
                </wp:positionV>
                <wp:extent cx="1447248" cy="280035"/>
                <wp:effectExtent l="0" t="0" r="635" b="5715"/>
                <wp:wrapNone/>
                <wp:docPr id="1733557528" name="Zone de texte 26"/>
                <wp:cNvGraphicFramePr/>
                <a:graphic xmlns:a="http://schemas.openxmlformats.org/drawingml/2006/main">
                  <a:graphicData uri="http://schemas.microsoft.com/office/word/2010/wordprocessingShape">
                    <wps:wsp>
                      <wps:cNvSpPr txBox="1"/>
                      <wps:spPr>
                        <a:xfrm>
                          <a:off x="0" y="0"/>
                          <a:ext cx="1447248" cy="280035"/>
                        </a:xfrm>
                        <a:prstGeom prst="rect">
                          <a:avLst/>
                        </a:prstGeom>
                        <a:solidFill>
                          <a:sysClr val="window" lastClr="FFFFFF"/>
                        </a:solidFill>
                        <a:ln w="6350">
                          <a:noFill/>
                        </a:ln>
                      </wps:spPr>
                      <wps:txbx>
                        <w:txbxContent>
                          <w:p w14:paraId="490DC1AC" w14:textId="77777777" w:rsidR="005E3B79" w:rsidRPr="00003FF2" w:rsidRDefault="005E3B79" w:rsidP="005E3B79">
                            <w:pPr>
                              <w:jc w:val="center"/>
                              <w:rPr>
                                <w:rFonts w:asciiTheme="minorBidi" w:hAnsiTheme="minorBidi"/>
                                <w:b/>
                                <w:bCs/>
                                <w:sz w:val="18"/>
                                <w:szCs w:val="18"/>
                              </w:rPr>
                            </w:pPr>
                            <w:r w:rsidRPr="00003FF2">
                              <w:rPr>
                                <w:rFonts w:asciiTheme="minorBidi" w:hAnsiTheme="minorBidi"/>
                                <w:b/>
                                <w:bCs/>
                                <w:sz w:val="18"/>
                                <w:szCs w:val="18"/>
                              </w:rPr>
                              <w:t>Case fatality rate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9676A" id="_x0000_s1032" type="#_x0000_t202" style="position:absolute;margin-left:230.1pt;margin-top:17.3pt;width:113.95pt;height:22.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0RWNgIAAGwEAAAOAAAAZHJzL2Uyb0RvYy54bWysVEtvGjEQvlfqf7B8L7sQSNIVS0SJqCqh&#10;JBKpcjZem7Xk9bi2YZf++o69vJr2VJWDGXve3zez04eu0WQvnFdgSjoc5JQIw6FSZlvS76/LT/eU&#10;+MBMxTQYUdKD8PRh9vHDtLWFGEENuhKOYBDji9aWtA7BFlnmeS0a5gdghUGlBNewgFe3zSrHWoze&#10;6GyU57dZC66yDrjwHl8feyWdpfhSCh6epfQiEF1SrC2k06VzE89sNmXF1jFbK34sg/1DFQ1TBpOe&#10;Qz2ywMjOqT9CNYo78CDDgEOTgZSKi9QDdjPM33WzrpkVqRcEx9szTP7/heVP+7V9cSR0X6BDAiMg&#10;rfWFx8fYTyddE/+xUoJ6hPBwhk10gfDoNB7fjcZINEfd6D7PbyYxTHbxts6HrwIaEoWSOqQlocX2&#10;Kx9605NJTOZBq2qptE6Xg19oR/YMGUTiK2gp0cwHfCzpMv2O2X5z04a0Jb29meQpk4EYr0+lDRZ3&#10;aTJKodt0RFXocAJgA9UBcXHQj4y3fKmw+BVmfmEOZwShwLkPz3hIDZgLjhIlNbiff3uP9kgdailp&#10;ceZK6n/smBPY0DeDpH5GJOOQpst4cjfCi7vWbK41ZtcsAEEZ4oZZnsRoH/RJlA6aN1yPecyKKmY4&#10;5i5pOImL0G8CrhcX83kywrG0LKzM2vIYOjIQqXnt3pizR/4CMv8Ep+lkxTsae9voaWC+CyBV4jji&#10;3KN6hB9HOk3Jcf3izlzfk9XlIzH7BQAA//8DAFBLAwQUAAYACAAAACEAx4vD9OEAAAAJAQAADwAA&#10;AGRycy9kb3ducmV2LnhtbEyPQUvDQBCF74L/YRnBm920ljTETIqIogVDNQpet9kxiWZnQ3bbxP76&#10;ric9Du/jvW+y9WQ6caDBtZYR5rMIBHFldcs1wvvbw1UCwnnFWnWWCeGHHKzz87NMpdqO/EqH0tci&#10;lLBLFULjfZ9K6aqGjHIz2xOH7NMORvlwDrXUgxpDuenkIopiaVTLYaFRPd01VH2Xe4PwMZaPw3az&#10;+Xrpn4rj9lgWz3RfIF5eTLc3IDxN/g+GX/2gDnlw2tk9ayc6hGUcLQKKcL2MQQQgTpI5iB3CKlmB&#10;zDP5/4P8BAAA//8DAFBLAQItABQABgAIAAAAIQC2gziS/gAAAOEBAAATAAAAAAAAAAAAAAAAAAAA&#10;AABbQ29udGVudF9UeXBlc10ueG1sUEsBAi0AFAAGAAgAAAAhADj9If/WAAAAlAEAAAsAAAAAAAAA&#10;AAAAAAAALwEAAF9yZWxzLy5yZWxzUEsBAi0AFAAGAAgAAAAhAJUvRFY2AgAAbAQAAA4AAAAAAAAA&#10;AAAAAAAALgIAAGRycy9lMm9Eb2MueG1sUEsBAi0AFAAGAAgAAAAhAMeLw/ThAAAACQEAAA8AAAAA&#10;AAAAAAAAAAAAkAQAAGRycy9kb3ducmV2LnhtbFBLBQYAAAAABAAEAPMAAACeBQAAAAA=&#10;" fillcolor="window" stroked="f" strokeweight=".5pt">
                <v:textbox>
                  <w:txbxContent>
                    <w:p w14:paraId="490DC1AC" w14:textId="77777777" w:rsidR="005E3B79" w:rsidRPr="00003FF2" w:rsidRDefault="005E3B79" w:rsidP="005E3B79">
                      <w:pPr>
                        <w:jc w:val="center"/>
                        <w:rPr>
                          <w:rFonts w:asciiTheme="minorBidi" w:hAnsiTheme="minorBidi"/>
                          <w:b/>
                          <w:bCs/>
                          <w:sz w:val="18"/>
                          <w:szCs w:val="18"/>
                        </w:rPr>
                      </w:pPr>
                      <w:r w:rsidRPr="00003FF2">
                        <w:rPr>
                          <w:rFonts w:asciiTheme="minorBidi" w:hAnsiTheme="minorBidi"/>
                          <w:b/>
                          <w:bCs/>
                          <w:sz w:val="18"/>
                          <w:szCs w:val="18"/>
                        </w:rPr>
                        <w:t>Case fatality rate (%)</w:t>
                      </w:r>
                    </w:p>
                  </w:txbxContent>
                </v:textbox>
              </v:shape>
            </w:pict>
          </mc:Fallback>
        </mc:AlternateContent>
      </w:r>
      <w:r w:rsidRPr="00EC56E4">
        <w:rPr>
          <w:noProof/>
        </w:rPr>
        <mc:AlternateContent>
          <mc:Choice Requires="wps">
            <w:drawing>
              <wp:anchor distT="0" distB="0" distL="114300" distR="114300" simplePos="0" relativeHeight="251673600" behindDoc="0" locked="0" layoutInCell="1" allowOverlap="1" wp14:anchorId="44A2F0B0" wp14:editId="2B3F28D3">
                <wp:simplePos x="0" y="0"/>
                <wp:positionH relativeFrom="column">
                  <wp:posOffset>4369649</wp:posOffset>
                </wp:positionH>
                <wp:positionV relativeFrom="paragraph">
                  <wp:posOffset>219672</wp:posOffset>
                </wp:positionV>
                <wp:extent cx="968721" cy="280035"/>
                <wp:effectExtent l="0" t="0" r="3175" b="5715"/>
                <wp:wrapNone/>
                <wp:docPr id="1802422434" name="Zone de texte 27"/>
                <wp:cNvGraphicFramePr/>
                <a:graphic xmlns:a="http://schemas.openxmlformats.org/drawingml/2006/main">
                  <a:graphicData uri="http://schemas.microsoft.com/office/word/2010/wordprocessingShape">
                    <wps:wsp>
                      <wps:cNvSpPr txBox="1"/>
                      <wps:spPr>
                        <a:xfrm>
                          <a:off x="0" y="0"/>
                          <a:ext cx="968721" cy="280035"/>
                        </a:xfrm>
                        <a:prstGeom prst="rect">
                          <a:avLst/>
                        </a:prstGeom>
                        <a:solidFill>
                          <a:sysClr val="window" lastClr="FFFFFF"/>
                        </a:solidFill>
                        <a:ln w="6350">
                          <a:noFill/>
                        </a:ln>
                      </wps:spPr>
                      <wps:txbx>
                        <w:txbxContent>
                          <w:p w14:paraId="57E7212B" w14:textId="77777777" w:rsidR="005E3B79" w:rsidRPr="00003FF2" w:rsidRDefault="005E3B79" w:rsidP="005E3B79">
                            <w:pPr>
                              <w:rPr>
                                <w:rFonts w:asciiTheme="minorBidi" w:hAnsiTheme="minorBidi"/>
                                <w:b/>
                                <w:bCs/>
                                <w:sz w:val="18"/>
                                <w:szCs w:val="18"/>
                              </w:rPr>
                            </w:pPr>
                            <w:r w:rsidRPr="00003FF2">
                              <w:rPr>
                                <w:rFonts w:asciiTheme="minorBidi" w:hAnsiTheme="minorBidi"/>
                                <w:b/>
                                <w:bCs/>
                                <w:sz w:val="18"/>
                                <w:szCs w:val="18"/>
                              </w:rPr>
                              <w:t>Event rate (%)</w:t>
                            </w:r>
                          </w:p>
                          <w:p w14:paraId="58F05845" w14:textId="77777777" w:rsidR="005E3B79" w:rsidRPr="00003FF2" w:rsidRDefault="005E3B79" w:rsidP="005E3B79">
                            <w:pPr>
                              <w:rPr>
                                <w:rFonts w:asciiTheme="minorBidi" w:hAnsiTheme="minorBid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A2F0B0" id="_x0000_s1033" type="#_x0000_t202" style="position:absolute;margin-left:344.05pt;margin-top:17.3pt;width:76.3pt;height:22.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SfgOQIAAGsEAAAOAAAAZHJzL2Uyb0RvYy54bWysVEtv2zAMvg/YfxB0X+ykedWIU2QpMgwI&#10;2gLp0LMiS4kBWdQkJXb260fJzqPdTsNyUEiR4uP7SM8emkqRo7CuBJ3Tfi+lRGgORal3Of3xuvoy&#10;pcR5pgumQIucnoSjD/PPn2a1ycQA9qAKYQkG0S6rTU733pssSRzfi4q5Hhih0SjBVsyjandJYVmN&#10;0SuVDNJ0nNRgC2OBC+fw9rE10nmML6Xg/llKJzxROcXafDxtPLfhTOYzlu0sM/uSd2Wwf6iiYqXG&#10;pJdQj8wzcrDlH6GqkltwIH2PQ5WAlCUXsQfspp9+6GazZ0bEXhAcZy4wuf8Xlj8dN+bFEt98hQYJ&#10;DIDUxmUOL0M/jbRV+MdKCdoRwtMFNtF4wvHyfjydDPqUcDQNpml6NwpRkutjY53/JqAiQcipRVYi&#10;WOy4dr51PbuEXA5UWaxKpaJycktlyZEhgch7ATUlijmPlzldxV+X7d0zpUmd0/HdKI2ZNIR4bSql&#10;sbhrj0HyzbYhZZHTybn/LRQnhMVCOzHO8FWJxa8x8wuzOCKIBI69f8ZDKsBc0EmU7MH++tt98Efm&#10;0EpJjSOXU/fzwKzAhr5r5PS+PxyGGY3KcDQZoGJvLdtbiz5US0BQEHisLorB36uzKC1Ub7gdi5AV&#10;TUxzzJ1TfxaXvl0E3C4uFovohFNpmF/rjeEhdGAgUPPavDFrOv48Ev8E5+Fk2QcaW9/wUsPi4EGW&#10;keOAc4tqBz9OdJySbvvCytzq0ev6jZj/BgAA//8DAFBLAwQUAAYACAAAACEAUE21LuEAAAAJAQAA&#10;DwAAAGRycy9kb3ducmV2LnhtbEyPQUvEMBCF74L/IYzgzU1XlzbUThcRRRcsq1Xwmm3GttokJclu&#10;6/5640mPw/t475tiPeuBHcj53hqE5SIBRqaxqjctwtvr/YUA5oM0Sg7WEMI3eViXpyeFzJWdzAsd&#10;6tCyWGJ8LhG6EMacc990pKVf2JFMzD6s0zLE07VcOTnFcj3wyyRJuZa9iQudHOm2o+ar3muE96l+&#10;cNvN5vN5fKyO22NdPdFdhXh+Nt9cAws0hz8YfvWjOpTRaWf3Rnk2IKRCLCOKcLVKgUVArJIM2A4h&#10;ExnwsuD/Pyh/AAAA//8DAFBLAQItABQABgAIAAAAIQC2gziS/gAAAOEBAAATAAAAAAAAAAAAAAAA&#10;AAAAAABbQ29udGVudF9UeXBlc10ueG1sUEsBAi0AFAAGAAgAAAAhADj9If/WAAAAlAEAAAsAAAAA&#10;AAAAAAAAAAAALwEAAF9yZWxzLy5yZWxzUEsBAi0AFAAGAAgAAAAhAGfxJ+A5AgAAawQAAA4AAAAA&#10;AAAAAAAAAAAALgIAAGRycy9lMm9Eb2MueG1sUEsBAi0AFAAGAAgAAAAhAFBNtS7hAAAACQEAAA8A&#10;AAAAAAAAAAAAAAAAkwQAAGRycy9kb3ducmV2LnhtbFBLBQYAAAAABAAEAPMAAAChBQAAAAA=&#10;" fillcolor="window" stroked="f" strokeweight=".5pt">
                <v:textbox>
                  <w:txbxContent>
                    <w:p w14:paraId="57E7212B" w14:textId="77777777" w:rsidR="005E3B79" w:rsidRPr="00003FF2" w:rsidRDefault="005E3B79" w:rsidP="005E3B79">
                      <w:pPr>
                        <w:rPr>
                          <w:rFonts w:asciiTheme="minorBidi" w:hAnsiTheme="minorBidi"/>
                          <w:b/>
                          <w:bCs/>
                          <w:sz w:val="18"/>
                          <w:szCs w:val="18"/>
                        </w:rPr>
                      </w:pPr>
                      <w:r w:rsidRPr="00003FF2">
                        <w:rPr>
                          <w:rFonts w:asciiTheme="minorBidi" w:hAnsiTheme="minorBidi"/>
                          <w:b/>
                          <w:bCs/>
                          <w:sz w:val="18"/>
                          <w:szCs w:val="18"/>
                        </w:rPr>
                        <w:t>Event rate (%)</w:t>
                      </w:r>
                    </w:p>
                    <w:p w14:paraId="58F05845" w14:textId="77777777" w:rsidR="005E3B79" w:rsidRPr="00003FF2" w:rsidRDefault="005E3B79" w:rsidP="005E3B79">
                      <w:pPr>
                        <w:rPr>
                          <w:rFonts w:asciiTheme="minorBidi" w:hAnsiTheme="minorBidi"/>
                          <w:b/>
                          <w:bCs/>
                          <w:sz w:val="18"/>
                          <w:szCs w:val="18"/>
                        </w:rPr>
                      </w:pPr>
                    </w:p>
                  </w:txbxContent>
                </v:textbox>
              </v:shape>
            </w:pict>
          </mc:Fallback>
        </mc:AlternateContent>
      </w:r>
      <w:r w:rsidR="00712844" w:rsidRPr="00712844">
        <w:rPr>
          <w:rFonts w:ascii="Gill Sans MT" w:hAnsi="Gill Sans MT"/>
          <w:b/>
          <w:bCs/>
          <w:sz w:val="24"/>
          <w:szCs w:val="24"/>
          <w:u w:val="single"/>
        </w:rPr>
        <w:t>Study setting</w:t>
      </w:r>
    </w:p>
    <w:p w14:paraId="0DFF1623" w14:textId="54C06D72" w:rsidR="0048550F" w:rsidRDefault="00712844" w:rsidP="0048550F">
      <w:r>
        <w:rPr>
          <w:noProof/>
        </w:rPr>
        <w:drawing>
          <wp:inline distT="0" distB="0" distL="0" distR="0" wp14:anchorId="57B320E5" wp14:editId="1C14E198">
            <wp:extent cx="5813425" cy="8039477"/>
            <wp:effectExtent l="0" t="0" r="0" b="0"/>
            <wp:docPr id="57960538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4788" b="2405"/>
                    <a:stretch>
                      <a:fillRect/>
                    </a:stretch>
                  </pic:blipFill>
                  <pic:spPr bwMode="auto">
                    <a:xfrm>
                      <a:off x="0" y="0"/>
                      <a:ext cx="5815350" cy="8042139"/>
                    </a:xfrm>
                    <a:prstGeom prst="rect">
                      <a:avLst/>
                    </a:prstGeom>
                    <a:noFill/>
                    <a:ln>
                      <a:noFill/>
                    </a:ln>
                    <a:extLst>
                      <a:ext uri="{53640926-AAD7-44D8-BBD7-CCE9431645EC}">
                        <a14:shadowObscured xmlns:a14="http://schemas.microsoft.com/office/drawing/2010/main"/>
                      </a:ext>
                    </a:extLst>
                  </pic:spPr>
                </pic:pic>
              </a:graphicData>
            </a:graphic>
          </wp:inline>
        </w:drawing>
      </w:r>
    </w:p>
    <w:p w14:paraId="36B5837B" w14:textId="7C076BC3" w:rsidR="00712844" w:rsidRPr="00712844" w:rsidRDefault="00712844" w:rsidP="00712844">
      <w:pPr>
        <w:pStyle w:val="Lgende"/>
      </w:pPr>
      <w:r w:rsidRPr="00DB035F">
        <w:rPr>
          <w:b/>
          <w:bCs/>
        </w:rPr>
        <w:t xml:space="preserve">Supplementary Fig. </w:t>
      </w:r>
      <w:r w:rsidRPr="00DB035F">
        <w:rPr>
          <w:b/>
          <w:bCs/>
        </w:rPr>
        <w:fldChar w:fldCharType="begin"/>
      </w:r>
      <w:r w:rsidRPr="00DB035F">
        <w:rPr>
          <w:b/>
          <w:bCs/>
        </w:rPr>
        <w:instrText xml:space="preserve"> SEQ Supplementary_Fig. \* ARABIC </w:instrText>
      </w:r>
      <w:r w:rsidRPr="00DB035F">
        <w:rPr>
          <w:b/>
          <w:bCs/>
        </w:rPr>
        <w:fldChar w:fldCharType="separate"/>
      </w:r>
      <w:r w:rsidR="00CB77CE">
        <w:rPr>
          <w:b/>
          <w:bCs/>
          <w:noProof/>
        </w:rPr>
        <w:t>4</w:t>
      </w:r>
      <w:r w:rsidRPr="00DB035F">
        <w:rPr>
          <w:b/>
          <w:bCs/>
        </w:rPr>
        <w:fldChar w:fldCharType="end"/>
      </w:r>
      <w:r w:rsidRPr="00712844">
        <w:t xml:space="preserve"> Case fatality rate among confirmed mpox case in Africa by </w:t>
      </w:r>
      <w:r w:rsidR="00422CBB">
        <w:t>study setting</w:t>
      </w:r>
    </w:p>
    <w:p w14:paraId="57082295" w14:textId="7CF6B4B6" w:rsidR="0048550F" w:rsidRPr="005E3B79" w:rsidRDefault="00647133" w:rsidP="005E3B79">
      <w:pPr>
        <w:pStyle w:val="Bibliographie"/>
        <w:rPr>
          <w:rFonts w:ascii="Gill Sans MT" w:hAnsi="Gill Sans MT"/>
          <w:b/>
          <w:bCs/>
          <w:sz w:val="24"/>
          <w:szCs w:val="24"/>
          <w:u w:val="single"/>
        </w:rPr>
      </w:pPr>
      <w:r w:rsidRPr="00EC56E4">
        <w:rPr>
          <w:noProof/>
        </w:rPr>
        <w:lastRenderedPageBreak/>
        <mc:AlternateContent>
          <mc:Choice Requires="wps">
            <w:drawing>
              <wp:anchor distT="0" distB="0" distL="114300" distR="114300" simplePos="0" relativeHeight="251677696" behindDoc="0" locked="0" layoutInCell="1" allowOverlap="1" wp14:anchorId="6F479480" wp14:editId="4E0BCEA9">
                <wp:simplePos x="0" y="0"/>
                <wp:positionH relativeFrom="column">
                  <wp:posOffset>4097655</wp:posOffset>
                </wp:positionH>
                <wp:positionV relativeFrom="paragraph">
                  <wp:posOffset>219094</wp:posOffset>
                </wp:positionV>
                <wp:extent cx="968721" cy="280035"/>
                <wp:effectExtent l="0" t="0" r="3175" b="5715"/>
                <wp:wrapNone/>
                <wp:docPr id="1087312215" name="Zone de texte 27"/>
                <wp:cNvGraphicFramePr/>
                <a:graphic xmlns:a="http://schemas.openxmlformats.org/drawingml/2006/main">
                  <a:graphicData uri="http://schemas.microsoft.com/office/word/2010/wordprocessingShape">
                    <wps:wsp>
                      <wps:cNvSpPr txBox="1"/>
                      <wps:spPr>
                        <a:xfrm>
                          <a:off x="0" y="0"/>
                          <a:ext cx="968721" cy="280035"/>
                        </a:xfrm>
                        <a:prstGeom prst="rect">
                          <a:avLst/>
                        </a:prstGeom>
                        <a:solidFill>
                          <a:sysClr val="window" lastClr="FFFFFF"/>
                        </a:solidFill>
                        <a:ln w="6350">
                          <a:noFill/>
                        </a:ln>
                      </wps:spPr>
                      <wps:txbx>
                        <w:txbxContent>
                          <w:p w14:paraId="5FD10862" w14:textId="77777777" w:rsidR="00647133" w:rsidRPr="00003FF2" w:rsidRDefault="00647133" w:rsidP="00647133">
                            <w:pPr>
                              <w:rPr>
                                <w:rFonts w:asciiTheme="minorBidi" w:hAnsiTheme="minorBidi"/>
                                <w:b/>
                                <w:bCs/>
                                <w:sz w:val="18"/>
                                <w:szCs w:val="18"/>
                              </w:rPr>
                            </w:pPr>
                            <w:r w:rsidRPr="00003FF2">
                              <w:rPr>
                                <w:rFonts w:asciiTheme="minorBidi" w:hAnsiTheme="minorBidi"/>
                                <w:b/>
                                <w:bCs/>
                                <w:sz w:val="18"/>
                                <w:szCs w:val="18"/>
                              </w:rPr>
                              <w:t>Event rate (%)</w:t>
                            </w:r>
                          </w:p>
                          <w:p w14:paraId="713B7B07" w14:textId="77777777" w:rsidR="00647133" w:rsidRPr="00003FF2" w:rsidRDefault="00647133" w:rsidP="00647133">
                            <w:pPr>
                              <w:rPr>
                                <w:rFonts w:asciiTheme="minorBidi" w:hAnsiTheme="minorBid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479480" id="_x0000_s1034" type="#_x0000_t202" style="position:absolute;margin-left:322.65pt;margin-top:17.25pt;width:76.3pt;height:22.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JK7OQIAAGsEAAAOAAAAZHJzL2Uyb0RvYy54bWysVN9v2jAQfp+0/8Hy+0igQGlEqBgV0yTU&#10;VqJTn43jEEuOz7MNCfvrd3YCpd2epvFg7nzn+/F9d5nft7UiR2GdBJ3T4SClRGgOhdT7nP54WX+Z&#10;UeI80wVToEVOT8LR+8XnT/PGZGIEFahCWIJBtMsak9PKe5MlieOVqJkbgBEajSXYmnlU7T4pLGsw&#10;eq2SUZpOkwZsYSxw4RzePnRGuojxy1Jw/1SWTniicoq1+XjaeO7CmSzmLNtbZirJ+zLYP1RRM6kx&#10;6SXUA/OMHKz8I1QtuQUHpR9wqBMoS8lF7AG7GaYfutlWzIjYC4LjzAUm9//C8sfj1jxb4tuv0CKB&#10;AZDGuMzhZeinLW0d/rFSgnaE8HSBTbSecLy8m85uR0NKOJpGszS9mYQoydtjY53/JqAmQcipRVYi&#10;WOy4cb5zPbuEXA6ULNZSqaic3EpZcmRIIPJeQEOJYs7jZU7X8ddne/dMadLkdHozSWMmDSFel0pp&#10;LO6txyD5dtcSWeR0du5/B8UJYbHQTYwzfC2x+A1mfmYWRwSRwLH3T3iUCjAX9BIlFdhff7sP/sgc&#10;WilpcORy6n4emBXY0HeNnN4Nx+Mwo1EZT25HqNhry+7aog/1ChAUBB6ri2Lw9+oslhbqV9yOZciK&#10;JqY55s6pP4sr3y0CbhcXy2V0wqk0zG/01vAQOjAQqHlpX5k1PX8eiX+E83Cy7AONnW94qWF58FDK&#10;yHHAuUO1hx8nOk5Jv31hZa716PX2jVj8BgAA//8DAFBLAwQUAAYACAAAACEATR2WlOIAAAAJAQAA&#10;DwAAAGRycy9kb3ducmV2LnhtbEyPwU7DMAyG70i8Q2QkbiyFbd1Wmk4IgWAS1aAgcc0a0xYap2qy&#10;tezpMSe42fKn39+frkfbigP2vnGk4HISgUAqnWmoUvD2en+xBOGDJqNbR6jgGz2ss9OTVCfGDfSC&#10;hyJUgkPIJ1pBHUKXSOnLGq32E9ch8e3D9VYHXvtKml4PHG5beRVFsbS6If5Q6w5vayy/ir1V8D4U&#10;D/12s/l87h7z4/ZY5E94lyt1fjbeXIMIOIY/GH71WR0ydtq5PRkvWgXxbD5lVMF0NgfBwGK1WIHY&#10;8bCMQWap/N8g+wEAAP//AwBQSwECLQAUAAYACAAAACEAtoM4kv4AAADhAQAAEwAAAAAAAAAAAAAA&#10;AAAAAAAAW0NvbnRlbnRfVHlwZXNdLnhtbFBLAQItABQABgAIAAAAIQA4/SH/1gAAAJQBAAALAAAA&#10;AAAAAAAAAAAAAC8BAABfcmVscy8ucmVsc1BLAQItABQABgAIAAAAIQBkaJK7OQIAAGsEAAAOAAAA&#10;AAAAAAAAAAAAAC4CAABkcnMvZTJvRG9jLnhtbFBLAQItABQABgAIAAAAIQBNHZaU4gAAAAkBAAAP&#10;AAAAAAAAAAAAAAAAAJMEAABkcnMvZG93bnJldi54bWxQSwUGAAAAAAQABADzAAAAogUAAAAA&#10;" fillcolor="window" stroked="f" strokeweight=".5pt">
                <v:textbox>
                  <w:txbxContent>
                    <w:p w14:paraId="5FD10862" w14:textId="77777777" w:rsidR="00647133" w:rsidRPr="00003FF2" w:rsidRDefault="00647133" w:rsidP="00647133">
                      <w:pPr>
                        <w:rPr>
                          <w:rFonts w:asciiTheme="minorBidi" w:hAnsiTheme="minorBidi"/>
                          <w:b/>
                          <w:bCs/>
                          <w:sz w:val="18"/>
                          <w:szCs w:val="18"/>
                        </w:rPr>
                      </w:pPr>
                      <w:r w:rsidRPr="00003FF2">
                        <w:rPr>
                          <w:rFonts w:asciiTheme="minorBidi" w:hAnsiTheme="minorBidi"/>
                          <w:b/>
                          <w:bCs/>
                          <w:sz w:val="18"/>
                          <w:szCs w:val="18"/>
                        </w:rPr>
                        <w:t>Event rate (%)</w:t>
                      </w:r>
                    </w:p>
                    <w:p w14:paraId="713B7B07" w14:textId="77777777" w:rsidR="00647133" w:rsidRPr="00003FF2" w:rsidRDefault="00647133" w:rsidP="00647133">
                      <w:pPr>
                        <w:rPr>
                          <w:rFonts w:asciiTheme="minorBidi" w:hAnsiTheme="minorBidi"/>
                          <w:b/>
                          <w:bCs/>
                          <w:sz w:val="18"/>
                          <w:szCs w:val="18"/>
                        </w:rPr>
                      </w:pPr>
                    </w:p>
                  </w:txbxContent>
                </v:textbox>
              </v:shape>
            </w:pict>
          </mc:Fallback>
        </mc:AlternateContent>
      </w:r>
      <w:r w:rsidRPr="00EC56E4">
        <w:rPr>
          <w:noProof/>
        </w:rPr>
        <mc:AlternateContent>
          <mc:Choice Requires="wps">
            <w:drawing>
              <wp:anchor distT="0" distB="0" distL="114300" distR="114300" simplePos="0" relativeHeight="251675648" behindDoc="0" locked="0" layoutInCell="1" allowOverlap="1" wp14:anchorId="6F7B6F08" wp14:editId="3501ED0F">
                <wp:simplePos x="0" y="0"/>
                <wp:positionH relativeFrom="column">
                  <wp:posOffset>2730500</wp:posOffset>
                </wp:positionH>
                <wp:positionV relativeFrom="paragraph">
                  <wp:posOffset>218925</wp:posOffset>
                </wp:positionV>
                <wp:extent cx="1447248" cy="280035"/>
                <wp:effectExtent l="0" t="0" r="635" b="5715"/>
                <wp:wrapNone/>
                <wp:docPr id="287994816" name="Zone de texte 26"/>
                <wp:cNvGraphicFramePr/>
                <a:graphic xmlns:a="http://schemas.openxmlformats.org/drawingml/2006/main">
                  <a:graphicData uri="http://schemas.microsoft.com/office/word/2010/wordprocessingShape">
                    <wps:wsp>
                      <wps:cNvSpPr txBox="1"/>
                      <wps:spPr>
                        <a:xfrm>
                          <a:off x="0" y="0"/>
                          <a:ext cx="1447248" cy="280035"/>
                        </a:xfrm>
                        <a:prstGeom prst="rect">
                          <a:avLst/>
                        </a:prstGeom>
                        <a:solidFill>
                          <a:sysClr val="window" lastClr="FFFFFF"/>
                        </a:solidFill>
                        <a:ln w="6350">
                          <a:noFill/>
                        </a:ln>
                      </wps:spPr>
                      <wps:txbx>
                        <w:txbxContent>
                          <w:p w14:paraId="6E26568B" w14:textId="77777777" w:rsidR="00647133" w:rsidRPr="00003FF2" w:rsidRDefault="00647133" w:rsidP="00647133">
                            <w:pPr>
                              <w:jc w:val="center"/>
                              <w:rPr>
                                <w:rFonts w:asciiTheme="minorBidi" w:hAnsiTheme="minorBidi"/>
                                <w:b/>
                                <w:bCs/>
                                <w:sz w:val="18"/>
                                <w:szCs w:val="18"/>
                              </w:rPr>
                            </w:pPr>
                            <w:r w:rsidRPr="00003FF2">
                              <w:rPr>
                                <w:rFonts w:asciiTheme="minorBidi" w:hAnsiTheme="minorBidi"/>
                                <w:b/>
                                <w:bCs/>
                                <w:sz w:val="18"/>
                                <w:szCs w:val="18"/>
                              </w:rPr>
                              <w:t>Case fatality rate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B6F08" id="_x0000_s1035" type="#_x0000_t202" style="position:absolute;margin-left:215pt;margin-top:17.25pt;width:113.95pt;height:22.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vENOQIAAGwEAAAOAAAAZHJzL2Uyb0RvYy54bWysVEtv2zAMvg/YfxB0X+ykSR9GnCJLkWFA&#10;0RZIh54VWUoEyKImKbGzXz9Kdh7tdhqWg0KKFB/fR3p639aa7IXzCkxJh4OcEmE4VMpsSvrjdfnl&#10;lhIfmKmYBiNKehCe3s8+f5o2thAj2IKuhCMYxPiisSXdhmCLLPN8K2rmB2CFQaMEV7OAqttklWMN&#10;Rq91Nsrz66wBV1kHXHiPtw+dkc5SfCkFD89SehGILinWFtLp0rmOZzabsmLjmN0q3pfB/qGKmimD&#10;SU+hHlhgZOfUH6FqxR14kGHAoc5ASsVF6gG7GeYfulltmRWpFwTH2xNM/v+F5U/7lX1xJLRfoUUC&#10;IyCN9YXHy9hPK10d/7FSgnaE8HCCTbSB8PhoPL4ZjZFojrbRbZ5fTWKY7PzaOh++CahJFErqkJaE&#10;Fts/+tC5Hl1iMg9aVUuldVIOfqEd2TNkEImvoKFEMx/wsqTL9OuzvXumDWlKen01yVMmAzFel0ob&#10;LO7cZJRCu26Jqkp6dwRgDdUBcXHQjYy3fKmw+EfM/MIczghCgXMfnvGQGjAX9BIlW3C//nYf/ZE6&#10;tFLS4MyV1P/cMSewoe8GSb1DJOOQJmU8uRmh4i4t60uL2dULQFCGuGGWJzH6B30UpYP6DddjHrOi&#10;iRmOuUsajuIidJuA68XFfJ6ccCwtC49mZXkMHRmI1Ly2b8zZnr+AzD/BcTpZ8YHGzje+NDDfBZAq&#10;cRxx7lDt4ceRTlPSr1/cmUs9eZ0/ErPfAAAA//8DAFBLAwQUAAYACAAAACEAXUCeGeIAAAAJAQAA&#10;DwAAAGRycy9kb3ducmV2LnhtbEyPQUvDQBSE74L/YXmCN7vRtmmNeSkiihYM1Sh43WafSTT7NmS3&#10;Tdpf73rS4zDDzDfpajSt2FPvGssIl5MIBHFpdcMVwvvbw8UShPOKtWotE8KBHKyy05NUJdoO/Er7&#10;wlcilLBLFELtfZdI6cqajHIT2xEH79P2Rvkg+0rqXg2h3LTyKopiaVTDYaFWHd3VVH4XO4PwMRSP&#10;/Wa9/nrpnvLj5ljkz3SfI56fjbc3IDyN/i8Mv/gBHbLAtLU71k60CLNpFL54hOlsDiIE4vniGsQW&#10;YbGMQWap/P8g+wEAAP//AwBQSwECLQAUAAYACAAAACEAtoM4kv4AAADhAQAAEwAAAAAAAAAAAAAA&#10;AAAAAAAAW0NvbnRlbnRfVHlwZXNdLnhtbFBLAQItABQABgAIAAAAIQA4/SH/1gAAAJQBAAALAAAA&#10;AAAAAAAAAAAAAC8BAABfcmVscy8ucmVsc1BLAQItABQABgAIAAAAIQCWtvENOQIAAGwEAAAOAAAA&#10;AAAAAAAAAAAAAC4CAABkcnMvZTJvRG9jLnhtbFBLAQItABQABgAIAAAAIQBdQJ4Z4gAAAAkBAAAP&#10;AAAAAAAAAAAAAAAAAJMEAABkcnMvZG93bnJldi54bWxQSwUGAAAAAAQABADzAAAAogUAAAAA&#10;" fillcolor="window" stroked="f" strokeweight=".5pt">
                <v:textbox>
                  <w:txbxContent>
                    <w:p w14:paraId="6E26568B" w14:textId="77777777" w:rsidR="00647133" w:rsidRPr="00003FF2" w:rsidRDefault="00647133" w:rsidP="00647133">
                      <w:pPr>
                        <w:jc w:val="center"/>
                        <w:rPr>
                          <w:rFonts w:asciiTheme="minorBidi" w:hAnsiTheme="minorBidi"/>
                          <w:b/>
                          <w:bCs/>
                          <w:sz w:val="18"/>
                          <w:szCs w:val="18"/>
                        </w:rPr>
                      </w:pPr>
                      <w:r w:rsidRPr="00003FF2">
                        <w:rPr>
                          <w:rFonts w:asciiTheme="minorBidi" w:hAnsiTheme="minorBidi"/>
                          <w:b/>
                          <w:bCs/>
                          <w:sz w:val="18"/>
                          <w:szCs w:val="18"/>
                        </w:rPr>
                        <w:t>Case fatality rate (%)</w:t>
                      </w:r>
                    </w:p>
                  </w:txbxContent>
                </v:textbox>
              </v:shape>
            </w:pict>
          </mc:Fallback>
        </mc:AlternateContent>
      </w:r>
      <w:r w:rsidR="00A90D5A">
        <w:rPr>
          <w:rFonts w:ascii="Gill Sans MT" w:hAnsi="Gill Sans MT"/>
          <w:b/>
          <w:bCs/>
          <w:sz w:val="24"/>
          <w:szCs w:val="24"/>
          <w:u w:val="single"/>
        </w:rPr>
        <w:t>Mpox c</w:t>
      </w:r>
      <w:r w:rsidR="005E3B79" w:rsidRPr="005E3B79">
        <w:rPr>
          <w:rFonts w:ascii="Gill Sans MT" w:hAnsi="Gill Sans MT"/>
          <w:b/>
          <w:bCs/>
          <w:sz w:val="24"/>
          <w:szCs w:val="24"/>
          <w:u w:val="single"/>
        </w:rPr>
        <w:t>lade stratification</w:t>
      </w:r>
    </w:p>
    <w:p w14:paraId="63FEA872" w14:textId="756F64C8" w:rsidR="0048550F" w:rsidRDefault="005E3B79" w:rsidP="0048550F">
      <w:r>
        <w:rPr>
          <w:noProof/>
        </w:rPr>
        <w:drawing>
          <wp:inline distT="0" distB="0" distL="0" distR="0" wp14:anchorId="1727CFBE" wp14:editId="0379B2FC">
            <wp:extent cx="5531157" cy="8030424"/>
            <wp:effectExtent l="0" t="0" r="0" b="8890"/>
            <wp:docPr id="144208236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852" b="877"/>
                    <a:stretch>
                      <a:fillRect/>
                    </a:stretch>
                  </pic:blipFill>
                  <pic:spPr bwMode="auto">
                    <a:xfrm>
                      <a:off x="0" y="0"/>
                      <a:ext cx="5544861" cy="8050320"/>
                    </a:xfrm>
                    <a:prstGeom prst="rect">
                      <a:avLst/>
                    </a:prstGeom>
                    <a:noFill/>
                    <a:ln>
                      <a:noFill/>
                    </a:ln>
                    <a:extLst>
                      <a:ext uri="{53640926-AAD7-44D8-BBD7-CCE9431645EC}">
                        <a14:shadowObscured xmlns:a14="http://schemas.microsoft.com/office/drawing/2010/main"/>
                      </a:ext>
                    </a:extLst>
                  </pic:spPr>
                </pic:pic>
              </a:graphicData>
            </a:graphic>
          </wp:inline>
        </w:drawing>
      </w:r>
    </w:p>
    <w:p w14:paraId="05FC87E4" w14:textId="0685E800" w:rsidR="00CB77CE" w:rsidRPr="00CB77CE" w:rsidRDefault="00CB77CE" w:rsidP="00CB77CE">
      <w:pPr>
        <w:pStyle w:val="Lgende"/>
      </w:pPr>
      <w:r w:rsidRPr="00CB77CE">
        <w:rPr>
          <w:b/>
          <w:bCs/>
        </w:rPr>
        <w:t xml:space="preserve">Supplementary Fig. </w:t>
      </w:r>
      <w:r w:rsidRPr="00CB77CE">
        <w:rPr>
          <w:b/>
          <w:bCs/>
        </w:rPr>
        <w:fldChar w:fldCharType="begin"/>
      </w:r>
      <w:r w:rsidRPr="00CB77CE">
        <w:rPr>
          <w:b/>
          <w:bCs/>
        </w:rPr>
        <w:instrText xml:space="preserve"> SEQ Supplementary_Fig. \* ARABIC </w:instrText>
      </w:r>
      <w:r w:rsidRPr="00CB77CE">
        <w:rPr>
          <w:b/>
          <w:bCs/>
        </w:rPr>
        <w:fldChar w:fldCharType="separate"/>
      </w:r>
      <w:r w:rsidRPr="00CB77CE">
        <w:rPr>
          <w:b/>
          <w:bCs/>
          <w:noProof/>
        </w:rPr>
        <w:t>5</w:t>
      </w:r>
      <w:r w:rsidRPr="00CB77CE">
        <w:rPr>
          <w:b/>
          <w:bCs/>
        </w:rPr>
        <w:fldChar w:fldCharType="end"/>
      </w:r>
      <w:r w:rsidRPr="00CB77CE">
        <w:t xml:space="preserve"> </w:t>
      </w:r>
      <w:r w:rsidR="00712844" w:rsidRPr="00712844">
        <w:t>Case fatality rate among confirmed mpox case in Africa</w:t>
      </w:r>
      <w:r w:rsidRPr="00CB77CE">
        <w:t xml:space="preserve"> by </w:t>
      </w:r>
      <w:r w:rsidR="00756D26">
        <w:t>clade</w:t>
      </w:r>
    </w:p>
    <w:p w14:paraId="45A370AE" w14:textId="7A9DCB8E" w:rsidR="0048550F" w:rsidRPr="007A05DF" w:rsidRDefault="007A05DF" w:rsidP="007A05DF">
      <w:pPr>
        <w:pStyle w:val="Bibliographie"/>
        <w:rPr>
          <w:rFonts w:ascii="Gill Sans MT" w:hAnsi="Gill Sans MT"/>
          <w:b/>
          <w:bCs/>
          <w:sz w:val="24"/>
          <w:szCs w:val="24"/>
          <w:u w:val="single"/>
        </w:rPr>
      </w:pPr>
      <w:r w:rsidRPr="00EC56E4">
        <w:rPr>
          <w:noProof/>
        </w:rPr>
        <w:lastRenderedPageBreak/>
        <mc:AlternateContent>
          <mc:Choice Requires="wps">
            <w:drawing>
              <wp:anchor distT="0" distB="0" distL="114300" distR="114300" simplePos="0" relativeHeight="251681792" behindDoc="0" locked="0" layoutInCell="1" allowOverlap="1" wp14:anchorId="440D141F" wp14:editId="28740D6E">
                <wp:simplePos x="0" y="0"/>
                <wp:positionH relativeFrom="column">
                  <wp:posOffset>4107099</wp:posOffset>
                </wp:positionH>
                <wp:positionV relativeFrom="paragraph">
                  <wp:posOffset>246832</wp:posOffset>
                </wp:positionV>
                <wp:extent cx="968721" cy="280035"/>
                <wp:effectExtent l="0" t="0" r="3175" b="5715"/>
                <wp:wrapNone/>
                <wp:docPr id="388965951" name="Zone de texte 27"/>
                <wp:cNvGraphicFramePr/>
                <a:graphic xmlns:a="http://schemas.openxmlformats.org/drawingml/2006/main">
                  <a:graphicData uri="http://schemas.microsoft.com/office/word/2010/wordprocessingShape">
                    <wps:wsp>
                      <wps:cNvSpPr txBox="1"/>
                      <wps:spPr>
                        <a:xfrm>
                          <a:off x="0" y="0"/>
                          <a:ext cx="968721" cy="280035"/>
                        </a:xfrm>
                        <a:prstGeom prst="rect">
                          <a:avLst/>
                        </a:prstGeom>
                        <a:solidFill>
                          <a:sysClr val="window" lastClr="FFFFFF"/>
                        </a:solidFill>
                        <a:ln w="6350">
                          <a:noFill/>
                        </a:ln>
                      </wps:spPr>
                      <wps:txbx>
                        <w:txbxContent>
                          <w:p w14:paraId="35A6C613" w14:textId="77777777" w:rsidR="007A05DF" w:rsidRPr="00003FF2" w:rsidRDefault="007A05DF" w:rsidP="007A05DF">
                            <w:pPr>
                              <w:rPr>
                                <w:rFonts w:asciiTheme="minorBidi" w:hAnsiTheme="minorBidi"/>
                                <w:b/>
                                <w:bCs/>
                                <w:sz w:val="18"/>
                                <w:szCs w:val="18"/>
                              </w:rPr>
                            </w:pPr>
                            <w:r w:rsidRPr="00003FF2">
                              <w:rPr>
                                <w:rFonts w:asciiTheme="minorBidi" w:hAnsiTheme="minorBidi"/>
                                <w:b/>
                                <w:bCs/>
                                <w:sz w:val="18"/>
                                <w:szCs w:val="18"/>
                              </w:rPr>
                              <w:t>Event rate (%)</w:t>
                            </w:r>
                          </w:p>
                          <w:p w14:paraId="5A0990C8" w14:textId="77777777" w:rsidR="007A05DF" w:rsidRPr="00003FF2" w:rsidRDefault="007A05DF" w:rsidP="007A05DF">
                            <w:pPr>
                              <w:rPr>
                                <w:rFonts w:asciiTheme="minorBidi" w:hAnsiTheme="minorBid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0D141F" id="_x0000_s1036" type="#_x0000_t202" style="position:absolute;margin-left:323.4pt;margin-top:19.45pt;width:76.3pt;height:22.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pzDOQIAAGwEAAAOAAAAZHJzL2Uyb0RvYy54bWysVN1v2jAQf5+0/8Hy+0igQGlEqBgV06Sq&#10;rUSnPhvHJpEcn2cbEvbX7+yEj3Z7msaDOd+d7+P3u8v8vq0VOQjrKtA5HQ5SSoTmUFR6l9Mfr+sv&#10;M0qcZ7pgCrTI6VE4er/4/GnemEyMoARVCEswiHZZY3Jaem+yJHG8FDVzAzBCo1GCrZnHq90lhWUN&#10;Rq9VMkrTadKALYwFLpxD7UNnpIsYX0rB/bOUTniicoq1+XjaeG7DmSzmLNtZZsqK92Wwf6iiZpXG&#10;pOdQD8wzsrfVH6HqiltwIP2AQ52AlBUXsQfsZph+6GZTMiNiLwiOM2eY3P8Ly58OG/NiiW+/QosE&#10;BkAa4zKHytBPK20d/rFSgnaE8HiGTbSecFTeTWe3oyElHE2jWZreTEKU5PLYWOe/CahJEHJqkZUI&#10;Fjs8Ot+5nlxCLgeqKtaVUvFydCtlyYEhgch7AQ0lijmPypyu46/P9u6Z0qTJ6fRmksZMGkK8LpXS&#10;WNylxyD5dtuSqsD+40QE1RaKI+JioRsZZ/i6wuofMfULszgjCAXOvX/GQyrAZNBLlJRgf/1NH/yR&#10;OrRS0uDM5dT93DMrsKPvGkm9G47HYUjjZTy5HeHFXlu21xa9r1eAqCDyWF0Ug79XJ1FaqN9wPZYh&#10;K5qY5pg7p/4krny3CbheXCyX0QnH0jD/qDeGh9CBgsDNa/vGrOkJ9Mj8E5ymk2UfeOx8w0sNy70H&#10;WUWSL6j2+ONIxzHp1y/szPU9el0+EovfAAAA//8DAFBLAwQUAAYACAAAACEAOqP3g+IAAAAJAQAA&#10;DwAAAGRycy9kb3ducmV2LnhtbEyPQUvDQBSE74L/YXmCN7vRlpjEvBQRRQsNbaPgdZt9JtHsbtjd&#10;NrG/3vWkx2GGmW/y5aR6diTrOqMRrmcRMNK1kZ1uEN5en64SYM4LLUVvNCF8k4NlcX6Wi0yaUe/o&#10;WPmGhRLtMoHQej9knLu6JSXczAykg/dhrBI+SNtwacUYylXPb6Io5kp0Oiy0YqCHluqv6qAQ3sfq&#10;2W5Wq8/t8FKeNqeqXNNjiXh5Md3fAfM0+b8w/OIHdCgC094ctHSsR4gXcUD3CPMkBRYCt2m6ALZH&#10;SOYR8CLn/x8UPwAAAP//AwBQSwECLQAUAAYACAAAACEAtoM4kv4AAADhAQAAEwAAAAAAAAAAAAAA&#10;AAAAAAAAW0NvbnRlbnRfVHlwZXNdLnhtbFBLAQItABQABgAIAAAAIQA4/SH/1gAAAJQBAAALAAAA&#10;AAAAAAAAAAAAAC8BAABfcmVscy8ucmVsc1BLAQItABQABgAIAAAAIQCOMpzDOQIAAGwEAAAOAAAA&#10;AAAAAAAAAAAAAC4CAABkcnMvZTJvRG9jLnhtbFBLAQItABQABgAIAAAAIQA6o/eD4gAAAAkBAAAP&#10;AAAAAAAAAAAAAAAAAJMEAABkcnMvZG93bnJldi54bWxQSwUGAAAAAAQABADzAAAAogUAAAAA&#10;" fillcolor="window" stroked="f" strokeweight=".5pt">
                <v:textbox>
                  <w:txbxContent>
                    <w:p w14:paraId="35A6C613" w14:textId="77777777" w:rsidR="007A05DF" w:rsidRPr="00003FF2" w:rsidRDefault="007A05DF" w:rsidP="007A05DF">
                      <w:pPr>
                        <w:rPr>
                          <w:rFonts w:asciiTheme="minorBidi" w:hAnsiTheme="minorBidi"/>
                          <w:b/>
                          <w:bCs/>
                          <w:sz w:val="18"/>
                          <w:szCs w:val="18"/>
                        </w:rPr>
                      </w:pPr>
                      <w:r w:rsidRPr="00003FF2">
                        <w:rPr>
                          <w:rFonts w:asciiTheme="minorBidi" w:hAnsiTheme="minorBidi"/>
                          <w:b/>
                          <w:bCs/>
                          <w:sz w:val="18"/>
                          <w:szCs w:val="18"/>
                        </w:rPr>
                        <w:t>Event rate (%)</w:t>
                      </w:r>
                    </w:p>
                    <w:p w14:paraId="5A0990C8" w14:textId="77777777" w:rsidR="007A05DF" w:rsidRPr="00003FF2" w:rsidRDefault="007A05DF" w:rsidP="007A05DF">
                      <w:pPr>
                        <w:rPr>
                          <w:rFonts w:asciiTheme="minorBidi" w:hAnsiTheme="minorBidi"/>
                          <w:b/>
                          <w:bCs/>
                          <w:sz w:val="18"/>
                          <w:szCs w:val="18"/>
                        </w:rPr>
                      </w:pPr>
                    </w:p>
                  </w:txbxContent>
                </v:textbox>
              </v:shape>
            </w:pict>
          </mc:Fallback>
        </mc:AlternateContent>
      </w:r>
      <w:r w:rsidRPr="00EC56E4">
        <w:rPr>
          <w:noProof/>
        </w:rPr>
        <mc:AlternateContent>
          <mc:Choice Requires="wps">
            <w:drawing>
              <wp:anchor distT="0" distB="0" distL="114300" distR="114300" simplePos="0" relativeHeight="251679744" behindDoc="0" locked="0" layoutInCell="1" allowOverlap="1" wp14:anchorId="7404AC9C" wp14:editId="2221121A">
                <wp:simplePos x="0" y="0"/>
                <wp:positionH relativeFrom="column">
                  <wp:posOffset>2749078</wp:posOffset>
                </wp:positionH>
                <wp:positionV relativeFrom="paragraph">
                  <wp:posOffset>246832</wp:posOffset>
                </wp:positionV>
                <wp:extent cx="1447248" cy="280035"/>
                <wp:effectExtent l="0" t="0" r="635" b="5715"/>
                <wp:wrapNone/>
                <wp:docPr id="623574915" name="Zone de texte 26"/>
                <wp:cNvGraphicFramePr/>
                <a:graphic xmlns:a="http://schemas.openxmlformats.org/drawingml/2006/main">
                  <a:graphicData uri="http://schemas.microsoft.com/office/word/2010/wordprocessingShape">
                    <wps:wsp>
                      <wps:cNvSpPr txBox="1"/>
                      <wps:spPr>
                        <a:xfrm>
                          <a:off x="0" y="0"/>
                          <a:ext cx="1447248" cy="280035"/>
                        </a:xfrm>
                        <a:prstGeom prst="rect">
                          <a:avLst/>
                        </a:prstGeom>
                        <a:solidFill>
                          <a:sysClr val="window" lastClr="FFFFFF"/>
                        </a:solidFill>
                        <a:ln w="6350">
                          <a:noFill/>
                        </a:ln>
                      </wps:spPr>
                      <wps:txbx>
                        <w:txbxContent>
                          <w:p w14:paraId="2B36219A" w14:textId="77777777" w:rsidR="007A05DF" w:rsidRPr="00003FF2" w:rsidRDefault="007A05DF" w:rsidP="007A05DF">
                            <w:pPr>
                              <w:jc w:val="center"/>
                              <w:rPr>
                                <w:rFonts w:asciiTheme="minorBidi" w:hAnsiTheme="minorBidi"/>
                                <w:b/>
                                <w:bCs/>
                                <w:sz w:val="18"/>
                                <w:szCs w:val="18"/>
                              </w:rPr>
                            </w:pPr>
                            <w:r w:rsidRPr="00003FF2">
                              <w:rPr>
                                <w:rFonts w:asciiTheme="minorBidi" w:hAnsiTheme="minorBidi"/>
                                <w:b/>
                                <w:bCs/>
                                <w:sz w:val="18"/>
                                <w:szCs w:val="18"/>
                              </w:rPr>
                              <w:t>Case fatality rate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04AC9C" id="_x0000_s1037" type="#_x0000_t202" style="position:absolute;margin-left:216.45pt;margin-top:19.45pt;width:113.95pt;height:22.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7mFOAIAAG0EAAAOAAAAZHJzL2Uyb0RvYy54bWysVEtv2zAMvg/YfxB0X+ykSdsZcYosRYYB&#10;QVsgHXpWZCkWIIuapMTOfv0oOa91Ow3LQSFFio/vIz196BpN9sJ5Baakw0FOiTAcKmW2Jf3+uvx0&#10;T4kPzFRMgxElPQhPH2YfP0xbW4gR1KAr4QgGMb5obUnrEGyRZZ7XomF+AFYYNEpwDQuoum1WOdZi&#10;9EZnozy/zVpwlXXAhfd4+9gb6SzFl1Lw8CylF4HokmJtIZ0unZt4ZrMpK7aO2VrxYxnsH6pomDKY&#10;9BzqkQVGdk79EapR3IEHGQYcmgykVFykHrCbYf6um3XNrEi9IDjenmHy/y8sf9qv7YsjofsCHRIY&#10;AWmtLzxexn466Zr4j5UStCOEhzNsoguEx0fj8d1ojERztI3u8/xmEsNkl9fW+fBVQEOiUFKHtCS0&#10;2H7lQ+96conJPGhVLZXWSTn4hXZkz5BBJL6ClhLNfMDLki7T75jtt2fakLaktzeTPGUyEOP1qbTB&#10;4i5NRil0m46oCns5I7CB6oDAOOhnxlu+VFj9ClO/MIdDgljg4IdnPKQGTAZHiZIa3M+/3Ud/5A6t&#10;lLQ4dCX1P3bMCezom0FWPyOUcUqTMp7cjVBx15bNtcXsmgUgKkNcMcuTGP2DPonSQfOG+zGPWdHE&#10;DMfcJQ0ncRH6VcD94mI+T044l5aFlVlbHkNHCiI3r90bc/ZIYEDqn+A0nqx4x2PvG18amO8CSJVI&#10;jkD3qB7xx5lOY3Lcv7g013ryunwlZr8AAAD//wMAUEsDBBQABgAIAAAAIQD0Zejz4QAAAAkBAAAP&#10;AAAAZHJzL2Rvd25yZXYueG1sTI/BSsQwEIbvgu8QRvDmJm6l1Np0EVF0wbJaBa/ZZmyrTVKS7Lbu&#10;0+940tMwzMc/31+sZjOwPfrQOyvhciGAoW2c7m0r4f3t4SIDFqKyWg3OooQfDLAqT08KlWs32Vfc&#10;17FlFGJDriR0MY4556Hp0KiwcCNaun06b1Sk1bdcezVRuBn4UoiUG9Vb+tCpEe86bL7rnZHwMdWP&#10;frNef72MT9Vhc6irZ7yvpDw/m29vgEWc4x8Mv/qkDiU5bd3O6sAGCVfJ8ppQCUlGk4A0FdRlKyFL&#10;BPCy4P8blEcAAAD//wMAUEsBAi0AFAAGAAgAAAAhALaDOJL+AAAA4QEAABMAAAAAAAAAAAAAAAAA&#10;AAAAAFtDb250ZW50X1R5cGVzXS54bWxQSwECLQAUAAYACAAAACEAOP0h/9YAAACUAQAACwAAAAAA&#10;AAAAAAAAAAAvAQAAX3JlbHMvLnJlbHNQSwECLQAUAAYACAAAACEAAFO5hTgCAABtBAAADgAAAAAA&#10;AAAAAAAAAAAuAgAAZHJzL2Uyb0RvYy54bWxQSwECLQAUAAYACAAAACEA9GXo8+EAAAAJAQAADwAA&#10;AAAAAAAAAAAAAACSBAAAZHJzL2Rvd25yZXYueG1sUEsFBgAAAAAEAAQA8wAAAKAFAAAAAA==&#10;" fillcolor="window" stroked="f" strokeweight=".5pt">
                <v:textbox>
                  <w:txbxContent>
                    <w:p w14:paraId="2B36219A" w14:textId="77777777" w:rsidR="007A05DF" w:rsidRPr="00003FF2" w:rsidRDefault="007A05DF" w:rsidP="007A05DF">
                      <w:pPr>
                        <w:jc w:val="center"/>
                        <w:rPr>
                          <w:rFonts w:asciiTheme="minorBidi" w:hAnsiTheme="minorBidi"/>
                          <w:b/>
                          <w:bCs/>
                          <w:sz w:val="18"/>
                          <w:szCs w:val="18"/>
                        </w:rPr>
                      </w:pPr>
                      <w:r w:rsidRPr="00003FF2">
                        <w:rPr>
                          <w:rFonts w:asciiTheme="minorBidi" w:hAnsiTheme="minorBidi"/>
                          <w:b/>
                          <w:bCs/>
                          <w:sz w:val="18"/>
                          <w:szCs w:val="18"/>
                        </w:rPr>
                        <w:t>Case fatality rate (%)</w:t>
                      </w:r>
                    </w:p>
                  </w:txbxContent>
                </v:textbox>
              </v:shape>
            </w:pict>
          </mc:Fallback>
        </mc:AlternateContent>
      </w:r>
      <w:r w:rsidRPr="007A05DF">
        <w:rPr>
          <w:rFonts w:ascii="Gill Sans MT" w:hAnsi="Gill Sans MT"/>
          <w:b/>
          <w:bCs/>
          <w:sz w:val="24"/>
          <w:szCs w:val="24"/>
          <w:u w:val="single"/>
        </w:rPr>
        <w:t>WHO Afro region</w:t>
      </w:r>
    </w:p>
    <w:p w14:paraId="24C5E005" w14:textId="40904B19" w:rsidR="0048550F" w:rsidRDefault="007A05DF" w:rsidP="0048550F">
      <w:r>
        <w:rPr>
          <w:noProof/>
        </w:rPr>
        <w:drawing>
          <wp:inline distT="0" distB="0" distL="0" distR="0" wp14:anchorId="609CAC44" wp14:editId="01CE3414">
            <wp:extent cx="5587365" cy="8039477"/>
            <wp:effectExtent l="0" t="0" r="0" b="0"/>
            <wp:docPr id="496255799"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5345" b="3691"/>
                    <a:stretch>
                      <a:fillRect/>
                    </a:stretch>
                  </pic:blipFill>
                  <pic:spPr bwMode="auto">
                    <a:xfrm>
                      <a:off x="0" y="0"/>
                      <a:ext cx="5588435" cy="8041017"/>
                    </a:xfrm>
                    <a:prstGeom prst="rect">
                      <a:avLst/>
                    </a:prstGeom>
                    <a:noFill/>
                    <a:ln>
                      <a:noFill/>
                    </a:ln>
                    <a:extLst>
                      <a:ext uri="{53640926-AAD7-44D8-BBD7-CCE9431645EC}">
                        <a14:shadowObscured xmlns:a14="http://schemas.microsoft.com/office/drawing/2010/main"/>
                      </a:ext>
                    </a:extLst>
                  </pic:spPr>
                </pic:pic>
              </a:graphicData>
            </a:graphic>
          </wp:inline>
        </w:drawing>
      </w:r>
    </w:p>
    <w:p w14:paraId="66ED6D46" w14:textId="6FEE46AC" w:rsidR="00AF3928" w:rsidRPr="00CB77CE" w:rsidRDefault="00AF3928" w:rsidP="00AF3928">
      <w:pPr>
        <w:pStyle w:val="Lgende"/>
      </w:pPr>
      <w:r w:rsidRPr="00CB77CE">
        <w:rPr>
          <w:b/>
          <w:bCs/>
        </w:rPr>
        <w:t xml:space="preserve">Supplementary Fig. </w:t>
      </w:r>
      <w:r w:rsidRPr="00CB77CE">
        <w:rPr>
          <w:b/>
          <w:bCs/>
        </w:rPr>
        <w:fldChar w:fldCharType="begin"/>
      </w:r>
      <w:r w:rsidRPr="00CB77CE">
        <w:rPr>
          <w:b/>
          <w:bCs/>
        </w:rPr>
        <w:instrText xml:space="preserve"> SEQ Supplementary_Fig. \* ARABIC </w:instrText>
      </w:r>
      <w:r w:rsidRPr="00CB77CE">
        <w:rPr>
          <w:b/>
          <w:bCs/>
        </w:rPr>
        <w:fldChar w:fldCharType="separate"/>
      </w:r>
      <w:r>
        <w:rPr>
          <w:b/>
          <w:bCs/>
          <w:noProof/>
        </w:rPr>
        <w:t>6</w:t>
      </w:r>
      <w:r w:rsidRPr="00CB77CE">
        <w:rPr>
          <w:b/>
          <w:bCs/>
        </w:rPr>
        <w:fldChar w:fldCharType="end"/>
      </w:r>
      <w:r w:rsidRPr="00CB77CE">
        <w:t xml:space="preserve"> </w:t>
      </w:r>
      <w:r w:rsidR="00712844" w:rsidRPr="00712844">
        <w:t xml:space="preserve">Case fatality rate among confirmed mpox case </w:t>
      </w:r>
      <w:r>
        <w:t>by WHO Afro region</w:t>
      </w:r>
    </w:p>
    <w:p w14:paraId="066A57A9" w14:textId="77777777" w:rsidR="0048550F" w:rsidRDefault="0048550F" w:rsidP="0048550F"/>
    <w:p w14:paraId="10C14384" w14:textId="13B741C3" w:rsidR="0048550F" w:rsidRPr="008210BE" w:rsidRDefault="008210BE" w:rsidP="008210BE">
      <w:pPr>
        <w:pStyle w:val="Bibliographie"/>
        <w:rPr>
          <w:rFonts w:ascii="Gill Sans MT" w:hAnsi="Gill Sans MT"/>
          <w:b/>
          <w:bCs/>
          <w:sz w:val="24"/>
          <w:szCs w:val="24"/>
          <w:u w:val="single"/>
        </w:rPr>
      </w:pPr>
      <w:r w:rsidRPr="008210BE">
        <w:rPr>
          <w:rFonts w:ascii="Gill Sans MT" w:hAnsi="Gill Sans MT"/>
          <w:b/>
          <w:bCs/>
          <w:sz w:val="24"/>
          <w:szCs w:val="24"/>
          <w:u w:val="single"/>
        </w:rPr>
        <w:t>Publication bias assessment</w:t>
      </w:r>
    </w:p>
    <w:p w14:paraId="1C40CD8C" w14:textId="78628A49" w:rsidR="0048550F" w:rsidRDefault="000D4764" w:rsidP="0048550F">
      <w:r>
        <w:rPr>
          <w:noProof/>
        </w:rPr>
        <mc:AlternateContent>
          <mc:Choice Requires="wps">
            <w:drawing>
              <wp:anchor distT="0" distB="0" distL="114300" distR="114300" simplePos="0" relativeHeight="251683840" behindDoc="0" locked="0" layoutInCell="1" allowOverlap="1" wp14:anchorId="1C020032" wp14:editId="54E708DF">
                <wp:simplePos x="0" y="0"/>
                <wp:positionH relativeFrom="column">
                  <wp:posOffset>4568121</wp:posOffset>
                </wp:positionH>
                <wp:positionV relativeFrom="paragraph">
                  <wp:posOffset>69649</wp:posOffset>
                </wp:positionV>
                <wp:extent cx="1550505" cy="405516"/>
                <wp:effectExtent l="0" t="0" r="0" b="0"/>
                <wp:wrapNone/>
                <wp:docPr id="2100459307" name="Zone de texte 16"/>
                <wp:cNvGraphicFramePr/>
                <a:graphic xmlns:a="http://schemas.openxmlformats.org/drawingml/2006/main">
                  <a:graphicData uri="http://schemas.microsoft.com/office/word/2010/wordprocessingShape">
                    <wps:wsp>
                      <wps:cNvSpPr txBox="1"/>
                      <wps:spPr>
                        <a:xfrm>
                          <a:off x="0" y="0"/>
                          <a:ext cx="1550505" cy="405516"/>
                        </a:xfrm>
                        <a:prstGeom prst="rect">
                          <a:avLst/>
                        </a:prstGeom>
                        <a:noFill/>
                        <a:ln w="6350">
                          <a:noFill/>
                        </a:ln>
                      </wps:spPr>
                      <wps:txbx>
                        <w:txbxContent>
                          <w:p w14:paraId="2A13B9C0" w14:textId="7F4A56FA" w:rsidR="000D4764" w:rsidRPr="005806CF" w:rsidRDefault="000D4764" w:rsidP="00794DA9">
                            <w:pPr>
                              <w:spacing w:after="0" w:line="240" w:lineRule="auto"/>
                              <w:rPr>
                                <w:sz w:val="16"/>
                                <w:szCs w:val="16"/>
                              </w:rPr>
                            </w:pPr>
                            <w:r w:rsidRPr="00EC7872">
                              <w:rPr>
                                <w:sz w:val="16"/>
                                <w:szCs w:val="16"/>
                              </w:rPr>
                              <w:t xml:space="preserve">Egger’s test </w:t>
                            </w:r>
                            <w:r w:rsidRPr="002452EF">
                              <w:rPr>
                                <w:i/>
                                <w:iCs/>
                                <w:sz w:val="16"/>
                                <w:szCs w:val="16"/>
                              </w:rPr>
                              <w:t>p</w:t>
                            </w:r>
                            <w:r w:rsidRPr="00EC7872">
                              <w:rPr>
                                <w:sz w:val="16"/>
                                <w:szCs w:val="16"/>
                              </w:rPr>
                              <w:t xml:space="preserve">-value = </w:t>
                            </w:r>
                            <w:r w:rsidR="00794DA9" w:rsidRPr="005806CF">
                              <w:rPr>
                                <w:sz w:val="16"/>
                                <w:szCs w:val="16"/>
                              </w:rPr>
                              <w:t>0.011</w:t>
                            </w:r>
                          </w:p>
                          <w:p w14:paraId="51C9CEBE" w14:textId="23E17A32" w:rsidR="000D4764" w:rsidRPr="00EC7872" w:rsidRDefault="000D4764" w:rsidP="000D4764">
                            <w:pPr>
                              <w:spacing w:after="0" w:line="240" w:lineRule="auto"/>
                              <w:rPr>
                                <w:sz w:val="16"/>
                                <w:szCs w:val="16"/>
                              </w:rPr>
                            </w:pPr>
                            <w:r w:rsidRPr="00EC7872">
                              <w:rPr>
                                <w:sz w:val="16"/>
                                <w:szCs w:val="16"/>
                              </w:rPr>
                              <w:t xml:space="preserve">Begg’s test </w:t>
                            </w:r>
                            <w:r w:rsidRPr="002452EF">
                              <w:rPr>
                                <w:i/>
                                <w:iCs/>
                                <w:sz w:val="16"/>
                                <w:szCs w:val="16"/>
                              </w:rPr>
                              <w:t>p</w:t>
                            </w:r>
                            <w:r w:rsidRPr="00EC7872">
                              <w:rPr>
                                <w:sz w:val="16"/>
                                <w:szCs w:val="16"/>
                              </w:rPr>
                              <w:t>-value = 0.3</w:t>
                            </w:r>
                            <w:r w:rsidR="00794DA9">
                              <w:rPr>
                                <w:sz w:val="16"/>
                                <w:szCs w:val="16"/>
                              </w:rPr>
                              <w:t>00</w:t>
                            </w:r>
                          </w:p>
                          <w:p w14:paraId="460D409D" w14:textId="77777777" w:rsidR="000D4764" w:rsidRPr="00EC7872" w:rsidRDefault="000D4764" w:rsidP="000D4764">
                            <w:pPr>
                              <w:spacing w:after="0" w:line="240" w:lineRule="auto"/>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20032" id="Zone de texte 16" o:spid="_x0000_s1038" type="#_x0000_t202" style="position:absolute;margin-left:359.7pt;margin-top:5.5pt;width:122.1pt;height:31.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Y5UGgIAADQEAAAOAAAAZHJzL2Uyb0RvYy54bWysU9uO2yAQfa/Uf0C8N3bSOG2tOKt0V6kq&#10;RbsrZat9JhhiJMxQILHTr++Ac9O2T1VlCQ/MMJdzDvO7vtXkIJxXYCo6HuWUCMOhVmZX0R8vqw+f&#10;KfGBmZppMKKiR+Hp3eL9u3lnSzGBBnQtHMEkxpedrWgTgi2zzPNGtMyPwAqDTgmuZQG3bpfVjnWY&#10;vdXZJM9nWQeutg648B5PHwYnXaT8UgoenqT0IhBdUewtpNWldRvXbDFn5c4x2yh+aoP9QxctUwaL&#10;XlI9sMDI3qk/UrWKO/Agw4hDm4GUios0A04zzt9Ms2mYFWkWBMfbC0z+/6Xlj4eNfXYk9F+hRwIj&#10;IJ31pcfDOE8vXRv/2ClBP0J4vMAm+kB4vFQUOX6UcPRN86IYz2Ka7HrbOh++CWhJNCrqkJaEFjus&#10;fRhCzyGxmIGV0jpRow3pKjr7WOTpwsWDybXBGtdeoxX6bU9UjS1NzoNsoT7ifA4G6r3lK4VNrJkP&#10;z8wh1zgS6jc84SI1YDE4WZQ04H797TzGIwXopaRD7VTU/9wzJyjR3w2S82U8nUaxpc20+DTBjbv1&#10;bG89Zt/eA8pzjC/F8mTG+KDPpnTQvqLMl7EqupjhWLui4Wzeh0HR+Ey4WC5TEMrLsrA2G8tj6ghr&#10;hPilf2XOnngIyOAjnFXGyjd0DLEDIct9AKkSVxHoAdUT/ijNxPbpGUXt3+5T1PWxL34DAAD//wMA&#10;UEsDBBQABgAIAAAAIQDQtQbi4AAAAAkBAAAPAAAAZHJzL2Rvd25yZXYueG1sTI9BT4NAEIXvJv6H&#10;zZh4swu1YkGWpiFpTIw9tPbibWCnQGR3kd226K93POlx8r68+V6+mkwvzjT6zlkF8SwCQbZ2urON&#10;gsPb5m4Jwge0GntnScEXeVgV11c5Ztpd7I7O+9AILrE+QwVtCEMmpa9bMuhnbiDL2dGNBgOfYyP1&#10;iBcuN72cR1EiDXaWP7Q4UNlS/bE/GQUv5WaLu2pult99+fx6XA+fh/cHpW5vpvUTiEBT+IPhV5/V&#10;oWCnyp2s9qJX8BinC0Y5iHkTA2lyn4CoOFmkIItc/l9Q/AAAAP//AwBQSwECLQAUAAYACAAAACEA&#10;toM4kv4AAADhAQAAEwAAAAAAAAAAAAAAAAAAAAAAW0NvbnRlbnRfVHlwZXNdLnhtbFBLAQItABQA&#10;BgAIAAAAIQA4/SH/1gAAAJQBAAALAAAAAAAAAAAAAAAAAC8BAABfcmVscy8ucmVsc1BLAQItABQA&#10;BgAIAAAAIQCSWY5UGgIAADQEAAAOAAAAAAAAAAAAAAAAAC4CAABkcnMvZTJvRG9jLnhtbFBLAQIt&#10;ABQABgAIAAAAIQDQtQbi4AAAAAkBAAAPAAAAAAAAAAAAAAAAAHQEAABkcnMvZG93bnJldi54bWxQ&#10;SwUGAAAAAAQABADzAAAAgQUAAAAA&#10;" filled="f" stroked="f" strokeweight=".5pt">
                <v:textbox>
                  <w:txbxContent>
                    <w:p w14:paraId="2A13B9C0" w14:textId="7F4A56FA" w:rsidR="000D4764" w:rsidRPr="005806CF" w:rsidRDefault="000D4764" w:rsidP="00794DA9">
                      <w:pPr>
                        <w:spacing w:after="0" w:line="240" w:lineRule="auto"/>
                        <w:rPr>
                          <w:sz w:val="16"/>
                          <w:szCs w:val="16"/>
                        </w:rPr>
                      </w:pPr>
                      <w:r w:rsidRPr="00EC7872">
                        <w:rPr>
                          <w:sz w:val="16"/>
                          <w:szCs w:val="16"/>
                        </w:rPr>
                        <w:t xml:space="preserve">Egger’s test </w:t>
                      </w:r>
                      <w:r w:rsidRPr="002452EF">
                        <w:rPr>
                          <w:i/>
                          <w:iCs/>
                          <w:sz w:val="16"/>
                          <w:szCs w:val="16"/>
                        </w:rPr>
                        <w:t>p</w:t>
                      </w:r>
                      <w:r w:rsidRPr="00EC7872">
                        <w:rPr>
                          <w:sz w:val="16"/>
                          <w:szCs w:val="16"/>
                        </w:rPr>
                        <w:t xml:space="preserve">-value = </w:t>
                      </w:r>
                      <w:r w:rsidR="00794DA9" w:rsidRPr="005806CF">
                        <w:rPr>
                          <w:sz w:val="16"/>
                          <w:szCs w:val="16"/>
                        </w:rPr>
                        <w:t>0.011</w:t>
                      </w:r>
                    </w:p>
                    <w:p w14:paraId="51C9CEBE" w14:textId="23E17A32" w:rsidR="000D4764" w:rsidRPr="00EC7872" w:rsidRDefault="000D4764" w:rsidP="000D4764">
                      <w:pPr>
                        <w:spacing w:after="0" w:line="240" w:lineRule="auto"/>
                        <w:rPr>
                          <w:sz w:val="16"/>
                          <w:szCs w:val="16"/>
                        </w:rPr>
                      </w:pPr>
                      <w:r w:rsidRPr="00EC7872">
                        <w:rPr>
                          <w:sz w:val="16"/>
                          <w:szCs w:val="16"/>
                        </w:rPr>
                        <w:t xml:space="preserve">Begg’s test </w:t>
                      </w:r>
                      <w:r w:rsidRPr="002452EF">
                        <w:rPr>
                          <w:i/>
                          <w:iCs/>
                          <w:sz w:val="16"/>
                          <w:szCs w:val="16"/>
                        </w:rPr>
                        <w:t>p</w:t>
                      </w:r>
                      <w:r w:rsidRPr="00EC7872">
                        <w:rPr>
                          <w:sz w:val="16"/>
                          <w:szCs w:val="16"/>
                        </w:rPr>
                        <w:t>-value = 0.3</w:t>
                      </w:r>
                      <w:r w:rsidR="00794DA9">
                        <w:rPr>
                          <w:sz w:val="16"/>
                          <w:szCs w:val="16"/>
                        </w:rPr>
                        <w:t>00</w:t>
                      </w:r>
                    </w:p>
                    <w:p w14:paraId="460D409D" w14:textId="77777777" w:rsidR="000D4764" w:rsidRPr="00EC7872" w:rsidRDefault="000D4764" w:rsidP="000D4764">
                      <w:pPr>
                        <w:spacing w:after="0" w:line="240" w:lineRule="auto"/>
                        <w:rPr>
                          <w:sz w:val="16"/>
                          <w:szCs w:val="16"/>
                        </w:rPr>
                      </w:pPr>
                    </w:p>
                  </w:txbxContent>
                </v:textbox>
              </v:shape>
            </w:pict>
          </mc:Fallback>
        </mc:AlternateContent>
      </w:r>
      <w:r w:rsidR="008210BE">
        <w:rPr>
          <w:noProof/>
        </w:rPr>
        <w:drawing>
          <wp:inline distT="0" distB="0" distL="0" distR="0" wp14:anchorId="13E412B2" wp14:editId="4948F089">
            <wp:extent cx="6121400" cy="2790190"/>
            <wp:effectExtent l="0" t="0" r="0" b="0"/>
            <wp:docPr id="7149858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985829" name=""/>
                    <pic:cNvPicPr/>
                  </pic:nvPicPr>
                  <pic:blipFill>
                    <a:blip r:embed="rId14"/>
                    <a:stretch>
                      <a:fillRect/>
                    </a:stretch>
                  </pic:blipFill>
                  <pic:spPr>
                    <a:xfrm>
                      <a:off x="0" y="0"/>
                      <a:ext cx="6121400" cy="2790190"/>
                    </a:xfrm>
                    <a:prstGeom prst="rect">
                      <a:avLst/>
                    </a:prstGeom>
                  </pic:spPr>
                </pic:pic>
              </a:graphicData>
            </a:graphic>
          </wp:inline>
        </w:drawing>
      </w:r>
    </w:p>
    <w:p w14:paraId="5E536D9E" w14:textId="67485A75" w:rsidR="000D4764" w:rsidRPr="000D4764" w:rsidRDefault="008210BE" w:rsidP="000D4764">
      <w:pPr>
        <w:pStyle w:val="Lgende"/>
        <w:rPr>
          <w:iCs/>
        </w:rPr>
      </w:pPr>
      <w:r w:rsidRPr="00CB77CE">
        <w:rPr>
          <w:b/>
          <w:bCs/>
        </w:rPr>
        <w:t xml:space="preserve">Supplementary Fig. </w:t>
      </w:r>
      <w:r w:rsidRPr="00CB77CE">
        <w:rPr>
          <w:b/>
          <w:bCs/>
        </w:rPr>
        <w:fldChar w:fldCharType="begin"/>
      </w:r>
      <w:r w:rsidRPr="00CB77CE">
        <w:rPr>
          <w:b/>
          <w:bCs/>
        </w:rPr>
        <w:instrText xml:space="preserve"> SEQ Supplementary_Fig. \* ARABIC </w:instrText>
      </w:r>
      <w:r w:rsidRPr="00CB77CE">
        <w:rPr>
          <w:b/>
          <w:bCs/>
        </w:rPr>
        <w:fldChar w:fldCharType="separate"/>
      </w:r>
      <w:r w:rsidR="000D4764">
        <w:rPr>
          <w:b/>
          <w:bCs/>
          <w:noProof/>
        </w:rPr>
        <w:t>7</w:t>
      </w:r>
      <w:r w:rsidRPr="00CB77CE">
        <w:rPr>
          <w:b/>
          <w:bCs/>
        </w:rPr>
        <w:fldChar w:fldCharType="end"/>
      </w:r>
      <w:r w:rsidRPr="00CB77CE">
        <w:t xml:space="preserve"> </w:t>
      </w:r>
      <w:r w:rsidR="000D4764" w:rsidRPr="000D4764">
        <w:rPr>
          <w:iCs/>
        </w:rPr>
        <w:t>Funnel plot displaying the pseudo 95% confidence limits and tests assessing the publication bias of studies included</w:t>
      </w:r>
    </w:p>
    <w:p w14:paraId="5914CD76" w14:textId="41A1293B" w:rsidR="008210BE" w:rsidRPr="00CB77CE" w:rsidRDefault="008210BE" w:rsidP="008210BE">
      <w:pPr>
        <w:pStyle w:val="Lgende"/>
      </w:pPr>
    </w:p>
    <w:p w14:paraId="72E4B790" w14:textId="77777777" w:rsidR="0048550F" w:rsidRDefault="0048550F" w:rsidP="0048550F"/>
    <w:p w14:paraId="2F54AF5C" w14:textId="77777777" w:rsidR="0048550F" w:rsidRDefault="0048550F" w:rsidP="0048550F"/>
    <w:p w14:paraId="276A1CBB" w14:textId="77777777" w:rsidR="0048550F" w:rsidRDefault="0048550F" w:rsidP="0048550F"/>
    <w:p w14:paraId="32C10EA7" w14:textId="77777777" w:rsidR="0048550F" w:rsidRDefault="0048550F" w:rsidP="0048550F"/>
    <w:p w14:paraId="6785E7FF" w14:textId="77777777" w:rsidR="0048550F" w:rsidRDefault="0048550F" w:rsidP="0048550F"/>
    <w:p w14:paraId="0EA21E85" w14:textId="77777777" w:rsidR="0048550F" w:rsidRDefault="0048550F" w:rsidP="0048550F"/>
    <w:p w14:paraId="5F01D568" w14:textId="77777777" w:rsidR="0048550F" w:rsidRDefault="0048550F" w:rsidP="0048550F"/>
    <w:p w14:paraId="0BC9683F" w14:textId="77777777" w:rsidR="0048550F" w:rsidRDefault="0048550F" w:rsidP="0048550F"/>
    <w:p w14:paraId="46967B63" w14:textId="77777777" w:rsidR="0048550F" w:rsidRDefault="0048550F" w:rsidP="0048550F"/>
    <w:p w14:paraId="5BB684A9" w14:textId="77777777" w:rsidR="0048550F" w:rsidRDefault="0048550F" w:rsidP="0048550F"/>
    <w:p w14:paraId="6155419B" w14:textId="77777777" w:rsidR="0048550F" w:rsidRDefault="0048550F" w:rsidP="0048550F"/>
    <w:p w14:paraId="2DDF12CE" w14:textId="77777777" w:rsidR="0048550F" w:rsidRDefault="0048550F" w:rsidP="0048550F"/>
    <w:p w14:paraId="1954BDB2" w14:textId="77777777" w:rsidR="0048550F" w:rsidRDefault="0048550F" w:rsidP="0048550F"/>
    <w:p w14:paraId="485528DE" w14:textId="77777777" w:rsidR="0048550F" w:rsidRDefault="0048550F" w:rsidP="0048550F"/>
    <w:p w14:paraId="567946E8" w14:textId="6F182068" w:rsidR="0048550F" w:rsidRDefault="0048550F" w:rsidP="0048550F"/>
    <w:p w14:paraId="107CC8AB" w14:textId="7C3498C6" w:rsidR="0048550F" w:rsidRDefault="00ED03E6" w:rsidP="0048550F">
      <w:r w:rsidRPr="00EC56E4">
        <w:rPr>
          <w:noProof/>
        </w:rPr>
        <w:lastRenderedPageBreak/>
        <mc:AlternateContent>
          <mc:Choice Requires="wps">
            <w:drawing>
              <wp:anchor distT="0" distB="0" distL="114300" distR="114300" simplePos="0" relativeHeight="251687936" behindDoc="0" locked="0" layoutInCell="1" allowOverlap="1" wp14:anchorId="08D5EE07" wp14:editId="1F248FDA">
                <wp:simplePos x="0" y="0"/>
                <wp:positionH relativeFrom="column">
                  <wp:posOffset>3708746</wp:posOffset>
                </wp:positionH>
                <wp:positionV relativeFrom="paragraph">
                  <wp:posOffset>-51780</wp:posOffset>
                </wp:positionV>
                <wp:extent cx="968721" cy="280035"/>
                <wp:effectExtent l="0" t="0" r="3175" b="5715"/>
                <wp:wrapNone/>
                <wp:docPr id="1104396180" name="Zone de texte 27"/>
                <wp:cNvGraphicFramePr/>
                <a:graphic xmlns:a="http://schemas.openxmlformats.org/drawingml/2006/main">
                  <a:graphicData uri="http://schemas.microsoft.com/office/word/2010/wordprocessingShape">
                    <wps:wsp>
                      <wps:cNvSpPr txBox="1"/>
                      <wps:spPr>
                        <a:xfrm>
                          <a:off x="0" y="0"/>
                          <a:ext cx="968721" cy="280035"/>
                        </a:xfrm>
                        <a:prstGeom prst="rect">
                          <a:avLst/>
                        </a:prstGeom>
                        <a:solidFill>
                          <a:sysClr val="window" lastClr="FFFFFF"/>
                        </a:solidFill>
                        <a:ln w="6350">
                          <a:noFill/>
                        </a:ln>
                      </wps:spPr>
                      <wps:txbx>
                        <w:txbxContent>
                          <w:p w14:paraId="55522C09" w14:textId="77777777" w:rsidR="00ED03E6" w:rsidRPr="00003FF2" w:rsidRDefault="00ED03E6" w:rsidP="00ED03E6">
                            <w:pPr>
                              <w:rPr>
                                <w:rFonts w:asciiTheme="minorBidi" w:hAnsiTheme="minorBidi"/>
                                <w:b/>
                                <w:bCs/>
                                <w:sz w:val="18"/>
                                <w:szCs w:val="18"/>
                              </w:rPr>
                            </w:pPr>
                            <w:r w:rsidRPr="00003FF2">
                              <w:rPr>
                                <w:rFonts w:asciiTheme="minorBidi" w:hAnsiTheme="minorBidi"/>
                                <w:b/>
                                <w:bCs/>
                                <w:sz w:val="18"/>
                                <w:szCs w:val="18"/>
                              </w:rPr>
                              <w:t>Event rate (%)</w:t>
                            </w:r>
                          </w:p>
                          <w:p w14:paraId="4C702BBD" w14:textId="77777777" w:rsidR="00ED03E6" w:rsidRPr="00003FF2" w:rsidRDefault="00ED03E6" w:rsidP="00ED03E6">
                            <w:pPr>
                              <w:rPr>
                                <w:rFonts w:asciiTheme="minorBidi" w:hAnsiTheme="minorBid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5EE07" id="_x0000_s1039" type="#_x0000_t202" style="position:absolute;margin-left:292.05pt;margin-top:-4.1pt;width:76.3pt;height:22.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j1nOQIAAGwEAAAOAAAAZHJzL2Uyb0RvYy54bWysVEtv2zAMvg/YfxB0X+w8mxpxiixFhgFB&#10;WyAdelZkKTEgi5qkxM5+/SjZebTbaVgOCilSfHwf6dlDUylyFNaVoHPa76WUCM2hKPUupz9eV1+m&#10;lDjPdMEUaJHTk3D0Yf7506w2mRjAHlQhLMEg2mW1yenee5MlieN7UTHXAyM0GiXYinlU7S4pLKsx&#10;eqWSQZpOkhpsYSxw4RzePrZGOo/xpRTcP0vphCcqp1ibj6eN5zacyXzGsp1lZl/yrgz2D1VUrNSY&#10;9BLqkXlGDrb8I1RVcgsOpO9xqBKQsuQi9oDd9NMP3Wz2zIjYC4LjzAUm9//C8qfjxrxY4puv0CCB&#10;AZDauMzhZeinkbYK/1gpQTtCeLrAJhpPOF7eT6Z3gz4lHE2DaZoOxyFKcn1srPPfBFQkCDm1yEoE&#10;ix3XzreuZ5eQy4Eqi1WpVFRObqksOTIkEHkvoKZEMefxMqer+OuyvXumNKlzOhmO05hJQ4jXplIa&#10;i7v2GCTfbBtSFtj/8AzAFooT4mKhHRln+KrE6teY+oVZnBGEAufeP+MhFWAy6CRK9mB//e0++CN1&#10;aKWkxpnLqft5YFZgR981knrfH43CkEZlNL4boGJvLdtbiz5US0BUEHmsLorB36uzKC1Ub7gei5AV&#10;TUxzzJ1TfxaXvt0EXC8uFovohGNpmF/rjeEhdKAgcPPavDFrOgI9Mv8E5+lk2QceW9/wUsPi4EGW&#10;keQAdItqhz+OdByTbv3Cztzq0ev6kZj/BgAA//8DAFBLAwQUAAYACAAAACEAgqTuM+MAAAAJAQAA&#10;DwAAAGRycy9kb3ducmV2LnhtbEyPUU/CMBSF3038D8018Q06QGDO3RFjNEriAk4TX8t63aZru7SF&#10;DX699Ukeb86Xc76brgbVsgNZ1xiNMBlHwEiXRja6Qvh4fxrFwJwXWorWaEI4koNVdnmRikSaXr/R&#10;ofAVCyXaJQKh9r5LOHdlTUq4selIh+zLWCV8OG3FpRV9KFctn0bRgivR6LBQi44eaip/ir1C+OyL&#10;Z7tZr7+33Ut+2pyK/JUec8Trq+H+Dpinwf/D8Kcf1CELTjuz19KxFmEe30wCijCKp8ACsJwtlsB2&#10;CLP5LfAs5ecfZL8AAAD//wMAUEsBAi0AFAAGAAgAAAAhALaDOJL+AAAA4QEAABMAAAAAAAAAAAAA&#10;AAAAAAAAAFtDb250ZW50X1R5cGVzXS54bWxQSwECLQAUAAYACAAAACEAOP0h/9YAAACUAQAACwAA&#10;AAAAAAAAAAAAAAAvAQAAX3JlbHMvLnJlbHNQSwECLQAUAAYACAAAACEATuI9ZzkCAABsBAAADgAA&#10;AAAAAAAAAAAAAAAuAgAAZHJzL2Uyb0RvYy54bWxQSwECLQAUAAYACAAAACEAgqTuM+MAAAAJAQAA&#10;DwAAAAAAAAAAAAAAAACTBAAAZHJzL2Rvd25yZXYueG1sUEsFBgAAAAAEAAQA8wAAAKMFAAAAAA==&#10;" fillcolor="window" stroked="f" strokeweight=".5pt">
                <v:textbox>
                  <w:txbxContent>
                    <w:p w14:paraId="55522C09" w14:textId="77777777" w:rsidR="00ED03E6" w:rsidRPr="00003FF2" w:rsidRDefault="00ED03E6" w:rsidP="00ED03E6">
                      <w:pPr>
                        <w:rPr>
                          <w:rFonts w:asciiTheme="minorBidi" w:hAnsiTheme="minorBidi"/>
                          <w:b/>
                          <w:bCs/>
                          <w:sz w:val="18"/>
                          <w:szCs w:val="18"/>
                        </w:rPr>
                      </w:pPr>
                      <w:r w:rsidRPr="00003FF2">
                        <w:rPr>
                          <w:rFonts w:asciiTheme="minorBidi" w:hAnsiTheme="minorBidi"/>
                          <w:b/>
                          <w:bCs/>
                          <w:sz w:val="18"/>
                          <w:szCs w:val="18"/>
                        </w:rPr>
                        <w:t>Event rate (%)</w:t>
                      </w:r>
                    </w:p>
                    <w:p w14:paraId="4C702BBD" w14:textId="77777777" w:rsidR="00ED03E6" w:rsidRPr="00003FF2" w:rsidRDefault="00ED03E6" w:rsidP="00ED03E6">
                      <w:pPr>
                        <w:rPr>
                          <w:rFonts w:asciiTheme="minorBidi" w:hAnsiTheme="minorBidi"/>
                          <w:b/>
                          <w:bCs/>
                          <w:sz w:val="18"/>
                          <w:szCs w:val="18"/>
                        </w:rPr>
                      </w:pPr>
                    </w:p>
                  </w:txbxContent>
                </v:textbox>
              </v:shape>
            </w:pict>
          </mc:Fallback>
        </mc:AlternateContent>
      </w:r>
      <w:r w:rsidRPr="00EC56E4">
        <w:rPr>
          <w:noProof/>
        </w:rPr>
        <mc:AlternateContent>
          <mc:Choice Requires="wps">
            <w:drawing>
              <wp:anchor distT="0" distB="0" distL="114300" distR="114300" simplePos="0" relativeHeight="251685888" behindDoc="0" locked="0" layoutInCell="1" allowOverlap="1" wp14:anchorId="672824D9" wp14:editId="5B2EE2C6">
                <wp:simplePos x="0" y="0"/>
                <wp:positionH relativeFrom="column">
                  <wp:posOffset>2414100</wp:posOffset>
                </wp:positionH>
                <wp:positionV relativeFrom="paragraph">
                  <wp:posOffset>-42727</wp:posOffset>
                </wp:positionV>
                <wp:extent cx="1447248" cy="280035"/>
                <wp:effectExtent l="0" t="0" r="635" b="5715"/>
                <wp:wrapNone/>
                <wp:docPr id="1357693628" name="Zone de texte 26"/>
                <wp:cNvGraphicFramePr/>
                <a:graphic xmlns:a="http://schemas.openxmlformats.org/drawingml/2006/main">
                  <a:graphicData uri="http://schemas.microsoft.com/office/word/2010/wordprocessingShape">
                    <wps:wsp>
                      <wps:cNvSpPr txBox="1"/>
                      <wps:spPr>
                        <a:xfrm>
                          <a:off x="0" y="0"/>
                          <a:ext cx="1447248" cy="280035"/>
                        </a:xfrm>
                        <a:prstGeom prst="rect">
                          <a:avLst/>
                        </a:prstGeom>
                        <a:solidFill>
                          <a:sysClr val="window" lastClr="FFFFFF"/>
                        </a:solidFill>
                        <a:ln w="6350">
                          <a:noFill/>
                        </a:ln>
                      </wps:spPr>
                      <wps:txbx>
                        <w:txbxContent>
                          <w:p w14:paraId="57A15FD2" w14:textId="77777777" w:rsidR="00ED03E6" w:rsidRPr="00003FF2" w:rsidRDefault="00ED03E6" w:rsidP="00ED03E6">
                            <w:pPr>
                              <w:jc w:val="center"/>
                              <w:rPr>
                                <w:rFonts w:asciiTheme="minorBidi" w:hAnsiTheme="minorBidi"/>
                                <w:b/>
                                <w:bCs/>
                                <w:sz w:val="18"/>
                                <w:szCs w:val="18"/>
                              </w:rPr>
                            </w:pPr>
                            <w:r w:rsidRPr="00003FF2">
                              <w:rPr>
                                <w:rFonts w:asciiTheme="minorBidi" w:hAnsiTheme="minorBidi"/>
                                <w:b/>
                                <w:bCs/>
                                <w:sz w:val="18"/>
                                <w:szCs w:val="18"/>
                              </w:rPr>
                              <w:t>Case fatality rate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2824D9" id="_x0000_s1040" type="#_x0000_t202" style="position:absolute;margin-left:190.1pt;margin-top:-3.35pt;width:113.95pt;height:22.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CqzOAIAAG0EAAAOAAAAZHJzL2Uyb0RvYy54bWysVEtv2zAMvg/YfxB0X+ykSdsZcYosRYYB&#10;QVsgHXpWZCkWIIuapMTOfv0oOa91Ow3LQSFFio/vIz196BpN9sJ5Baakw0FOiTAcKmW2Jf3+uvx0&#10;T4kPzFRMgxElPQhPH2YfP0xbW4gR1KAr4QgGMb5obUnrEGyRZZ7XomF+AFYYNEpwDQuoum1WOdZi&#10;9EZnozy/zVpwlXXAhfd4+9gb6SzFl1Lw8CylF4HokmJtIZ0unZt4ZrMpK7aO2VrxYxnsH6pomDKY&#10;9BzqkQVGdk79EapR3IEHGQYcmgykVFykHrCbYf6um3XNrEi9IDjenmHy/y8sf9qv7YsjofsCHRIY&#10;AWmtLzxexn466Zr4j5UStCOEhzNsoguEx0fj8d1ojERztI3u8/xmEsNkl9fW+fBVQEOiUFKHtCS0&#10;2H7lQ+96conJPGhVLZXWSTn4hXZkz5BBJL6ClhLNfMDLki7T75jtt2fakLaktzeTPGUyEOP1qbTB&#10;4i5NRil0m46oKvZyQmAD1QGBcdDPjLd8qbD6FaZ+YQ6HBLHAwQ/PeEgNmAyOEiU1uJ9/u4/+yB1a&#10;KWlx6Erqf+yYE9jRN4OsfkYo45QmZTy5G6Hiri2ba4vZNQtAVIa4YpYnMfoHfRKlg+YN92Mes6KJ&#10;GY65SxpO4iL0q4D7xcV8npxwLi0LK7O2PIaOFERuXrs35uyRwIDUP8FpPFnxjsfeN740MN8FkCqR&#10;HIHuUT3ijzOdxuS4f3FprvXkdflKzH4BAAD//wMAUEsDBBQABgAIAAAAIQDC8LkX4QAAAAkBAAAP&#10;AAAAZHJzL2Rvd25yZXYueG1sTI9RS8MwFIXfBf9DuIJvW7IpXalNh4iiA8u0Cr5mzbWtNklJsrXu&#10;1+/6pI+X83HOd/P1ZHp2QB86ZyUs5gIY2trpzjYS3t8eZimwEJXVqncWJfxggHVxfparTLvRvuKh&#10;ig2jEhsyJaGNccg4D3WLRoW5G9BS9um8UZFO33Dt1UjlpudLIRJuVGdpoVUD3rVYf1d7I+FjrB79&#10;drP5ehmeyuP2WJXPeF9KeXkx3d4AizjFPxh+9UkdCnLaub3VgfUSrlKxJFTCLFkBIyAR6QLYjpLV&#10;NfAi5/8/KE4AAAD//wMAUEsBAi0AFAAGAAgAAAAhALaDOJL+AAAA4QEAABMAAAAAAAAAAAAAAAAA&#10;AAAAAFtDb250ZW50X1R5cGVzXS54bWxQSwECLQAUAAYACAAAACEAOP0h/9YAAACUAQAACwAAAAAA&#10;AAAAAAAAAAAvAQAAX3JlbHMvLnJlbHNQSwECLQAUAAYACAAAACEAASQqszgCAABtBAAADgAAAAAA&#10;AAAAAAAAAAAuAgAAZHJzL2Uyb0RvYy54bWxQSwECLQAUAAYACAAAACEAwvC5F+EAAAAJAQAADwAA&#10;AAAAAAAAAAAAAACSBAAAZHJzL2Rvd25yZXYueG1sUEsFBgAAAAAEAAQA8wAAAKAFAAAAAA==&#10;" fillcolor="window" stroked="f" strokeweight=".5pt">
                <v:textbox>
                  <w:txbxContent>
                    <w:p w14:paraId="57A15FD2" w14:textId="77777777" w:rsidR="00ED03E6" w:rsidRPr="00003FF2" w:rsidRDefault="00ED03E6" w:rsidP="00ED03E6">
                      <w:pPr>
                        <w:jc w:val="center"/>
                        <w:rPr>
                          <w:rFonts w:asciiTheme="minorBidi" w:hAnsiTheme="minorBidi"/>
                          <w:b/>
                          <w:bCs/>
                          <w:sz w:val="18"/>
                          <w:szCs w:val="18"/>
                        </w:rPr>
                      </w:pPr>
                      <w:r w:rsidRPr="00003FF2">
                        <w:rPr>
                          <w:rFonts w:asciiTheme="minorBidi" w:hAnsiTheme="minorBidi"/>
                          <w:b/>
                          <w:bCs/>
                          <w:sz w:val="18"/>
                          <w:szCs w:val="18"/>
                        </w:rPr>
                        <w:t>Case fatality rate (%)</w:t>
                      </w:r>
                    </w:p>
                  </w:txbxContent>
                </v:textbox>
              </v:shape>
            </w:pict>
          </mc:Fallback>
        </mc:AlternateContent>
      </w:r>
      <w:r w:rsidR="0097727A">
        <w:rPr>
          <w:noProof/>
        </w:rPr>
        <w:drawing>
          <wp:inline distT="0" distB="0" distL="0" distR="0" wp14:anchorId="57364348" wp14:editId="2C173983">
            <wp:extent cx="5078711" cy="8474043"/>
            <wp:effectExtent l="0" t="0" r="8255" b="3810"/>
            <wp:docPr id="236649006"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2220" r="8554"/>
                    <a:stretch>
                      <a:fillRect/>
                    </a:stretch>
                  </pic:blipFill>
                  <pic:spPr bwMode="auto">
                    <a:xfrm>
                      <a:off x="0" y="0"/>
                      <a:ext cx="5099745" cy="8509138"/>
                    </a:xfrm>
                    <a:prstGeom prst="rect">
                      <a:avLst/>
                    </a:prstGeom>
                    <a:noFill/>
                    <a:ln>
                      <a:noFill/>
                    </a:ln>
                    <a:extLst>
                      <a:ext uri="{53640926-AAD7-44D8-BBD7-CCE9431645EC}">
                        <a14:shadowObscured xmlns:a14="http://schemas.microsoft.com/office/drawing/2010/main"/>
                      </a:ext>
                    </a:extLst>
                  </pic:spPr>
                </pic:pic>
              </a:graphicData>
            </a:graphic>
          </wp:inline>
        </w:drawing>
      </w:r>
    </w:p>
    <w:p w14:paraId="2A2896B0" w14:textId="19C91F83" w:rsidR="0097727A" w:rsidRPr="000D4764" w:rsidRDefault="0097727A" w:rsidP="0097727A">
      <w:pPr>
        <w:pStyle w:val="Lgende"/>
        <w:rPr>
          <w:iCs/>
        </w:rPr>
      </w:pPr>
      <w:r w:rsidRPr="00CB77CE">
        <w:rPr>
          <w:b/>
          <w:bCs/>
        </w:rPr>
        <w:t xml:space="preserve">Supplementary Fig. </w:t>
      </w:r>
      <w:r w:rsidRPr="00CB77CE">
        <w:rPr>
          <w:b/>
          <w:bCs/>
        </w:rPr>
        <w:fldChar w:fldCharType="begin"/>
      </w:r>
      <w:r w:rsidRPr="00CB77CE">
        <w:rPr>
          <w:b/>
          <w:bCs/>
        </w:rPr>
        <w:instrText xml:space="preserve"> SEQ Supplementary_Fig. \* ARABIC </w:instrText>
      </w:r>
      <w:r w:rsidRPr="00CB77CE">
        <w:rPr>
          <w:b/>
          <w:bCs/>
        </w:rPr>
        <w:fldChar w:fldCharType="separate"/>
      </w:r>
      <w:r>
        <w:rPr>
          <w:b/>
          <w:bCs/>
          <w:noProof/>
        </w:rPr>
        <w:t>8</w:t>
      </w:r>
      <w:r w:rsidRPr="00CB77CE">
        <w:rPr>
          <w:b/>
          <w:bCs/>
        </w:rPr>
        <w:fldChar w:fldCharType="end"/>
      </w:r>
      <w:r w:rsidRPr="00CB77CE">
        <w:t xml:space="preserve"> </w:t>
      </w:r>
      <w:r>
        <w:rPr>
          <w:iCs/>
        </w:rPr>
        <w:t>Trim and fill analysis of included study</w:t>
      </w:r>
    </w:p>
    <w:p w14:paraId="28266671" w14:textId="3D2DF3CD" w:rsidR="0048550F" w:rsidRPr="00F32A61" w:rsidRDefault="00F32A61" w:rsidP="00F32A61">
      <w:pPr>
        <w:pStyle w:val="Bibliographie"/>
        <w:rPr>
          <w:rFonts w:ascii="Gill Sans MT" w:hAnsi="Gill Sans MT"/>
          <w:b/>
          <w:bCs/>
          <w:sz w:val="24"/>
          <w:szCs w:val="24"/>
          <w:u w:val="single"/>
        </w:rPr>
      </w:pPr>
      <w:r w:rsidRPr="00F32A61">
        <w:rPr>
          <w:rFonts w:ascii="Gill Sans MT" w:hAnsi="Gill Sans MT"/>
          <w:b/>
          <w:bCs/>
          <w:sz w:val="24"/>
          <w:szCs w:val="24"/>
          <w:u w:val="single"/>
        </w:rPr>
        <w:lastRenderedPageBreak/>
        <w:t>Sensitivity analysis</w:t>
      </w:r>
    </w:p>
    <w:p w14:paraId="046101CC" w14:textId="5799DCE9" w:rsidR="0048550F" w:rsidRDefault="00F32A61" w:rsidP="0048550F">
      <w:r>
        <w:rPr>
          <w:noProof/>
        </w:rPr>
        <w:drawing>
          <wp:inline distT="0" distB="0" distL="0" distR="0" wp14:anchorId="5A8FCB95" wp14:editId="6CAA2D54">
            <wp:extent cx="5630871" cy="6446067"/>
            <wp:effectExtent l="0" t="0" r="8255" b="0"/>
            <wp:docPr id="1619835858"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4141" t="3340" r="3858" b="1525"/>
                    <a:stretch>
                      <a:fillRect/>
                    </a:stretch>
                  </pic:blipFill>
                  <pic:spPr bwMode="auto">
                    <a:xfrm>
                      <a:off x="0" y="0"/>
                      <a:ext cx="5631725" cy="6447044"/>
                    </a:xfrm>
                    <a:prstGeom prst="rect">
                      <a:avLst/>
                    </a:prstGeom>
                    <a:noFill/>
                    <a:ln>
                      <a:noFill/>
                    </a:ln>
                    <a:extLst>
                      <a:ext uri="{53640926-AAD7-44D8-BBD7-CCE9431645EC}">
                        <a14:shadowObscured xmlns:a14="http://schemas.microsoft.com/office/drawing/2010/main"/>
                      </a:ext>
                    </a:extLst>
                  </pic:spPr>
                </pic:pic>
              </a:graphicData>
            </a:graphic>
          </wp:inline>
        </w:drawing>
      </w:r>
    </w:p>
    <w:p w14:paraId="27C0E24D" w14:textId="618E97B4" w:rsidR="00F32A61" w:rsidRPr="000D4764" w:rsidRDefault="00F32A61" w:rsidP="005806CF">
      <w:pPr>
        <w:pStyle w:val="Lgende"/>
        <w:rPr>
          <w:iCs/>
        </w:rPr>
      </w:pPr>
      <w:r w:rsidRPr="00CB77CE">
        <w:rPr>
          <w:b/>
          <w:bCs/>
        </w:rPr>
        <w:t xml:space="preserve">Supplementary Fig. </w:t>
      </w:r>
      <w:r w:rsidRPr="00CB77CE">
        <w:rPr>
          <w:b/>
          <w:bCs/>
        </w:rPr>
        <w:fldChar w:fldCharType="begin"/>
      </w:r>
      <w:r w:rsidRPr="00CB77CE">
        <w:rPr>
          <w:b/>
          <w:bCs/>
        </w:rPr>
        <w:instrText xml:space="preserve"> SEQ Supplementary_Fig. \* ARABIC </w:instrText>
      </w:r>
      <w:r w:rsidRPr="00CB77CE">
        <w:rPr>
          <w:b/>
          <w:bCs/>
        </w:rPr>
        <w:fldChar w:fldCharType="separate"/>
      </w:r>
      <w:r w:rsidR="00DC3865">
        <w:rPr>
          <w:b/>
          <w:bCs/>
          <w:noProof/>
        </w:rPr>
        <w:t>9</w:t>
      </w:r>
      <w:r w:rsidRPr="00CB77CE">
        <w:rPr>
          <w:b/>
          <w:bCs/>
        </w:rPr>
        <w:fldChar w:fldCharType="end"/>
      </w:r>
      <w:r w:rsidRPr="00CB77CE">
        <w:t xml:space="preserve"> </w:t>
      </w:r>
      <w:r w:rsidR="005806CF" w:rsidRPr="005806CF">
        <w:rPr>
          <w:iCs/>
        </w:rPr>
        <w:t>Sensitivity analysis of the</w:t>
      </w:r>
      <w:r w:rsidR="005806CF">
        <w:rPr>
          <w:iCs/>
        </w:rPr>
        <w:t xml:space="preserve"> case fatality rate among confirmed mpox cases i</w:t>
      </w:r>
      <w:r w:rsidR="005806CF" w:rsidRPr="005806CF">
        <w:rPr>
          <w:iCs/>
        </w:rPr>
        <w:t>n Africa</w:t>
      </w:r>
    </w:p>
    <w:p w14:paraId="354D6BA7" w14:textId="77777777" w:rsidR="0048550F" w:rsidRDefault="0048550F" w:rsidP="0048550F"/>
    <w:p w14:paraId="6DB9D218" w14:textId="77777777" w:rsidR="0048550F" w:rsidRDefault="0048550F" w:rsidP="0048550F"/>
    <w:p w14:paraId="6AA915A3" w14:textId="77777777" w:rsidR="0048550F" w:rsidRDefault="0048550F" w:rsidP="0048550F"/>
    <w:p w14:paraId="3FF0010A" w14:textId="77777777" w:rsidR="0048550F" w:rsidRDefault="0048550F" w:rsidP="0048550F"/>
    <w:p w14:paraId="0B78CE07" w14:textId="77777777" w:rsidR="009A3A8C" w:rsidRDefault="009A3A8C" w:rsidP="0048550F"/>
    <w:p w14:paraId="354B7F86" w14:textId="77777777" w:rsidR="0048550F" w:rsidRDefault="0048550F" w:rsidP="0048550F"/>
    <w:p w14:paraId="38CAC788" w14:textId="5CF18D80" w:rsidR="00E43530" w:rsidRPr="00E43530" w:rsidRDefault="00E43530" w:rsidP="00351D1C">
      <w:pPr>
        <w:pStyle w:val="Bibliographie"/>
        <w:rPr>
          <w:rFonts w:ascii="Gill Sans MT" w:hAnsi="Gill Sans MT"/>
          <w:b/>
          <w:bCs/>
          <w:sz w:val="24"/>
          <w:szCs w:val="24"/>
        </w:rPr>
      </w:pPr>
      <w:r w:rsidRPr="00E43530">
        <w:rPr>
          <w:rFonts w:ascii="Gill Sans MT" w:hAnsi="Gill Sans MT"/>
          <w:b/>
          <w:bCs/>
          <w:sz w:val="24"/>
          <w:szCs w:val="24"/>
        </w:rPr>
        <w:t>References</w:t>
      </w:r>
    </w:p>
    <w:p w14:paraId="760BDD81" w14:textId="0191287C" w:rsidR="00351D1C" w:rsidRPr="00351D1C" w:rsidRDefault="003E79D6" w:rsidP="00351D1C">
      <w:pPr>
        <w:pStyle w:val="Bibliographie"/>
      </w:pPr>
      <w:r>
        <w:fldChar w:fldCharType="begin"/>
      </w:r>
      <w:r w:rsidR="00351D1C">
        <w:instrText xml:space="preserve"> ADDIN ZOTERO_BIBL {"uncited":[],"omitted":[],"custom":[]} CSL_BIBLIOGRAPHY </w:instrText>
      </w:r>
      <w:r>
        <w:fldChar w:fldCharType="separate"/>
      </w:r>
      <w:r w:rsidR="00351D1C" w:rsidRPr="00351D1C">
        <w:t xml:space="preserve">1. </w:t>
      </w:r>
      <w:r w:rsidR="00351D1C" w:rsidRPr="00351D1C">
        <w:tab/>
        <w:t xml:space="preserve">Breman JG, Kalisa-Ruti, Steniowski MV, Zanotto E, Gromyko AI, Arita I. Human monkeypox, 1970-79. Bull World Health Organ. 1980;58(2):165–82. </w:t>
      </w:r>
    </w:p>
    <w:p w14:paraId="403D8C9C" w14:textId="77777777" w:rsidR="00351D1C" w:rsidRPr="00351D1C" w:rsidRDefault="00351D1C" w:rsidP="00351D1C">
      <w:pPr>
        <w:pStyle w:val="Bibliographie"/>
      </w:pPr>
      <w:r w:rsidRPr="00351D1C">
        <w:t xml:space="preserve">2. </w:t>
      </w:r>
      <w:r w:rsidRPr="00351D1C">
        <w:tab/>
        <w:t xml:space="preserve">Arita I, Jezek Z, Khodakevich L, Ruti K. Human monkeypox: a newly emerged orthopoxvirus zoonosis in the tropical rain forests of Africa. Am J Trop Med Hyg. 1985;34(4):781–9. </w:t>
      </w:r>
    </w:p>
    <w:p w14:paraId="14480222" w14:textId="77777777" w:rsidR="00351D1C" w:rsidRPr="00351D1C" w:rsidRDefault="00351D1C" w:rsidP="00351D1C">
      <w:pPr>
        <w:pStyle w:val="Bibliographie"/>
      </w:pPr>
      <w:r w:rsidRPr="00351D1C">
        <w:t xml:space="preserve">3. </w:t>
      </w:r>
      <w:r w:rsidRPr="00351D1C">
        <w:tab/>
        <w:t>Durski KN. Emergence of Monkeypox — West and Central Africa, 1970–2017. MMWR Morb Mortal Wkly Rep [Internet]. 2018 [cited 2025 Jun 29];67. Available from: https://www.cdc.gov/mmwr/volumes/67/wr/mm6710a5.htm</w:t>
      </w:r>
    </w:p>
    <w:p w14:paraId="29869471" w14:textId="77777777" w:rsidR="00351D1C" w:rsidRPr="00351D1C" w:rsidRDefault="00351D1C" w:rsidP="00351D1C">
      <w:pPr>
        <w:pStyle w:val="Bibliographie"/>
      </w:pPr>
      <w:r w:rsidRPr="00351D1C">
        <w:t xml:space="preserve">4. </w:t>
      </w:r>
      <w:r w:rsidRPr="00351D1C">
        <w:tab/>
        <w:t xml:space="preserve">Jezek Z, Szczeniowski M, Paluku KM, Mutombo M. Human Monkeypox: Clinical Features of 282 Patients. J Infect Dis. 1987;156(2):293–8. </w:t>
      </w:r>
    </w:p>
    <w:p w14:paraId="2AF96E78" w14:textId="77777777" w:rsidR="00351D1C" w:rsidRPr="00351D1C" w:rsidRDefault="00351D1C" w:rsidP="00351D1C">
      <w:pPr>
        <w:pStyle w:val="Bibliographie"/>
      </w:pPr>
      <w:r w:rsidRPr="00351D1C">
        <w:t xml:space="preserve">5. </w:t>
      </w:r>
      <w:r w:rsidRPr="00351D1C">
        <w:tab/>
        <w:t xml:space="preserve">Jezek Z, Marennikova SS, Mutumbo M, Nakano JH, Paluku KM, Szczeniowski M. Human Monkeypox: A Study of 2,510 Contacts of 214 Patients. J Infect Dis. 1986;154(4):551–5. </w:t>
      </w:r>
    </w:p>
    <w:p w14:paraId="3E0FCD02" w14:textId="77777777" w:rsidR="00351D1C" w:rsidRPr="00351D1C" w:rsidRDefault="00351D1C" w:rsidP="00351D1C">
      <w:pPr>
        <w:pStyle w:val="Bibliographie"/>
      </w:pPr>
      <w:r w:rsidRPr="00351D1C">
        <w:t xml:space="preserve">6. </w:t>
      </w:r>
      <w:r w:rsidRPr="00351D1C">
        <w:tab/>
        <w:t xml:space="preserve">Meyer H, Perrichot M, Stemmler M, Emmerich P, Schmitz H, Varaine F, et al. Outbreaks of Disease Suspected of Being Due to Human Monkeypox Virus Infection in the Democratic Republic of Congo in 2001. J Clin Microbiol. 2002;40(8):2919–21. </w:t>
      </w:r>
    </w:p>
    <w:p w14:paraId="7F389047" w14:textId="77777777" w:rsidR="00351D1C" w:rsidRPr="00351D1C" w:rsidRDefault="00351D1C" w:rsidP="00351D1C">
      <w:pPr>
        <w:pStyle w:val="Bibliographie"/>
      </w:pPr>
      <w:r w:rsidRPr="00351D1C">
        <w:t xml:space="preserve">7. </w:t>
      </w:r>
      <w:r w:rsidRPr="00351D1C">
        <w:tab/>
        <w:t xml:space="preserve">Boumandouki P, Bileckot R, Ibara JR, Satounkazi C, Wassa Wassa D, Libama E, et al. [Simian smallpox (or monkey smallpox): study of 8 cases observed at Impfondo Hospital in Republic of Congo]. Bull Soc Pathol Exot 1990. 2007;100(1):17–21. </w:t>
      </w:r>
    </w:p>
    <w:p w14:paraId="3803E9BB" w14:textId="77777777" w:rsidR="00351D1C" w:rsidRPr="00351D1C" w:rsidRDefault="00351D1C" w:rsidP="00351D1C">
      <w:pPr>
        <w:pStyle w:val="Bibliographie"/>
      </w:pPr>
      <w:r w:rsidRPr="00351D1C">
        <w:t xml:space="preserve">8. </w:t>
      </w:r>
      <w:r w:rsidRPr="00351D1C">
        <w:tab/>
        <w:t xml:space="preserve">Formenty P, Muntasir MO, Damon I, Chowdhary V, Opoka ML, Monimart C, et al. Human Monkeypox Outbreak Caused by Novel Virus Belonging to Congo Basin Clade, Sudan, 2005. Emerg Infect Dis. 2010;16(10):1539–45. </w:t>
      </w:r>
    </w:p>
    <w:p w14:paraId="092A812E" w14:textId="77777777" w:rsidR="00351D1C" w:rsidRPr="00E43530" w:rsidRDefault="00351D1C" w:rsidP="00351D1C">
      <w:pPr>
        <w:pStyle w:val="Bibliographie"/>
        <w:rPr>
          <w:lang w:val="de-DE"/>
        </w:rPr>
      </w:pPr>
      <w:r w:rsidRPr="00351D1C">
        <w:t xml:space="preserve">9. </w:t>
      </w:r>
      <w:r w:rsidRPr="00351D1C">
        <w:tab/>
        <w:t xml:space="preserve">Damon IK, Roth CE, Chowdhary V. Discovery of Monkeypox in Sudan. </w:t>
      </w:r>
      <w:r w:rsidRPr="00E43530">
        <w:rPr>
          <w:lang w:val="de-DE"/>
        </w:rPr>
        <w:t xml:space="preserve">N Engl J Med. 2006;355(9):962–3. </w:t>
      </w:r>
    </w:p>
    <w:p w14:paraId="3EAA77CF" w14:textId="77777777" w:rsidR="00351D1C" w:rsidRPr="00351D1C" w:rsidRDefault="00351D1C" w:rsidP="00351D1C">
      <w:pPr>
        <w:pStyle w:val="Bibliographie"/>
      </w:pPr>
      <w:r w:rsidRPr="00E43530">
        <w:rPr>
          <w:lang w:val="de-DE"/>
        </w:rPr>
        <w:t xml:space="preserve">10. </w:t>
      </w:r>
      <w:r w:rsidRPr="00E43530">
        <w:rPr>
          <w:lang w:val="de-DE"/>
        </w:rPr>
        <w:tab/>
        <w:t xml:space="preserve">Berthet N, Nakouné E, Whist E, Selekon B, Burguière AM, Manuguerra JC, et al. </w:t>
      </w:r>
      <w:r w:rsidRPr="00351D1C">
        <w:t xml:space="preserve">Maculopapular lesions in the Central African Republic. The Lancet. 2011;378(9799):1354. </w:t>
      </w:r>
    </w:p>
    <w:p w14:paraId="2CC31F96" w14:textId="77777777" w:rsidR="00351D1C" w:rsidRPr="00351D1C" w:rsidRDefault="00351D1C" w:rsidP="00351D1C">
      <w:pPr>
        <w:pStyle w:val="Bibliographie"/>
      </w:pPr>
      <w:r w:rsidRPr="00351D1C">
        <w:t xml:space="preserve">11. </w:t>
      </w:r>
      <w:r w:rsidRPr="00351D1C">
        <w:tab/>
        <w:t xml:space="preserve">Pittman PR, Martin JW, Kingebeni PM, Tamfum JJM, Mwema G, Wan Q, et al. Clinical characterization and placental pathology of mpox infection in hospitalized patients in the Democratic Republic of the Congo. Bowman N, editor. PLoS Negl Trop Dis. 2023;17(4):e0010384. </w:t>
      </w:r>
    </w:p>
    <w:p w14:paraId="549F79BC" w14:textId="77777777" w:rsidR="00351D1C" w:rsidRPr="00E43530" w:rsidRDefault="00351D1C" w:rsidP="00351D1C">
      <w:pPr>
        <w:pStyle w:val="Bibliographie"/>
        <w:rPr>
          <w:lang w:val="fr-FR"/>
        </w:rPr>
      </w:pPr>
      <w:r w:rsidRPr="00351D1C">
        <w:t xml:space="preserve">12. </w:t>
      </w:r>
      <w:r w:rsidRPr="00351D1C">
        <w:tab/>
        <w:t xml:space="preserve">Kalthan E, Dondo-Fongbia JP, Yambele S, Dieu-Creer LR, Zepio R, Pamatika CM. </w:t>
      </w:r>
      <w:r w:rsidRPr="00E43530">
        <w:rPr>
          <w:lang w:val="fr-FR"/>
        </w:rPr>
        <w:t xml:space="preserve">Epidémie de 12 cas de maladie à virus monkeypox dans le district de Bangassou en République Centrafricaine en décembre 2015. Bull Société Pathol Exot. 2016;109(5):358–63. </w:t>
      </w:r>
    </w:p>
    <w:p w14:paraId="050DFCA3" w14:textId="77777777" w:rsidR="00351D1C" w:rsidRPr="00351D1C" w:rsidRDefault="00351D1C" w:rsidP="00351D1C">
      <w:pPr>
        <w:pStyle w:val="Bibliographie"/>
      </w:pPr>
      <w:r w:rsidRPr="00E43530">
        <w:rPr>
          <w:lang w:val="fr-FR"/>
        </w:rPr>
        <w:t xml:space="preserve">13. </w:t>
      </w:r>
      <w:r w:rsidRPr="00E43530">
        <w:rPr>
          <w:lang w:val="fr-FR"/>
        </w:rPr>
        <w:tab/>
        <w:t xml:space="preserve">Nakoune E, Lampaert E, Ndjapou SG, Janssens C, Zuniga I, Van Herp M, et al. </w:t>
      </w:r>
      <w:r w:rsidRPr="00351D1C">
        <w:t xml:space="preserve">A Nosocomial Outbreak of Human Monkeypox in the Central African Republic. Open Forum Infect Dis. 2017;4(4):ofx168. </w:t>
      </w:r>
    </w:p>
    <w:p w14:paraId="04A1BCCE" w14:textId="77777777" w:rsidR="00351D1C" w:rsidRPr="00351D1C" w:rsidRDefault="00351D1C" w:rsidP="00351D1C">
      <w:pPr>
        <w:pStyle w:val="Bibliographie"/>
      </w:pPr>
      <w:r w:rsidRPr="00351D1C">
        <w:lastRenderedPageBreak/>
        <w:t xml:space="preserve">14. </w:t>
      </w:r>
      <w:r w:rsidRPr="00351D1C">
        <w:tab/>
        <w:t xml:space="preserve">Ogoina D, Izibewule JH, Ogunleye A, Ederiane E, Anebonam U, Neni A, et al. The 2017 human monkeypox outbreak in Nigeria—Report of outbreak experience and response in the Niger Delta University Teaching Hospital, Bayelsa State, Nigeria. PLOS ONE. 2019;14(4):e0214229. </w:t>
      </w:r>
    </w:p>
    <w:p w14:paraId="4BD4D82B" w14:textId="77777777" w:rsidR="00351D1C" w:rsidRPr="00351D1C" w:rsidRDefault="00351D1C" w:rsidP="00351D1C">
      <w:pPr>
        <w:pStyle w:val="Bibliographie"/>
      </w:pPr>
      <w:r w:rsidRPr="00351D1C">
        <w:t xml:space="preserve">15. </w:t>
      </w:r>
      <w:r w:rsidRPr="00351D1C">
        <w:tab/>
        <w:t xml:space="preserve">Ita OI, Amuzi C, Udo U, Uwa A. Descriptive epidemiology of monkeypox outbreak in Akwa Ibom State, Nigeria—5th October to 7th November 2017. East Afr Sch J Med Sci. 2019;2(5):224–7. </w:t>
      </w:r>
    </w:p>
    <w:p w14:paraId="3F75BF57" w14:textId="77777777" w:rsidR="00351D1C" w:rsidRPr="00351D1C" w:rsidRDefault="00351D1C" w:rsidP="00351D1C">
      <w:pPr>
        <w:pStyle w:val="Bibliographie"/>
      </w:pPr>
      <w:r w:rsidRPr="00351D1C">
        <w:t xml:space="preserve">16. </w:t>
      </w:r>
      <w:r w:rsidRPr="00351D1C">
        <w:tab/>
        <w:t xml:space="preserve">Ibegu M, Numbere TW, Balogun M, Nguku P. Descriptive epidemiology of Monkeypox outbreak in Bayelsa State South-South Nigeria, November 2017. Int J Infect Dis. 2020;101:255. </w:t>
      </w:r>
    </w:p>
    <w:p w14:paraId="233A3EA7" w14:textId="77777777" w:rsidR="00351D1C" w:rsidRPr="00351D1C" w:rsidRDefault="00351D1C" w:rsidP="00351D1C">
      <w:pPr>
        <w:pStyle w:val="Bibliographie"/>
      </w:pPr>
      <w:r w:rsidRPr="00351D1C">
        <w:t xml:space="preserve">17. </w:t>
      </w:r>
      <w:r w:rsidRPr="00351D1C">
        <w:tab/>
        <w:t xml:space="preserve">Reynolds MG, Wauquier N, Li Y, Satheshkumar PS, Kanneh LD, Monroe B, et al. Human Monkeypox in Sierra Leone after 44-Year Absence of Reported Cases. Emerg Infect Dis. 2019;25(5):1023–5. </w:t>
      </w:r>
    </w:p>
    <w:p w14:paraId="0C82628A" w14:textId="77777777" w:rsidR="00351D1C" w:rsidRPr="00351D1C" w:rsidRDefault="00351D1C" w:rsidP="00351D1C">
      <w:pPr>
        <w:pStyle w:val="Bibliographie"/>
      </w:pPr>
      <w:r w:rsidRPr="00351D1C">
        <w:t xml:space="preserve">18. </w:t>
      </w:r>
      <w:r w:rsidRPr="00351D1C">
        <w:tab/>
        <w:t xml:space="preserve">Vaughan A, Aarons E, Astbury J, Balasegaram S, Beadsworth M, Beck CR, et al. Two cases of monkeypox imported to the United Kingdom, September 2018. Eurosurveillance. 2018;23(38):1800509. </w:t>
      </w:r>
    </w:p>
    <w:p w14:paraId="010B01C2" w14:textId="77777777" w:rsidR="00351D1C" w:rsidRPr="00351D1C" w:rsidRDefault="00351D1C" w:rsidP="00351D1C">
      <w:pPr>
        <w:pStyle w:val="Bibliographie"/>
      </w:pPr>
      <w:r w:rsidRPr="00351D1C">
        <w:t xml:space="preserve">19. </w:t>
      </w:r>
      <w:r w:rsidRPr="00351D1C">
        <w:tab/>
        <w:t xml:space="preserve">Yinka-Ogunleye A, Aruna O, Dalhat M, Ogoina D, McCollum A, Disu Y, et al. Outbreak of human monkeypox in Nigeria in 2017-18: a clinical and epidemiological report. Lancet Infect Dis. 2019;19(8):872–9. </w:t>
      </w:r>
    </w:p>
    <w:p w14:paraId="1E4F16BE" w14:textId="77777777" w:rsidR="00351D1C" w:rsidRPr="00351D1C" w:rsidRDefault="00351D1C" w:rsidP="00351D1C">
      <w:pPr>
        <w:pStyle w:val="Bibliographie"/>
      </w:pPr>
      <w:r w:rsidRPr="00351D1C">
        <w:t xml:space="preserve">20. </w:t>
      </w:r>
      <w:r w:rsidRPr="00351D1C">
        <w:tab/>
        <w:t xml:space="preserve">Ogoina D, Iroezindu M, James HI, Oladokun R, Yinka-Ogunleye A, Wakama P, et al. Clinical Course and Outcome of Human Monkeypox in Nigeria. Clin Infect Dis. 2020;71(8):e210–4. </w:t>
      </w:r>
    </w:p>
    <w:p w14:paraId="5B283164" w14:textId="77777777" w:rsidR="00351D1C" w:rsidRPr="00351D1C" w:rsidRDefault="00351D1C" w:rsidP="00351D1C">
      <w:pPr>
        <w:pStyle w:val="Bibliographie"/>
      </w:pPr>
      <w:r w:rsidRPr="00351D1C">
        <w:t xml:space="preserve">21. </w:t>
      </w:r>
      <w:r w:rsidRPr="00351D1C">
        <w:tab/>
        <w:t xml:space="preserve">Echekwube PO, Mbaave PT, Abidakun OA, Utoo BT, Swende TZ. Human monkeypox and human immunodeficiency virus co-infection: a case series in Makurdi, Benue State, Nigeria. J Biomed Res Clin Pract. 2020;3(2):375–81. </w:t>
      </w:r>
    </w:p>
    <w:p w14:paraId="2FFBC1C7" w14:textId="77777777" w:rsidR="00351D1C" w:rsidRPr="00351D1C" w:rsidRDefault="00351D1C" w:rsidP="00351D1C">
      <w:pPr>
        <w:pStyle w:val="Bibliographie"/>
      </w:pPr>
      <w:r w:rsidRPr="00351D1C">
        <w:t xml:space="preserve">22. </w:t>
      </w:r>
      <w:r w:rsidRPr="00351D1C">
        <w:tab/>
        <w:t xml:space="preserve">Hobson G, Adamson J, Adler H, Firth R, Gould S, Houlihan C, et al. Family cluster of three cases of monkeypox imported from Nigeria to the United Kingdom, May 2021. Eurosurveillance. 2021;26(32):2100745. </w:t>
      </w:r>
    </w:p>
    <w:p w14:paraId="6845B56C" w14:textId="77777777" w:rsidR="00351D1C" w:rsidRPr="00351D1C" w:rsidRDefault="00351D1C" w:rsidP="00351D1C">
      <w:pPr>
        <w:pStyle w:val="Bibliographie"/>
      </w:pPr>
      <w:r w:rsidRPr="00351D1C">
        <w:t xml:space="preserve">23. </w:t>
      </w:r>
      <w:r w:rsidRPr="00351D1C">
        <w:tab/>
        <w:t xml:space="preserve">Amao LK, Olatunji DI, Igbodo G, Okoli SC, Amaechi I, Goni MI, et al. Trend and enhanced surveillance of Monkeypox during COVID-19 pandemic in Nigeria. J Public Health Afr. 2022;13(1):2184. </w:t>
      </w:r>
    </w:p>
    <w:p w14:paraId="554DF109" w14:textId="77777777" w:rsidR="00351D1C" w:rsidRPr="00351D1C" w:rsidRDefault="00351D1C" w:rsidP="00351D1C">
      <w:pPr>
        <w:pStyle w:val="Bibliographie"/>
      </w:pPr>
      <w:r w:rsidRPr="00351D1C">
        <w:t xml:space="preserve">24. </w:t>
      </w:r>
      <w:r w:rsidRPr="00351D1C">
        <w:tab/>
        <w:t xml:space="preserve">Djuicy DD, Sadeuh-Mba SA, Bilounga CN, Yonga MG, Tchatchueng-Mbougua JB, Essima GD, et al. Concurrent Clade I and Clade II Monkeypox Virus Circulation, Cameroon, 1979–2022. Emerg Infect Dis. 2024;30(3):433–43. </w:t>
      </w:r>
    </w:p>
    <w:p w14:paraId="2A24C954" w14:textId="77777777" w:rsidR="00351D1C" w:rsidRPr="00351D1C" w:rsidRDefault="00351D1C" w:rsidP="00351D1C">
      <w:pPr>
        <w:pStyle w:val="Bibliographie"/>
      </w:pPr>
      <w:r w:rsidRPr="00351D1C">
        <w:t xml:space="preserve">25. </w:t>
      </w:r>
      <w:r w:rsidRPr="00351D1C">
        <w:tab/>
        <w:t xml:space="preserve">Yadouleton A, Faye M, Tchibozo C, Oke M, Faye O, Lawale T, et al. Introduction of monkeypox virus in Benin, 2022. Mil Med Res. 2022 Nov 9;9(1):63. </w:t>
      </w:r>
    </w:p>
    <w:p w14:paraId="604C53EF" w14:textId="77777777" w:rsidR="00351D1C" w:rsidRPr="00351D1C" w:rsidRDefault="00351D1C" w:rsidP="00351D1C">
      <w:pPr>
        <w:pStyle w:val="Bibliographie"/>
      </w:pPr>
      <w:r w:rsidRPr="00351D1C">
        <w:t xml:space="preserve">26. </w:t>
      </w:r>
      <w:r w:rsidRPr="00351D1C">
        <w:tab/>
        <w:t xml:space="preserve">Mmerem JI, Umenzekwe CC, Johnson SM, Onukak AE, Chika-Igwenyi NM, Chukwu SK, et al. Mpox and Chickenpox Coinfection: Case Series From Southern Nigeria. J Infect Dis. 2024;229(Supplement_2):S260-4. </w:t>
      </w:r>
    </w:p>
    <w:p w14:paraId="6B3CEF68" w14:textId="77777777" w:rsidR="00351D1C" w:rsidRPr="00351D1C" w:rsidRDefault="00351D1C" w:rsidP="00351D1C">
      <w:pPr>
        <w:pStyle w:val="Bibliographie"/>
      </w:pPr>
      <w:r w:rsidRPr="00E43530">
        <w:rPr>
          <w:lang w:val="de-DE"/>
        </w:rPr>
        <w:lastRenderedPageBreak/>
        <w:t xml:space="preserve">27. </w:t>
      </w:r>
      <w:r w:rsidRPr="00E43530">
        <w:rPr>
          <w:lang w:val="de-DE"/>
        </w:rPr>
        <w:tab/>
        <w:t xml:space="preserve">Kibungu EM, Vakaniaki EH, Kinganda-Lusamaki E, Kalonji-Mukendi T, Pukuta E, Hoff NA, et al. </w:t>
      </w:r>
      <w:r w:rsidRPr="00351D1C">
        <w:t xml:space="preserve">Clade I–Associated Mpox Cases Associated with Sexual Contact, the Democratic Republic of the Congo. Emerg Infect Dis. 2024;30(1):172–6. </w:t>
      </w:r>
    </w:p>
    <w:p w14:paraId="1BB96517" w14:textId="77777777" w:rsidR="00351D1C" w:rsidRPr="00351D1C" w:rsidRDefault="00351D1C" w:rsidP="00351D1C">
      <w:pPr>
        <w:pStyle w:val="Bibliographie"/>
      </w:pPr>
      <w:r w:rsidRPr="00351D1C">
        <w:t xml:space="preserve">28. </w:t>
      </w:r>
      <w:r w:rsidRPr="00351D1C">
        <w:tab/>
        <w:t xml:space="preserve">Nizigiyimana A, Ndikumwenayo F, Houben S, Manirakiza M, Lettow M van, Liesenborghs L, et al. Epidemiological analysis of confirmed mpox cases, Burundi, 3 July to 9 September 2024. Eurosurveillance. 2024;29(42):2400647. </w:t>
      </w:r>
    </w:p>
    <w:p w14:paraId="3267E405" w14:textId="77777777" w:rsidR="00351D1C" w:rsidRPr="00351D1C" w:rsidRDefault="00351D1C" w:rsidP="00351D1C">
      <w:pPr>
        <w:pStyle w:val="Bibliographie"/>
      </w:pPr>
      <w:r w:rsidRPr="00351D1C">
        <w:t xml:space="preserve">29. </w:t>
      </w:r>
      <w:r w:rsidRPr="00351D1C">
        <w:tab/>
        <w:t xml:space="preserve">Brosius I, Vakaniaki EH, Mukari G, Munganga P, Tshomba JC, Vos ED, et al. Epidemiological and clinical features of mpox during the clade Ib outbreak in South Kivu, Democratic Republic of the Congo: a prospective cohort study. The Lancet. 2025;405(10478):547–59. </w:t>
      </w:r>
    </w:p>
    <w:p w14:paraId="56A3644A" w14:textId="77777777" w:rsidR="00351D1C" w:rsidRPr="00351D1C" w:rsidRDefault="00351D1C" w:rsidP="00351D1C">
      <w:pPr>
        <w:pStyle w:val="Bibliographie"/>
      </w:pPr>
      <w:r w:rsidRPr="00351D1C">
        <w:t xml:space="preserve">30. </w:t>
      </w:r>
      <w:r w:rsidRPr="00351D1C">
        <w:tab/>
        <w:t>Mukadi-Bamuleka D, Kinganda-Lusamaki E, Mulopo-Mukanya N, Amuri-Aziza A, O’Toole Á, Modadra-Madakpa B, et al. First imported Cases of MPXV Clade Ib in Goma, Democratic Republic of the Congo: Implications for Global Surveillance and Transmission Dynamics [Internet]. medRxiv; 2024 [cited 2025 Feb 24]. Available from: http://medrxiv.org/lookup/doi/10.1101/2024.09.12.24313188</w:t>
      </w:r>
    </w:p>
    <w:p w14:paraId="554B47DE" w14:textId="77777777" w:rsidR="00351D1C" w:rsidRPr="00351D1C" w:rsidRDefault="00351D1C" w:rsidP="00351D1C">
      <w:pPr>
        <w:pStyle w:val="Bibliographie"/>
      </w:pPr>
      <w:r w:rsidRPr="00351D1C">
        <w:t xml:space="preserve">31. </w:t>
      </w:r>
      <w:r w:rsidRPr="00351D1C">
        <w:tab/>
        <w:t xml:space="preserve">Malembi E, Escrig-Sarreta R, Ntumba J, Beiras CG, Shongo R, Bengehya J, et al. Clinical presentation and epidemiological assessment of confirmed human mpox cases in DR Congo: a surveillance-based observational study. The Lancet. 2025;405(10490):1666–75. </w:t>
      </w:r>
    </w:p>
    <w:p w14:paraId="44D97A3E" w14:textId="5A3E7689" w:rsidR="000338E3" w:rsidRPr="00425445" w:rsidRDefault="003E79D6">
      <w:r>
        <w:fldChar w:fldCharType="end"/>
      </w:r>
    </w:p>
    <w:sectPr w:rsidR="000338E3" w:rsidRPr="00425445" w:rsidSect="00CB77CE">
      <w:pgSz w:w="12240" w:h="15840"/>
      <w:pgMar w:top="851" w:right="1183" w:bottom="851" w:left="1417" w:header="708" w:footer="3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607DD" w14:textId="77777777" w:rsidR="005C44C1" w:rsidRDefault="005C44C1" w:rsidP="008D4590">
      <w:pPr>
        <w:spacing w:after="0" w:line="240" w:lineRule="auto"/>
      </w:pPr>
      <w:r>
        <w:separator/>
      </w:r>
    </w:p>
  </w:endnote>
  <w:endnote w:type="continuationSeparator" w:id="0">
    <w:p w14:paraId="75D108D7" w14:textId="77777777" w:rsidR="005C44C1" w:rsidRDefault="005C44C1" w:rsidP="008D4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6144483"/>
      <w:docPartObj>
        <w:docPartGallery w:val="Page Numbers (Bottom of Page)"/>
        <w:docPartUnique/>
      </w:docPartObj>
    </w:sdtPr>
    <w:sdtContent>
      <w:p w14:paraId="3C894677" w14:textId="1E03E8F2" w:rsidR="008D4590" w:rsidRDefault="008D4590">
        <w:pPr>
          <w:pStyle w:val="Pieddepage"/>
          <w:jc w:val="right"/>
        </w:pPr>
        <w:r>
          <w:fldChar w:fldCharType="begin"/>
        </w:r>
        <w:r>
          <w:instrText>PAGE   \* MERGEFORMAT</w:instrText>
        </w:r>
        <w:r>
          <w:fldChar w:fldCharType="separate"/>
        </w:r>
        <w:r>
          <w:rPr>
            <w:lang w:val="fr-FR"/>
          </w:rPr>
          <w:t>2</w:t>
        </w:r>
        <w:r>
          <w:fldChar w:fldCharType="end"/>
        </w:r>
      </w:p>
    </w:sdtContent>
  </w:sdt>
  <w:p w14:paraId="1B109887" w14:textId="77777777" w:rsidR="008D4590" w:rsidRDefault="008D459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D0DB2" w14:textId="77777777" w:rsidR="005C44C1" w:rsidRDefault="005C44C1" w:rsidP="008D4590">
      <w:pPr>
        <w:spacing w:after="0" w:line="240" w:lineRule="auto"/>
      </w:pPr>
      <w:r>
        <w:separator/>
      </w:r>
    </w:p>
  </w:footnote>
  <w:footnote w:type="continuationSeparator" w:id="0">
    <w:p w14:paraId="2CF6AF5B" w14:textId="77777777" w:rsidR="005C44C1" w:rsidRDefault="005C44C1" w:rsidP="008D45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D10"/>
    <w:rsid w:val="00001750"/>
    <w:rsid w:val="00003FF2"/>
    <w:rsid w:val="00027135"/>
    <w:rsid w:val="000315AB"/>
    <w:rsid w:val="000338E3"/>
    <w:rsid w:val="00076845"/>
    <w:rsid w:val="000865F6"/>
    <w:rsid w:val="00096465"/>
    <w:rsid w:val="000B1E4B"/>
    <w:rsid w:val="000D4764"/>
    <w:rsid w:val="000D6B50"/>
    <w:rsid w:val="000F5921"/>
    <w:rsid w:val="0010640F"/>
    <w:rsid w:val="00106CE8"/>
    <w:rsid w:val="00142D79"/>
    <w:rsid w:val="00153A9D"/>
    <w:rsid w:val="0015773E"/>
    <w:rsid w:val="0017217A"/>
    <w:rsid w:val="00174FC3"/>
    <w:rsid w:val="00193733"/>
    <w:rsid w:val="001D436D"/>
    <w:rsid w:val="001F0A5A"/>
    <w:rsid w:val="001F3C01"/>
    <w:rsid w:val="001F4E96"/>
    <w:rsid w:val="00206AD3"/>
    <w:rsid w:val="00236F91"/>
    <w:rsid w:val="00260ACF"/>
    <w:rsid w:val="00292B4E"/>
    <w:rsid w:val="002973F1"/>
    <w:rsid w:val="002A0D84"/>
    <w:rsid w:val="002A5D23"/>
    <w:rsid w:val="002C634B"/>
    <w:rsid w:val="002D0CB3"/>
    <w:rsid w:val="002D7322"/>
    <w:rsid w:val="002D7B88"/>
    <w:rsid w:val="002E3111"/>
    <w:rsid w:val="002E3A1C"/>
    <w:rsid w:val="003015DB"/>
    <w:rsid w:val="0030385B"/>
    <w:rsid w:val="00311A6E"/>
    <w:rsid w:val="0032131F"/>
    <w:rsid w:val="0034015B"/>
    <w:rsid w:val="003465DD"/>
    <w:rsid w:val="00351D1C"/>
    <w:rsid w:val="00355608"/>
    <w:rsid w:val="00360F92"/>
    <w:rsid w:val="00370F3E"/>
    <w:rsid w:val="003C3FA8"/>
    <w:rsid w:val="003C5C0E"/>
    <w:rsid w:val="003E322F"/>
    <w:rsid w:val="003E72E4"/>
    <w:rsid w:val="003E79D6"/>
    <w:rsid w:val="00404244"/>
    <w:rsid w:val="0041648E"/>
    <w:rsid w:val="00422B6A"/>
    <w:rsid w:val="00422CBB"/>
    <w:rsid w:val="00425445"/>
    <w:rsid w:val="004361EB"/>
    <w:rsid w:val="00455868"/>
    <w:rsid w:val="00462509"/>
    <w:rsid w:val="004709D2"/>
    <w:rsid w:val="0048550F"/>
    <w:rsid w:val="004B7C63"/>
    <w:rsid w:val="004F2FAE"/>
    <w:rsid w:val="004F49F6"/>
    <w:rsid w:val="005531C4"/>
    <w:rsid w:val="005556DB"/>
    <w:rsid w:val="005618B1"/>
    <w:rsid w:val="005806CF"/>
    <w:rsid w:val="005A036D"/>
    <w:rsid w:val="005B5BC9"/>
    <w:rsid w:val="005C0718"/>
    <w:rsid w:val="005C44C1"/>
    <w:rsid w:val="005E3B79"/>
    <w:rsid w:val="005F38D7"/>
    <w:rsid w:val="00604C7D"/>
    <w:rsid w:val="00627D24"/>
    <w:rsid w:val="00632EDC"/>
    <w:rsid w:val="00633E09"/>
    <w:rsid w:val="0064197E"/>
    <w:rsid w:val="00647133"/>
    <w:rsid w:val="006553F0"/>
    <w:rsid w:val="00690692"/>
    <w:rsid w:val="006950AA"/>
    <w:rsid w:val="006B38D1"/>
    <w:rsid w:val="006B6CB4"/>
    <w:rsid w:val="006E211B"/>
    <w:rsid w:val="00712844"/>
    <w:rsid w:val="00732E62"/>
    <w:rsid w:val="00751F24"/>
    <w:rsid w:val="00754AAF"/>
    <w:rsid w:val="007569C4"/>
    <w:rsid w:val="00756D26"/>
    <w:rsid w:val="00763B14"/>
    <w:rsid w:val="00793FF8"/>
    <w:rsid w:val="00794DA9"/>
    <w:rsid w:val="007A05DF"/>
    <w:rsid w:val="007E5836"/>
    <w:rsid w:val="007F2658"/>
    <w:rsid w:val="008002E0"/>
    <w:rsid w:val="0080510F"/>
    <w:rsid w:val="00816F27"/>
    <w:rsid w:val="008210BE"/>
    <w:rsid w:val="008640B2"/>
    <w:rsid w:val="00885959"/>
    <w:rsid w:val="00892CF0"/>
    <w:rsid w:val="008A036E"/>
    <w:rsid w:val="008A2801"/>
    <w:rsid w:val="008D4590"/>
    <w:rsid w:val="008E592F"/>
    <w:rsid w:val="008F441B"/>
    <w:rsid w:val="0092114C"/>
    <w:rsid w:val="00962B7C"/>
    <w:rsid w:val="0097727A"/>
    <w:rsid w:val="0098560E"/>
    <w:rsid w:val="00992439"/>
    <w:rsid w:val="00994D8C"/>
    <w:rsid w:val="009A3A8C"/>
    <w:rsid w:val="009A69B5"/>
    <w:rsid w:val="009C0B26"/>
    <w:rsid w:val="009C16D3"/>
    <w:rsid w:val="009C3071"/>
    <w:rsid w:val="009C4E97"/>
    <w:rsid w:val="009D12DB"/>
    <w:rsid w:val="009D4986"/>
    <w:rsid w:val="009E5B06"/>
    <w:rsid w:val="009E651B"/>
    <w:rsid w:val="00A12F87"/>
    <w:rsid w:val="00A14E77"/>
    <w:rsid w:val="00A155A5"/>
    <w:rsid w:val="00A241D8"/>
    <w:rsid w:val="00A32BFC"/>
    <w:rsid w:val="00A40703"/>
    <w:rsid w:val="00A557C6"/>
    <w:rsid w:val="00A70880"/>
    <w:rsid w:val="00A90D5A"/>
    <w:rsid w:val="00A933A0"/>
    <w:rsid w:val="00A937B1"/>
    <w:rsid w:val="00AC4C9C"/>
    <w:rsid w:val="00AF3928"/>
    <w:rsid w:val="00B0498F"/>
    <w:rsid w:val="00B05F3A"/>
    <w:rsid w:val="00B120BB"/>
    <w:rsid w:val="00B320A3"/>
    <w:rsid w:val="00B82733"/>
    <w:rsid w:val="00B90207"/>
    <w:rsid w:val="00B91D75"/>
    <w:rsid w:val="00B93807"/>
    <w:rsid w:val="00B93F39"/>
    <w:rsid w:val="00BA1E98"/>
    <w:rsid w:val="00BE79EA"/>
    <w:rsid w:val="00BF4D10"/>
    <w:rsid w:val="00C46E3A"/>
    <w:rsid w:val="00C929D6"/>
    <w:rsid w:val="00CB7428"/>
    <w:rsid w:val="00CB77CE"/>
    <w:rsid w:val="00CD4AB7"/>
    <w:rsid w:val="00CF0702"/>
    <w:rsid w:val="00D26588"/>
    <w:rsid w:val="00D26625"/>
    <w:rsid w:val="00D27D68"/>
    <w:rsid w:val="00D42BCA"/>
    <w:rsid w:val="00D44CD8"/>
    <w:rsid w:val="00D46672"/>
    <w:rsid w:val="00D5378B"/>
    <w:rsid w:val="00D57180"/>
    <w:rsid w:val="00D903DD"/>
    <w:rsid w:val="00DA449B"/>
    <w:rsid w:val="00DB035F"/>
    <w:rsid w:val="00DC3865"/>
    <w:rsid w:val="00DE38BD"/>
    <w:rsid w:val="00E14140"/>
    <w:rsid w:val="00E1514F"/>
    <w:rsid w:val="00E43530"/>
    <w:rsid w:val="00E52D8B"/>
    <w:rsid w:val="00E5593B"/>
    <w:rsid w:val="00E56046"/>
    <w:rsid w:val="00E627EE"/>
    <w:rsid w:val="00E65B2E"/>
    <w:rsid w:val="00E67F37"/>
    <w:rsid w:val="00E7490C"/>
    <w:rsid w:val="00E8593B"/>
    <w:rsid w:val="00E9666F"/>
    <w:rsid w:val="00EA0130"/>
    <w:rsid w:val="00EC5AE2"/>
    <w:rsid w:val="00ED03E6"/>
    <w:rsid w:val="00EE2801"/>
    <w:rsid w:val="00EF6034"/>
    <w:rsid w:val="00F07B66"/>
    <w:rsid w:val="00F2694A"/>
    <w:rsid w:val="00F32A61"/>
    <w:rsid w:val="00F34AFC"/>
    <w:rsid w:val="00F52C7C"/>
    <w:rsid w:val="00F61855"/>
    <w:rsid w:val="00F64F06"/>
    <w:rsid w:val="00F74D66"/>
    <w:rsid w:val="00F82483"/>
    <w:rsid w:val="00F83106"/>
    <w:rsid w:val="00F923AE"/>
    <w:rsid w:val="00FC3DC1"/>
    <w:rsid w:val="00FD5CA2"/>
    <w:rsid w:val="00FE33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0E669"/>
  <w15:chartTrackingRefBased/>
  <w15:docId w15:val="{EF906632-2F98-4FB3-B9E1-4A7501712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F4D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BF4D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BF4D1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BF4D1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re5">
    <w:name w:val="heading 5"/>
    <w:basedOn w:val="Normal"/>
    <w:next w:val="Normal"/>
    <w:link w:val="Titre5Car"/>
    <w:uiPriority w:val="9"/>
    <w:semiHidden/>
    <w:unhideWhenUsed/>
    <w:qFormat/>
    <w:rsid w:val="00BF4D10"/>
    <w:pPr>
      <w:keepNext/>
      <w:keepLines/>
      <w:spacing w:before="80" w:after="40"/>
      <w:outlineLvl w:val="4"/>
    </w:pPr>
    <w:rPr>
      <w:rFonts w:asciiTheme="minorHAnsi" w:eastAsiaTheme="majorEastAsia" w:hAnsiTheme="minorHAnsi" w:cstheme="majorBidi"/>
      <w:color w:val="2F5496" w:themeColor="accent1" w:themeShade="BF"/>
    </w:rPr>
  </w:style>
  <w:style w:type="paragraph" w:styleId="Titre6">
    <w:name w:val="heading 6"/>
    <w:basedOn w:val="Normal"/>
    <w:next w:val="Normal"/>
    <w:link w:val="Titre6Car"/>
    <w:uiPriority w:val="9"/>
    <w:semiHidden/>
    <w:unhideWhenUsed/>
    <w:qFormat/>
    <w:rsid w:val="00BF4D10"/>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BF4D10"/>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BF4D10"/>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BF4D10"/>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F4D10"/>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BF4D10"/>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BF4D10"/>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uiPriority w:val="9"/>
    <w:semiHidden/>
    <w:rsid w:val="00BF4D10"/>
    <w:rPr>
      <w:rFonts w:asciiTheme="minorHAnsi" w:eastAsiaTheme="majorEastAsia" w:hAnsiTheme="minorHAnsi" w:cstheme="majorBidi"/>
      <w:i/>
      <w:iCs/>
      <w:color w:val="2F5496" w:themeColor="accent1" w:themeShade="BF"/>
    </w:rPr>
  </w:style>
  <w:style w:type="character" w:customStyle="1" w:styleId="Titre5Car">
    <w:name w:val="Titre 5 Car"/>
    <w:basedOn w:val="Policepardfaut"/>
    <w:link w:val="Titre5"/>
    <w:uiPriority w:val="9"/>
    <w:semiHidden/>
    <w:rsid w:val="00BF4D10"/>
    <w:rPr>
      <w:rFonts w:asciiTheme="minorHAnsi" w:eastAsiaTheme="majorEastAsia" w:hAnsiTheme="minorHAnsi" w:cstheme="majorBidi"/>
      <w:color w:val="2F5496" w:themeColor="accent1" w:themeShade="BF"/>
    </w:rPr>
  </w:style>
  <w:style w:type="character" w:customStyle="1" w:styleId="Titre6Car">
    <w:name w:val="Titre 6 Car"/>
    <w:basedOn w:val="Policepardfaut"/>
    <w:link w:val="Titre6"/>
    <w:uiPriority w:val="9"/>
    <w:semiHidden/>
    <w:rsid w:val="00BF4D10"/>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BF4D10"/>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BF4D10"/>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BF4D10"/>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BF4D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F4D1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F4D1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F4D10"/>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BF4D10"/>
    <w:pPr>
      <w:spacing w:before="160"/>
      <w:jc w:val="center"/>
    </w:pPr>
    <w:rPr>
      <w:i/>
      <w:iCs/>
      <w:color w:val="404040" w:themeColor="text1" w:themeTint="BF"/>
    </w:rPr>
  </w:style>
  <w:style w:type="character" w:customStyle="1" w:styleId="CitationCar">
    <w:name w:val="Citation Car"/>
    <w:basedOn w:val="Policepardfaut"/>
    <w:link w:val="Citation"/>
    <w:uiPriority w:val="29"/>
    <w:rsid w:val="00BF4D10"/>
    <w:rPr>
      <w:i/>
      <w:iCs/>
      <w:color w:val="404040" w:themeColor="text1" w:themeTint="BF"/>
    </w:rPr>
  </w:style>
  <w:style w:type="paragraph" w:styleId="Paragraphedeliste">
    <w:name w:val="List Paragraph"/>
    <w:basedOn w:val="Normal"/>
    <w:uiPriority w:val="34"/>
    <w:qFormat/>
    <w:rsid w:val="00BF4D10"/>
    <w:pPr>
      <w:ind w:left="720"/>
      <w:contextualSpacing/>
    </w:pPr>
  </w:style>
  <w:style w:type="character" w:styleId="Accentuationintense">
    <w:name w:val="Intense Emphasis"/>
    <w:basedOn w:val="Policepardfaut"/>
    <w:uiPriority w:val="21"/>
    <w:qFormat/>
    <w:rsid w:val="00BF4D10"/>
    <w:rPr>
      <w:i/>
      <w:iCs/>
      <w:color w:val="2F5496" w:themeColor="accent1" w:themeShade="BF"/>
    </w:rPr>
  </w:style>
  <w:style w:type="paragraph" w:styleId="Citationintense">
    <w:name w:val="Intense Quote"/>
    <w:basedOn w:val="Normal"/>
    <w:next w:val="Normal"/>
    <w:link w:val="CitationintenseCar"/>
    <w:uiPriority w:val="30"/>
    <w:qFormat/>
    <w:rsid w:val="00BF4D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BF4D10"/>
    <w:rPr>
      <w:i/>
      <w:iCs/>
      <w:color w:val="2F5496" w:themeColor="accent1" w:themeShade="BF"/>
    </w:rPr>
  </w:style>
  <w:style w:type="character" w:styleId="Rfrenceintense">
    <w:name w:val="Intense Reference"/>
    <w:basedOn w:val="Policepardfaut"/>
    <w:uiPriority w:val="32"/>
    <w:qFormat/>
    <w:rsid w:val="00BF4D10"/>
    <w:rPr>
      <w:b/>
      <w:bCs/>
      <w:smallCaps/>
      <w:color w:val="2F5496" w:themeColor="accent1" w:themeShade="BF"/>
      <w:spacing w:val="5"/>
    </w:rPr>
  </w:style>
  <w:style w:type="paragraph" w:styleId="En-tte">
    <w:name w:val="header"/>
    <w:basedOn w:val="Normal"/>
    <w:link w:val="En-tteCar"/>
    <w:uiPriority w:val="99"/>
    <w:unhideWhenUsed/>
    <w:rsid w:val="008D4590"/>
    <w:pPr>
      <w:tabs>
        <w:tab w:val="center" w:pos="4703"/>
        <w:tab w:val="right" w:pos="9406"/>
      </w:tabs>
      <w:spacing w:after="0" w:line="240" w:lineRule="auto"/>
    </w:pPr>
  </w:style>
  <w:style w:type="character" w:customStyle="1" w:styleId="En-tteCar">
    <w:name w:val="En-tête Car"/>
    <w:basedOn w:val="Policepardfaut"/>
    <w:link w:val="En-tte"/>
    <w:uiPriority w:val="99"/>
    <w:rsid w:val="008D4590"/>
  </w:style>
  <w:style w:type="paragraph" w:styleId="Pieddepage">
    <w:name w:val="footer"/>
    <w:basedOn w:val="Normal"/>
    <w:link w:val="PieddepageCar"/>
    <w:uiPriority w:val="99"/>
    <w:unhideWhenUsed/>
    <w:rsid w:val="008D4590"/>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8D4590"/>
  </w:style>
  <w:style w:type="paragraph" w:styleId="Lgende">
    <w:name w:val="caption"/>
    <w:basedOn w:val="Normal"/>
    <w:next w:val="Normal"/>
    <w:uiPriority w:val="35"/>
    <w:unhideWhenUsed/>
    <w:qFormat/>
    <w:rsid w:val="00E1514F"/>
    <w:pPr>
      <w:spacing w:after="200" w:line="240" w:lineRule="auto"/>
    </w:pPr>
    <w:rPr>
      <w:sz w:val="24"/>
      <w:szCs w:val="24"/>
    </w:rPr>
  </w:style>
  <w:style w:type="paragraph" w:styleId="Bibliographie">
    <w:name w:val="Bibliography"/>
    <w:basedOn w:val="Normal"/>
    <w:next w:val="Normal"/>
    <w:uiPriority w:val="37"/>
    <w:unhideWhenUsed/>
    <w:rsid w:val="003E79D6"/>
  </w:style>
  <w:style w:type="paragraph" w:styleId="PrformatHTML">
    <w:name w:val="HTML Preformatted"/>
    <w:basedOn w:val="Normal"/>
    <w:link w:val="PrformatHTMLCar"/>
    <w:uiPriority w:val="99"/>
    <w:semiHidden/>
    <w:unhideWhenUsed/>
    <w:rsid w:val="00794DA9"/>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794DA9"/>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FF846-B574-4887-AAD7-ACFAB41EC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15</Pages>
  <Words>14169</Words>
  <Characters>77932</Characters>
  <Application>Microsoft Office Word</Application>
  <DocSecurity>0</DocSecurity>
  <Lines>649</Lines>
  <Paragraphs>183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Cheuyem Zobel</dc:creator>
  <cp:keywords/>
  <dc:description/>
  <cp:lastModifiedBy>Dr. Cheuyem Zobel</cp:lastModifiedBy>
  <cp:revision>19</cp:revision>
  <dcterms:created xsi:type="dcterms:W3CDTF">2025-09-13T18:01:00Z</dcterms:created>
  <dcterms:modified xsi:type="dcterms:W3CDTF">2025-10-03T13:59:00Z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zotero-version="7.0.16"&gt;&lt;session id="J1Seou6Q"/&gt;&lt;style id="http://www.zotero.org/styles/vancouver-brackets" locale="en-US" hasBibliography="1" bibliographyStyleHasBeenSet="1"/&gt;&lt;prefs&gt;&lt;pref name="fieldType" value="Field"/&gt;&lt;pref name=</vt:lpwstr>
  </property>
  <property fmtid="{D5CDD505-2E9C-101B-9397-08002B2CF9AE}" pid="3" name="ZOTERO_PREF_2">
    <vt:lpwstr>"automaticJournalAbbreviations" value="true"/&gt;&lt;/prefs&gt;&lt;/data&gt;</vt:lpwstr>
  </property>
</Properties>
</file>