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31B97" w14:textId="08134760" w:rsidR="003F0B35" w:rsidRPr="003D2471" w:rsidRDefault="006B63CA" w:rsidP="00B974B0">
      <w:pPr>
        <w:rPr>
          <w:rFonts w:ascii="Arial" w:hAnsi="Arial" w:cs="Arial"/>
          <w:b/>
          <w:color w:val="000000" w:themeColor="text1"/>
          <w:sz w:val="22"/>
          <w:szCs w:val="22"/>
        </w:rPr>
      </w:pPr>
      <w:r w:rsidRPr="003D2471">
        <w:rPr>
          <w:rFonts w:ascii="Arial" w:hAnsi="Arial" w:cs="Arial"/>
          <w:b/>
          <w:bCs/>
          <w:color w:val="000000" w:themeColor="text1"/>
          <w:sz w:val="22"/>
          <w:szCs w:val="22"/>
        </w:rPr>
        <w:t>Supplementary Material</w:t>
      </w:r>
    </w:p>
    <w:p w14:paraId="335FCA1C" w14:textId="3C79A7BB" w:rsidR="00622080" w:rsidRPr="003D2471" w:rsidRDefault="00B974B0" w:rsidP="003D2471">
      <w:pPr>
        <w:tabs>
          <w:tab w:val="left" w:pos="2743"/>
          <w:tab w:val="left" w:pos="3773"/>
        </w:tabs>
        <w:rPr>
          <w:rFonts w:ascii="Arial" w:hAnsi="Arial" w:cs="Arial"/>
          <w:b/>
          <w:color w:val="000000" w:themeColor="text1"/>
          <w:sz w:val="22"/>
          <w:szCs w:val="22"/>
        </w:rPr>
      </w:pPr>
      <w:r w:rsidRPr="003D2471">
        <w:rPr>
          <w:rFonts w:ascii="Arial" w:hAnsi="Arial" w:cs="Arial"/>
          <w:b/>
          <w:color w:val="000000" w:themeColor="text1"/>
          <w:sz w:val="22"/>
          <w:szCs w:val="22"/>
        </w:rPr>
        <w:t>eMethods</w:t>
      </w:r>
      <w:r w:rsidR="003D2471" w:rsidRPr="003D2471">
        <w:rPr>
          <w:rFonts w:ascii="Arial" w:hAnsi="Arial" w:cs="Arial"/>
          <w:b/>
          <w:color w:val="000000" w:themeColor="text1"/>
          <w:sz w:val="22"/>
          <w:szCs w:val="22"/>
        </w:rPr>
        <w:tab/>
      </w:r>
      <w:r w:rsidR="003D2471" w:rsidRPr="003D2471">
        <w:rPr>
          <w:rFonts w:ascii="Arial" w:hAnsi="Arial" w:cs="Arial"/>
          <w:b/>
          <w:color w:val="000000" w:themeColor="text1"/>
          <w:sz w:val="22"/>
          <w:szCs w:val="22"/>
        </w:rPr>
        <w:tab/>
      </w:r>
      <w:r w:rsidRPr="003D2471">
        <w:rPr>
          <w:rFonts w:ascii="Arial" w:hAnsi="Arial" w:cs="Arial"/>
          <w:b/>
          <w:color w:val="000000" w:themeColor="text1"/>
          <w:sz w:val="22"/>
          <w:szCs w:val="22"/>
        </w:rPr>
        <w:br/>
      </w:r>
    </w:p>
    <w:p w14:paraId="38FC49FE" w14:textId="4AD6D037" w:rsidR="00622080" w:rsidRPr="003D2471" w:rsidRDefault="007D6F97" w:rsidP="00622080">
      <w:pPr>
        <w:rPr>
          <w:rFonts w:ascii="Arial" w:hAnsi="Arial" w:cs="Arial"/>
          <w:b/>
          <w:bCs/>
          <w:color w:val="000000" w:themeColor="text1"/>
          <w:sz w:val="22"/>
          <w:szCs w:val="22"/>
        </w:rPr>
      </w:pPr>
      <w:r w:rsidRPr="003D2471">
        <w:rPr>
          <w:rFonts w:ascii="Arial" w:hAnsi="Arial" w:cs="Arial"/>
          <w:b/>
          <w:bCs/>
          <w:color w:val="000000" w:themeColor="text1"/>
          <w:sz w:val="22"/>
          <w:szCs w:val="22"/>
        </w:rPr>
        <w:t>S1. Detailed Eligibility Criteria</w:t>
      </w:r>
    </w:p>
    <w:p w14:paraId="41AF7448" w14:textId="77777777" w:rsidR="00622080" w:rsidRPr="003D2471" w:rsidRDefault="00622080" w:rsidP="00622080">
      <w:pPr>
        <w:rPr>
          <w:rFonts w:ascii="Arial" w:hAnsi="Arial" w:cs="Arial"/>
          <w:i/>
          <w:iCs/>
          <w:color w:val="000000" w:themeColor="text1"/>
          <w:sz w:val="22"/>
          <w:szCs w:val="22"/>
        </w:rPr>
      </w:pPr>
      <w:r w:rsidRPr="003D2471">
        <w:rPr>
          <w:rFonts w:ascii="Arial" w:hAnsi="Arial" w:cs="Arial"/>
          <w:i/>
          <w:iCs/>
          <w:color w:val="000000" w:themeColor="text1"/>
          <w:sz w:val="22"/>
          <w:szCs w:val="22"/>
        </w:rPr>
        <w:t>Inclusion Criteria:</w:t>
      </w:r>
    </w:p>
    <w:p w14:paraId="030CD44A" w14:textId="77777777" w:rsidR="00622080" w:rsidRPr="003D2471" w:rsidRDefault="00622080" w:rsidP="00622080">
      <w:pPr>
        <w:numPr>
          <w:ilvl w:val="0"/>
          <w:numId w:val="11"/>
        </w:numPr>
        <w:rPr>
          <w:rFonts w:ascii="Arial" w:hAnsi="Arial" w:cs="Arial"/>
          <w:color w:val="000000" w:themeColor="text1"/>
          <w:sz w:val="22"/>
          <w:szCs w:val="22"/>
        </w:rPr>
      </w:pPr>
      <w:r w:rsidRPr="003D2471">
        <w:rPr>
          <w:rFonts w:ascii="Arial" w:hAnsi="Arial" w:cs="Arial"/>
          <w:color w:val="000000" w:themeColor="text1"/>
          <w:sz w:val="22"/>
          <w:szCs w:val="22"/>
        </w:rPr>
        <w:t>Diagnosis of OUD according to DSM-5 criteria.</w:t>
      </w:r>
    </w:p>
    <w:p w14:paraId="1E38BE1A" w14:textId="77777777" w:rsidR="00622080" w:rsidRPr="003D2471" w:rsidRDefault="00622080" w:rsidP="00622080">
      <w:pPr>
        <w:numPr>
          <w:ilvl w:val="0"/>
          <w:numId w:val="11"/>
        </w:numPr>
        <w:rPr>
          <w:rFonts w:ascii="Arial" w:hAnsi="Arial" w:cs="Arial"/>
          <w:color w:val="000000" w:themeColor="text1"/>
          <w:sz w:val="22"/>
          <w:szCs w:val="22"/>
        </w:rPr>
      </w:pPr>
      <w:r w:rsidRPr="003D2471">
        <w:rPr>
          <w:rFonts w:ascii="Arial" w:hAnsi="Arial" w:cs="Arial"/>
          <w:color w:val="000000" w:themeColor="text1"/>
          <w:sz w:val="22"/>
          <w:szCs w:val="22"/>
        </w:rPr>
        <w:t>Currently receiving stable methadone treatment (30-150 mg/day) for at least 4 weeks prior to enrollment.</w:t>
      </w:r>
    </w:p>
    <w:p w14:paraId="01E1AD2A" w14:textId="77777777" w:rsidR="00622080" w:rsidRPr="003D2471" w:rsidRDefault="00622080" w:rsidP="00622080">
      <w:pPr>
        <w:numPr>
          <w:ilvl w:val="0"/>
          <w:numId w:val="11"/>
        </w:numPr>
        <w:rPr>
          <w:rFonts w:ascii="Arial" w:hAnsi="Arial" w:cs="Arial"/>
          <w:color w:val="000000" w:themeColor="text1"/>
          <w:sz w:val="22"/>
          <w:szCs w:val="22"/>
        </w:rPr>
      </w:pPr>
      <w:r w:rsidRPr="003D2471">
        <w:rPr>
          <w:rFonts w:ascii="Arial" w:hAnsi="Arial" w:cs="Arial"/>
          <w:color w:val="000000" w:themeColor="text1"/>
          <w:sz w:val="22"/>
          <w:szCs w:val="22"/>
        </w:rPr>
        <w:t>Chronic non-cancer low back pain for at least 6 months with pain intensity ≥4 on a 0-10 numeric rating scale.</w:t>
      </w:r>
    </w:p>
    <w:p w14:paraId="49BCD3D6" w14:textId="77777777" w:rsidR="00622080" w:rsidRPr="003D2471" w:rsidRDefault="00622080" w:rsidP="00622080">
      <w:pPr>
        <w:numPr>
          <w:ilvl w:val="0"/>
          <w:numId w:val="11"/>
        </w:numPr>
        <w:rPr>
          <w:rFonts w:ascii="Arial" w:hAnsi="Arial" w:cs="Arial"/>
          <w:color w:val="000000" w:themeColor="text1"/>
          <w:sz w:val="22"/>
          <w:szCs w:val="22"/>
        </w:rPr>
      </w:pPr>
      <w:r w:rsidRPr="003D2471">
        <w:rPr>
          <w:rFonts w:ascii="Arial" w:hAnsi="Arial" w:cs="Arial"/>
          <w:color w:val="000000" w:themeColor="text1"/>
          <w:sz w:val="22"/>
          <w:szCs w:val="22"/>
        </w:rPr>
        <w:t>Physical health adequate for study procedures confirmed by examination, EKG, and blood chemistry, and capacity to provide consent in English.</w:t>
      </w:r>
    </w:p>
    <w:p w14:paraId="6C179FB2" w14:textId="3DA2BA09" w:rsidR="00622080" w:rsidRPr="003D2471" w:rsidRDefault="00622080" w:rsidP="00622080">
      <w:pPr>
        <w:numPr>
          <w:ilvl w:val="0"/>
          <w:numId w:val="11"/>
        </w:numPr>
        <w:rPr>
          <w:rFonts w:ascii="Arial" w:hAnsi="Arial" w:cs="Arial"/>
          <w:color w:val="000000" w:themeColor="text1"/>
          <w:sz w:val="22"/>
          <w:szCs w:val="22"/>
        </w:rPr>
      </w:pPr>
      <w:r w:rsidRPr="003D2471">
        <w:rPr>
          <w:rFonts w:ascii="Arial" w:hAnsi="Arial" w:cs="Arial"/>
          <w:color w:val="000000" w:themeColor="text1"/>
          <w:sz w:val="22"/>
          <w:szCs w:val="22"/>
        </w:rPr>
        <w:t>Negative urine screen for 11-nor-9-carboxy-THC (THC-COOH) below the federal workplace cutoff of 50 ng/mL at baseline to prevent confounding from residual cannabinoid exposure.</w:t>
      </w:r>
    </w:p>
    <w:p w14:paraId="6156502C" w14:textId="77777777" w:rsidR="00622080" w:rsidRPr="003D2471" w:rsidRDefault="00622080" w:rsidP="00622080">
      <w:pPr>
        <w:numPr>
          <w:ilvl w:val="0"/>
          <w:numId w:val="11"/>
        </w:numPr>
        <w:rPr>
          <w:rFonts w:ascii="Arial" w:hAnsi="Arial" w:cs="Arial"/>
          <w:color w:val="000000" w:themeColor="text1"/>
          <w:sz w:val="22"/>
          <w:szCs w:val="22"/>
        </w:rPr>
      </w:pPr>
      <w:r w:rsidRPr="003D2471">
        <w:rPr>
          <w:rFonts w:ascii="Arial" w:hAnsi="Arial" w:cs="Arial"/>
          <w:color w:val="000000" w:themeColor="text1"/>
          <w:sz w:val="22"/>
          <w:szCs w:val="22"/>
        </w:rPr>
        <w:t>For women of childbearing potential: agreement to use adequate contraception throughout the study period.</w:t>
      </w:r>
    </w:p>
    <w:p w14:paraId="474E8006" w14:textId="77777777" w:rsidR="00622080" w:rsidRPr="003D2471" w:rsidRDefault="00622080" w:rsidP="00622080">
      <w:pPr>
        <w:rPr>
          <w:rFonts w:ascii="Arial" w:hAnsi="Arial" w:cs="Arial"/>
          <w:i/>
          <w:iCs/>
          <w:color w:val="000000" w:themeColor="text1"/>
          <w:sz w:val="22"/>
          <w:szCs w:val="22"/>
        </w:rPr>
      </w:pPr>
      <w:r w:rsidRPr="003D2471">
        <w:rPr>
          <w:rFonts w:ascii="Arial" w:hAnsi="Arial" w:cs="Arial"/>
          <w:i/>
          <w:iCs/>
          <w:color w:val="000000" w:themeColor="text1"/>
          <w:sz w:val="22"/>
          <w:szCs w:val="22"/>
        </w:rPr>
        <w:t>Exclusion Criteria:</w:t>
      </w:r>
    </w:p>
    <w:p w14:paraId="2992506E" w14:textId="77777777" w:rsidR="00622080" w:rsidRPr="003D2471" w:rsidRDefault="00622080" w:rsidP="00622080">
      <w:pPr>
        <w:numPr>
          <w:ilvl w:val="0"/>
          <w:numId w:val="12"/>
        </w:numPr>
        <w:rPr>
          <w:rFonts w:ascii="Arial" w:hAnsi="Arial" w:cs="Arial"/>
          <w:color w:val="000000" w:themeColor="text1"/>
          <w:sz w:val="22"/>
          <w:szCs w:val="22"/>
        </w:rPr>
      </w:pPr>
      <w:r w:rsidRPr="003D2471">
        <w:rPr>
          <w:rFonts w:ascii="Arial" w:hAnsi="Arial" w:cs="Arial"/>
          <w:color w:val="000000" w:themeColor="text1"/>
          <w:sz w:val="22"/>
          <w:szCs w:val="22"/>
        </w:rPr>
        <w:t>Any DSM-5 substance use disorder other than OUD or tobacco use disorder within 12 months.</w:t>
      </w:r>
    </w:p>
    <w:p w14:paraId="6D24552A" w14:textId="77777777" w:rsidR="00622080" w:rsidRPr="003D2471" w:rsidRDefault="00622080" w:rsidP="00622080">
      <w:pPr>
        <w:numPr>
          <w:ilvl w:val="0"/>
          <w:numId w:val="12"/>
        </w:numPr>
        <w:rPr>
          <w:rFonts w:ascii="Arial" w:hAnsi="Arial" w:cs="Arial"/>
          <w:color w:val="000000" w:themeColor="text1"/>
          <w:sz w:val="22"/>
          <w:szCs w:val="22"/>
        </w:rPr>
      </w:pPr>
      <w:r w:rsidRPr="003D2471">
        <w:rPr>
          <w:rFonts w:ascii="Arial" w:hAnsi="Arial" w:cs="Arial"/>
          <w:color w:val="000000" w:themeColor="text1"/>
          <w:sz w:val="22"/>
          <w:szCs w:val="22"/>
        </w:rPr>
        <w:t>Lifetime diagnosis of psychotic or mood disorder with psychotic features.</w:t>
      </w:r>
    </w:p>
    <w:p w14:paraId="25E417DB" w14:textId="77777777" w:rsidR="00622080" w:rsidRPr="003D2471" w:rsidRDefault="00622080" w:rsidP="00622080">
      <w:pPr>
        <w:numPr>
          <w:ilvl w:val="0"/>
          <w:numId w:val="12"/>
        </w:numPr>
        <w:rPr>
          <w:rFonts w:ascii="Arial" w:hAnsi="Arial" w:cs="Arial"/>
          <w:color w:val="000000" w:themeColor="text1"/>
          <w:sz w:val="22"/>
          <w:szCs w:val="22"/>
        </w:rPr>
      </w:pPr>
      <w:r w:rsidRPr="003D2471">
        <w:rPr>
          <w:rFonts w:ascii="Arial" w:hAnsi="Arial" w:cs="Arial"/>
          <w:color w:val="000000" w:themeColor="text1"/>
          <w:sz w:val="22"/>
          <w:szCs w:val="22"/>
        </w:rPr>
        <w:t>Neurological or psychiatric conditions impairing cognition.</w:t>
      </w:r>
    </w:p>
    <w:p w14:paraId="3A74001B" w14:textId="77777777" w:rsidR="00622080" w:rsidRPr="003D2471" w:rsidRDefault="00622080" w:rsidP="00622080">
      <w:pPr>
        <w:numPr>
          <w:ilvl w:val="0"/>
          <w:numId w:val="12"/>
        </w:numPr>
        <w:rPr>
          <w:rFonts w:ascii="Arial" w:hAnsi="Arial" w:cs="Arial"/>
          <w:color w:val="000000" w:themeColor="text1"/>
          <w:sz w:val="22"/>
          <w:szCs w:val="22"/>
        </w:rPr>
      </w:pPr>
      <w:r w:rsidRPr="003D2471">
        <w:rPr>
          <w:rFonts w:ascii="Arial" w:hAnsi="Arial" w:cs="Arial"/>
          <w:color w:val="000000" w:themeColor="text1"/>
          <w:sz w:val="22"/>
          <w:szCs w:val="22"/>
        </w:rPr>
        <w:t>Current use of medications known to significantly alter pain sensitivity, including: nonsteroidal anti-inflammatory drugs, gabapentinoids, serotonin-norepinephrine reuptake inhibitors, tricyclic antidepressants, benzodiazepines, and non-prescribed opioids.</w:t>
      </w:r>
    </w:p>
    <w:p w14:paraId="0F34D398" w14:textId="77777777" w:rsidR="00622080" w:rsidRPr="003D2471" w:rsidRDefault="00622080" w:rsidP="00622080">
      <w:pPr>
        <w:numPr>
          <w:ilvl w:val="0"/>
          <w:numId w:val="12"/>
        </w:numPr>
        <w:rPr>
          <w:rFonts w:ascii="Arial" w:hAnsi="Arial" w:cs="Arial"/>
          <w:color w:val="000000" w:themeColor="text1"/>
          <w:sz w:val="22"/>
          <w:szCs w:val="22"/>
        </w:rPr>
      </w:pPr>
      <w:r w:rsidRPr="003D2471">
        <w:rPr>
          <w:rFonts w:ascii="Arial" w:hAnsi="Arial" w:cs="Arial"/>
          <w:color w:val="000000" w:themeColor="text1"/>
          <w:sz w:val="22"/>
          <w:szCs w:val="22"/>
        </w:rPr>
        <w:t>Contraindications to thermal QST, including: Raynaud's phenomenon, cold urticaria, and peripheral neuropathy.</w:t>
      </w:r>
    </w:p>
    <w:p w14:paraId="78A62224" w14:textId="77777777" w:rsidR="00622080" w:rsidRPr="003D2471" w:rsidRDefault="00622080" w:rsidP="00622080">
      <w:pPr>
        <w:numPr>
          <w:ilvl w:val="0"/>
          <w:numId w:val="12"/>
        </w:numPr>
        <w:rPr>
          <w:rFonts w:ascii="Arial" w:hAnsi="Arial" w:cs="Arial"/>
          <w:color w:val="000000" w:themeColor="text1"/>
          <w:sz w:val="22"/>
          <w:szCs w:val="22"/>
        </w:rPr>
      </w:pPr>
      <w:r w:rsidRPr="003D2471">
        <w:rPr>
          <w:rFonts w:ascii="Arial" w:hAnsi="Arial" w:cs="Arial"/>
          <w:color w:val="000000" w:themeColor="text1"/>
          <w:sz w:val="22"/>
          <w:szCs w:val="22"/>
        </w:rPr>
        <w:t>A positive pregnancy test.</w:t>
      </w:r>
    </w:p>
    <w:p w14:paraId="1878BA90" w14:textId="77777777" w:rsidR="00622080" w:rsidRPr="003D2471" w:rsidRDefault="00622080" w:rsidP="00622080">
      <w:pPr>
        <w:numPr>
          <w:ilvl w:val="0"/>
          <w:numId w:val="12"/>
        </w:numPr>
        <w:rPr>
          <w:rFonts w:ascii="Arial" w:hAnsi="Arial" w:cs="Arial"/>
          <w:color w:val="000000" w:themeColor="text1"/>
          <w:sz w:val="22"/>
          <w:szCs w:val="22"/>
        </w:rPr>
      </w:pPr>
      <w:r w:rsidRPr="003D2471">
        <w:rPr>
          <w:rFonts w:ascii="Arial" w:hAnsi="Arial" w:cs="Arial"/>
          <w:color w:val="000000" w:themeColor="text1"/>
          <w:sz w:val="22"/>
          <w:szCs w:val="22"/>
        </w:rPr>
        <w:t>History of serious adverse reactions to cannabis or cannabinoid products.</w:t>
      </w:r>
    </w:p>
    <w:p w14:paraId="6A99E6F9" w14:textId="77777777" w:rsidR="00622080" w:rsidRPr="003D2471" w:rsidRDefault="00622080" w:rsidP="00622080">
      <w:pPr>
        <w:numPr>
          <w:ilvl w:val="0"/>
          <w:numId w:val="12"/>
        </w:numPr>
        <w:rPr>
          <w:rFonts w:ascii="Arial" w:hAnsi="Arial" w:cs="Arial"/>
          <w:color w:val="000000" w:themeColor="text1"/>
          <w:sz w:val="22"/>
          <w:szCs w:val="22"/>
        </w:rPr>
      </w:pPr>
      <w:r w:rsidRPr="003D2471">
        <w:rPr>
          <w:rFonts w:ascii="Arial" w:hAnsi="Arial" w:cs="Arial"/>
          <w:color w:val="000000" w:themeColor="text1"/>
          <w:sz w:val="22"/>
          <w:szCs w:val="22"/>
        </w:rPr>
        <w:t>Liver enzymes ≥2x upper limit of normal.</w:t>
      </w:r>
    </w:p>
    <w:p w14:paraId="5E3EE2DB" w14:textId="0242F182" w:rsidR="00424DBD" w:rsidRPr="003D2471" w:rsidRDefault="00622080" w:rsidP="00B974B0">
      <w:pPr>
        <w:numPr>
          <w:ilvl w:val="0"/>
          <w:numId w:val="12"/>
        </w:numPr>
        <w:rPr>
          <w:rFonts w:ascii="Arial" w:hAnsi="Arial" w:cs="Arial"/>
          <w:color w:val="000000" w:themeColor="text1"/>
          <w:sz w:val="22"/>
          <w:szCs w:val="22"/>
        </w:rPr>
      </w:pPr>
      <w:r w:rsidRPr="003D2471">
        <w:rPr>
          <w:rFonts w:ascii="Arial" w:hAnsi="Arial" w:cs="Arial"/>
          <w:color w:val="000000" w:themeColor="text1"/>
          <w:sz w:val="22"/>
          <w:szCs w:val="22"/>
        </w:rPr>
        <w:t>Suicidal ideation or unstable medical or psychiatry conditions requiring immediate treatment or hospitalization.</w:t>
      </w:r>
    </w:p>
    <w:p w14:paraId="13795A26" w14:textId="04AAB6A5" w:rsidR="00FE4ED4" w:rsidRPr="003D2471" w:rsidRDefault="007D6F97" w:rsidP="00FE4ED4">
      <w:pPr>
        <w:rPr>
          <w:rFonts w:ascii="Arial" w:hAnsi="Arial" w:cs="Arial"/>
          <w:color w:val="000000" w:themeColor="text1"/>
          <w:sz w:val="22"/>
          <w:szCs w:val="22"/>
        </w:rPr>
      </w:pPr>
      <w:r w:rsidRPr="003D2471">
        <w:rPr>
          <w:rFonts w:ascii="Arial" w:hAnsi="Arial" w:cs="Arial"/>
          <w:b/>
          <w:color w:val="000000" w:themeColor="text1"/>
          <w:sz w:val="22"/>
          <w:szCs w:val="22"/>
        </w:rPr>
        <w:lastRenderedPageBreak/>
        <w:t>S2. Evoked Pain at the Baseline Timepoint Across Conditions</w:t>
      </w:r>
    </w:p>
    <w:p w14:paraId="31842E0F" w14:textId="242D9C94" w:rsidR="00FE4ED4" w:rsidRPr="003D2471" w:rsidRDefault="00FE4ED4" w:rsidP="00FE4ED4">
      <w:pPr>
        <w:spacing w:after="200"/>
        <w:rPr>
          <w:rFonts w:ascii="Arial" w:hAnsi="Arial" w:cs="Arial"/>
          <w:color w:val="000000" w:themeColor="text1"/>
          <w:sz w:val="22"/>
          <w:szCs w:val="22"/>
        </w:rPr>
      </w:pPr>
      <w:r w:rsidRPr="003D2471">
        <w:rPr>
          <w:rFonts w:ascii="Arial" w:hAnsi="Arial" w:cs="Arial"/>
          <w:color w:val="000000" w:themeColor="text1"/>
          <w:sz w:val="22"/>
          <w:szCs w:val="22"/>
        </w:rPr>
        <w:t>To evaluate the stability of baseline pain sensitivity across study sessions, we compared pre-CBD administration QST values across all four conditions (placebo, CBD 400 mg, CBD 800 mg, CBD 1200 mg) within each participant using Friedman tests. No significant differences in baseline values were observed for any QST measure across conditions (all p &gt; 0.14), confirming stable within-subject pain sensitivity at the start of each session and supporting the absence of carry-over effects across the 72-hour washout periods.</w:t>
      </w:r>
    </w:p>
    <w:p w14:paraId="36E7CF84" w14:textId="2EBFDA4A" w:rsidR="00FE4ED4" w:rsidRPr="003D2471" w:rsidRDefault="00FE4ED4" w:rsidP="00FE4ED4">
      <w:pPr>
        <w:spacing w:after="120"/>
        <w:rPr>
          <w:rFonts w:ascii="Arial" w:hAnsi="Arial" w:cs="Arial"/>
          <w:color w:val="000000" w:themeColor="text1"/>
          <w:sz w:val="22"/>
          <w:szCs w:val="22"/>
        </w:rPr>
      </w:pPr>
      <w:r w:rsidRPr="003D2471">
        <w:rPr>
          <w:rFonts w:ascii="Arial" w:hAnsi="Arial" w:cs="Arial"/>
          <w:color w:val="000000" w:themeColor="text1"/>
          <w:sz w:val="22"/>
          <w:szCs w:val="22"/>
        </w:rPr>
        <w:t>Friedman Tests Comparing Baseline QST Values Across Conditions</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45"/>
        <w:gridCol w:w="571"/>
      </w:tblGrid>
      <w:tr w:rsidR="003D2471" w:rsidRPr="003D2471" w14:paraId="4A1DD64B" w14:textId="77777777" w:rsidTr="001635C2">
        <w:trPr>
          <w:tblHeader/>
        </w:trPr>
        <w:tc>
          <w:tcPr>
            <w:tcW w:w="0" w:type="auto"/>
            <w:vAlign w:val="center"/>
          </w:tcPr>
          <w:p w14:paraId="7610BB2A"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b/>
                <w:color w:val="000000" w:themeColor="text1"/>
                <w:sz w:val="22"/>
                <w:szCs w:val="22"/>
              </w:rPr>
              <w:t>QST Outcome</w:t>
            </w:r>
          </w:p>
        </w:tc>
        <w:tc>
          <w:tcPr>
            <w:tcW w:w="0" w:type="auto"/>
            <w:vAlign w:val="center"/>
          </w:tcPr>
          <w:p w14:paraId="5E8908A7"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b/>
                <w:i/>
                <w:color w:val="000000" w:themeColor="text1"/>
                <w:sz w:val="22"/>
                <w:szCs w:val="22"/>
              </w:rPr>
              <w:t>p</w:t>
            </w:r>
          </w:p>
        </w:tc>
      </w:tr>
      <w:tr w:rsidR="003D2471" w:rsidRPr="003D2471" w14:paraId="632EFA98" w14:textId="77777777" w:rsidTr="001635C2">
        <w:tc>
          <w:tcPr>
            <w:tcW w:w="0" w:type="auto"/>
            <w:vAlign w:val="center"/>
          </w:tcPr>
          <w:p w14:paraId="75B2DD19"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color w:val="000000" w:themeColor="text1"/>
                <w:sz w:val="22"/>
                <w:szCs w:val="22"/>
              </w:rPr>
              <w:t>Heat Pain Threshold</w:t>
            </w:r>
          </w:p>
        </w:tc>
        <w:tc>
          <w:tcPr>
            <w:tcW w:w="0" w:type="auto"/>
            <w:vAlign w:val="center"/>
          </w:tcPr>
          <w:p w14:paraId="47675B86"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color w:val="000000" w:themeColor="text1"/>
                <w:sz w:val="22"/>
                <w:szCs w:val="22"/>
              </w:rPr>
              <w:t>0.248</w:t>
            </w:r>
          </w:p>
        </w:tc>
      </w:tr>
      <w:tr w:rsidR="003D2471" w:rsidRPr="003D2471" w14:paraId="6A50FBE3" w14:textId="77777777" w:rsidTr="001635C2">
        <w:tc>
          <w:tcPr>
            <w:tcW w:w="0" w:type="auto"/>
            <w:vAlign w:val="center"/>
          </w:tcPr>
          <w:p w14:paraId="1C508E09"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color w:val="000000" w:themeColor="text1"/>
                <w:sz w:val="22"/>
                <w:szCs w:val="22"/>
              </w:rPr>
              <w:t>Heat Pain Tolerance</w:t>
            </w:r>
          </w:p>
        </w:tc>
        <w:tc>
          <w:tcPr>
            <w:tcW w:w="0" w:type="auto"/>
            <w:vAlign w:val="center"/>
          </w:tcPr>
          <w:p w14:paraId="2C26DF4B"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color w:val="000000" w:themeColor="text1"/>
                <w:sz w:val="22"/>
                <w:szCs w:val="22"/>
              </w:rPr>
              <w:t>0.147</w:t>
            </w:r>
          </w:p>
        </w:tc>
      </w:tr>
      <w:tr w:rsidR="003D2471" w:rsidRPr="003D2471" w14:paraId="7C966B06" w14:textId="77777777" w:rsidTr="001635C2">
        <w:tc>
          <w:tcPr>
            <w:tcW w:w="0" w:type="auto"/>
            <w:vAlign w:val="center"/>
          </w:tcPr>
          <w:p w14:paraId="3FDC23C8"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color w:val="000000" w:themeColor="text1"/>
                <w:sz w:val="22"/>
                <w:szCs w:val="22"/>
              </w:rPr>
              <w:t>Temporal Summation of Pain</w:t>
            </w:r>
          </w:p>
        </w:tc>
        <w:tc>
          <w:tcPr>
            <w:tcW w:w="0" w:type="auto"/>
            <w:vAlign w:val="center"/>
          </w:tcPr>
          <w:p w14:paraId="1D23AC51"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color w:val="000000" w:themeColor="text1"/>
                <w:sz w:val="22"/>
                <w:szCs w:val="22"/>
              </w:rPr>
              <w:t>0.271</w:t>
            </w:r>
          </w:p>
        </w:tc>
      </w:tr>
      <w:tr w:rsidR="003D2471" w:rsidRPr="003D2471" w14:paraId="2117D31B" w14:textId="77777777" w:rsidTr="001635C2">
        <w:tc>
          <w:tcPr>
            <w:tcW w:w="0" w:type="auto"/>
            <w:vAlign w:val="center"/>
          </w:tcPr>
          <w:p w14:paraId="3194CFF3"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color w:val="000000" w:themeColor="text1"/>
                <w:sz w:val="22"/>
                <w:szCs w:val="22"/>
              </w:rPr>
              <w:t>Conditioned Pain Modulation</w:t>
            </w:r>
          </w:p>
        </w:tc>
        <w:tc>
          <w:tcPr>
            <w:tcW w:w="0" w:type="auto"/>
            <w:vAlign w:val="center"/>
          </w:tcPr>
          <w:p w14:paraId="04433368" w14:textId="77777777" w:rsidR="00736C2E" w:rsidRPr="003D2471" w:rsidRDefault="00736C2E" w:rsidP="001635C2">
            <w:pPr>
              <w:jc w:val="center"/>
              <w:rPr>
                <w:rFonts w:ascii="Arial" w:hAnsi="Arial" w:cs="Arial"/>
                <w:color w:val="000000" w:themeColor="text1"/>
                <w:sz w:val="22"/>
                <w:szCs w:val="22"/>
              </w:rPr>
            </w:pPr>
            <w:r w:rsidRPr="003D2471">
              <w:rPr>
                <w:rFonts w:ascii="Arial" w:hAnsi="Arial" w:cs="Arial"/>
                <w:color w:val="000000" w:themeColor="text1"/>
                <w:sz w:val="22"/>
                <w:szCs w:val="22"/>
              </w:rPr>
              <w:t>0.534</w:t>
            </w:r>
          </w:p>
        </w:tc>
      </w:tr>
    </w:tbl>
    <w:p w14:paraId="2A0A80BC" w14:textId="77777777" w:rsidR="00FE4ED4" w:rsidRPr="003D2471" w:rsidRDefault="00FE4ED4" w:rsidP="00FE4ED4">
      <w:pPr>
        <w:spacing w:before="60"/>
        <w:rPr>
          <w:rFonts w:ascii="Arial" w:hAnsi="Arial" w:cs="Arial"/>
          <w:i/>
          <w:iCs/>
          <w:color w:val="000000" w:themeColor="text1"/>
          <w:sz w:val="22"/>
          <w:szCs w:val="22"/>
        </w:rPr>
      </w:pPr>
      <w:r w:rsidRPr="003D2471">
        <w:rPr>
          <w:rFonts w:ascii="Arial" w:hAnsi="Arial" w:cs="Arial"/>
          <w:i/>
          <w:iCs/>
          <w:color w:val="000000" w:themeColor="text1"/>
          <w:sz w:val="22"/>
          <w:szCs w:val="22"/>
        </w:rPr>
        <w:t>QST = Quantitative Sensory Testing; AUC = Area Under the Curve; Co-VAS = Computerized Visual Analog Scale.</w:t>
      </w:r>
    </w:p>
    <w:p w14:paraId="1C6CD2A8" w14:textId="77777777" w:rsidR="00FE4ED4" w:rsidRPr="003D2471" w:rsidRDefault="00FE4ED4" w:rsidP="00FE4ED4">
      <w:pPr>
        <w:rPr>
          <w:rFonts w:ascii="Arial" w:hAnsi="Arial" w:cs="Arial"/>
          <w:color w:val="000000" w:themeColor="text1"/>
          <w:sz w:val="22"/>
          <w:szCs w:val="22"/>
        </w:rPr>
      </w:pPr>
    </w:p>
    <w:p w14:paraId="02C06E21" w14:textId="1D11799E" w:rsidR="003F0B35" w:rsidRPr="003D2471" w:rsidRDefault="007D6F97" w:rsidP="003F0B35">
      <w:pPr>
        <w:rPr>
          <w:rFonts w:ascii="Arial" w:hAnsi="Arial" w:cs="Arial"/>
          <w:b/>
          <w:bCs/>
          <w:color w:val="000000" w:themeColor="text1"/>
          <w:sz w:val="22"/>
          <w:szCs w:val="22"/>
        </w:rPr>
      </w:pPr>
      <w:r w:rsidRPr="003D2471">
        <w:rPr>
          <w:rFonts w:ascii="Arial" w:hAnsi="Arial" w:cs="Arial"/>
          <w:b/>
          <w:bCs/>
          <w:color w:val="000000" w:themeColor="text1"/>
          <w:sz w:val="22"/>
          <w:szCs w:val="22"/>
        </w:rPr>
        <w:t>S3. Study Procedures, Fasting, and Meal Standardization</w:t>
      </w:r>
    </w:p>
    <w:p w14:paraId="5C184CFB" w14:textId="6F5A49FF" w:rsidR="003F0B35" w:rsidRPr="003D2471" w:rsidRDefault="003F0B35" w:rsidP="003F0B35">
      <w:pPr>
        <w:rPr>
          <w:rFonts w:ascii="Arial" w:hAnsi="Arial" w:cs="Arial"/>
          <w:color w:val="000000" w:themeColor="text1"/>
          <w:sz w:val="22"/>
          <w:szCs w:val="22"/>
        </w:rPr>
      </w:pPr>
      <w:r w:rsidRPr="003D2471">
        <w:rPr>
          <w:rFonts w:ascii="Arial" w:hAnsi="Arial" w:cs="Arial"/>
          <w:color w:val="000000" w:themeColor="text1"/>
          <w:sz w:val="22"/>
          <w:szCs w:val="22"/>
        </w:rPr>
        <w:t xml:space="preserve">To standardize drug absorption and minimize inter-individual pharmacokinetic variability, participants fasted overnight prior to each test session (minimum 8 hours, typically 10-12 hours). Participants were permitted to consume water ad libitum during the fasting period and throughout the test session. </w:t>
      </w:r>
      <w:r w:rsidRPr="003D2471">
        <w:rPr>
          <w:rFonts w:ascii="Arial" w:hAnsi="Arial" w:cs="Arial"/>
          <w:color w:val="000000" w:themeColor="text1"/>
          <w:sz w:val="22"/>
          <w:szCs w:val="22"/>
        </w:rPr>
        <w:br/>
      </w:r>
      <w:r w:rsidRPr="003D2471">
        <w:rPr>
          <w:rFonts w:ascii="Arial" w:hAnsi="Arial" w:cs="Arial"/>
          <w:color w:val="000000" w:themeColor="text1"/>
          <w:sz w:val="22"/>
          <w:szCs w:val="22"/>
        </w:rPr>
        <w:br/>
        <w:t>Participants maintained their usual morning nicotine intake (if applicable) prior to arrival at the laboratory but were instructed to abstain from smoking/vaping nicotine for the duration of the test session after arrival (approximately 8 hours). Similarly, participants could consume their usual morning caffeine prior to arrival but abstained from additional caffeine during the session. This approach balanced the need to prevent nicotine/caffeine withdrawal symptoms that might confound outcome measures while standardizing exposure timing relative to study drug administration.</w:t>
      </w:r>
      <w:r w:rsidRPr="003D2471">
        <w:rPr>
          <w:rFonts w:ascii="Arial" w:hAnsi="Arial" w:cs="Arial"/>
          <w:color w:val="000000" w:themeColor="text1"/>
          <w:sz w:val="22"/>
          <w:szCs w:val="22"/>
        </w:rPr>
        <w:br/>
      </w:r>
      <w:r w:rsidRPr="003D2471">
        <w:rPr>
          <w:rFonts w:ascii="Arial" w:hAnsi="Arial" w:cs="Arial"/>
          <w:color w:val="000000" w:themeColor="text1"/>
          <w:sz w:val="22"/>
          <w:szCs w:val="22"/>
        </w:rPr>
        <w:br/>
        <w:t xml:space="preserve">Study drug administration occurred at time 0 (approximately 08:30). CBD (Epidiolex® oral solution, 100 mg/mL) or placebo (sesame oil vehicle) was measured using calibrated oral syringes to ensure accurate dosing. </w:t>
      </w:r>
      <w:r w:rsidRPr="003D2471">
        <w:rPr>
          <w:rFonts w:ascii="Arial" w:hAnsi="Arial" w:cs="Arial"/>
          <w:color w:val="000000" w:themeColor="text1"/>
          <w:sz w:val="22"/>
          <w:szCs w:val="22"/>
        </w:rPr>
        <w:br/>
      </w:r>
      <w:r w:rsidRPr="003D2471">
        <w:rPr>
          <w:rFonts w:ascii="Arial" w:hAnsi="Arial" w:cs="Arial"/>
          <w:color w:val="000000" w:themeColor="text1"/>
          <w:sz w:val="22"/>
          <w:szCs w:val="22"/>
        </w:rPr>
        <w:br/>
        <w:t xml:space="preserve">The study drug was administered orally without mixing with food or beverage. Participants were instructed to hold the medication in their mouth briefly before swallowing to potentially enhance buccal absorption, though the primary absorption route was enteral. The study drug was </w:t>
      </w:r>
      <w:r w:rsidRPr="003D2471">
        <w:rPr>
          <w:rFonts w:ascii="Arial" w:hAnsi="Arial" w:cs="Arial"/>
          <w:color w:val="000000" w:themeColor="text1"/>
          <w:sz w:val="22"/>
          <w:szCs w:val="22"/>
        </w:rPr>
        <w:lastRenderedPageBreak/>
        <w:t>administered under direct observation by research staff to ensure compliance.</w:t>
      </w:r>
      <w:r w:rsidRPr="003D2471">
        <w:rPr>
          <w:rFonts w:ascii="Arial" w:hAnsi="Arial" w:cs="Arial"/>
          <w:color w:val="000000" w:themeColor="text1"/>
          <w:sz w:val="22"/>
          <w:szCs w:val="22"/>
        </w:rPr>
        <w:br/>
      </w:r>
      <w:r w:rsidRPr="003D2471">
        <w:rPr>
          <w:rFonts w:ascii="Arial" w:hAnsi="Arial" w:cs="Arial"/>
          <w:color w:val="000000" w:themeColor="text1"/>
          <w:sz w:val="22"/>
          <w:szCs w:val="22"/>
        </w:rPr>
        <w:br/>
        <w:t>Participants remained fasting (except water) until methadone administration at 210 minutes (approximately 12:00), at which time they were provided a standardized meal (sandwich, fruit, and beverage totaling approximately 500 calories) to accompany their methadone dose. This meal standardization was implemented because methadone absorption can be influenced by food intake, and we sought to minimize variability in methadone pharmacokinetics across sessions.</w:t>
      </w:r>
    </w:p>
    <w:p w14:paraId="35DE2511" w14:textId="77777777" w:rsidR="00FE4ED4" w:rsidRPr="003D2471" w:rsidRDefault="00FE4ED4" w:rsidP="00B974B0">
      <w:pPr>
        <w:rPr>
          <w:rFonts w:ascii="Arial" w:hAnsi="Arial" w:cs="Arial"/>
          <w:color w:val="000000" w:themeColor="text1"/>
          <w:sz w:val="22"/>
          <w:szCs w:val="22"/>
        </w:rPr>
      </w:pPr>
    </w:p>
    <w:p w14:paraId="6530A9E7" w14:textId="427376B1" w:rsidR="00FE4ED4" w:rsidRPr="003D2471" w:rsidRDefault="007D6F97" w:rsidP="00FE4ED4">
      <w:pPr>
        <w:rPr>
          <w:rFonts w:ascii="Arial" w:hAnsi="Arial" w:cs="Arial"/>
          <w:color w:val="000000" w:themeColor="text1"/>
          <w:sz w:val="22"/>
          <w:szCs w:val="22"/>
        </w:rPr>
      </w:pPr>
      <w:r w:rsidRPr="003D2471">
        <w:rPr>
          <w:rFonts w:ascii="Arial" w:hAnsi="Arial" w:cs="Arial"/>
          <w:b/>
          <w:color w:val="000000" w:themeColor="text1"/>
          <w:sz w:val="22"/>
          <w:szCs w:val="22"/>
        </w:rPr>
        <w:t>S4. Randomization and Blinding Procedures</w:t>
      </w:r>
    </w:p>
    <w:p w14:paraId="16F2DDBC" w14:textId="77777777" w:rsidR="00FE4ED4" w:rsidRPr="003D2471" w:rsidRDefault="00FE4ED4" w:rsidP="00FE4ED4">
      <w:pPr>
        <w:rPr>
          <w:rFonts w:ascii="Arial" w:hAnsi="Arial" w:cs="Arial"/>
          <w:color w:val="000000" w:themeColor="text1"/>
          <w:sz w:val="22"/>
          <w:szCs w:val="22"/>
        </w:rPr>
      </w:pPr>
      <w:r w:rsidRPr="003D2471">
        <w:rPr>
          <w:rFonts w:ascii="Arial" w:hAnsi="Arial" w:cs="Arial"/>
          <w:color w:val="000000" w:themeColor="text1"/>
          <w:sz w:val="22"/>
          <w:szCs w:val="22"/>
        </w:rPr>
        <w:t xml:space="preserve">The Research Pharmacy prepared the randomization allocation sequence using a computer-generated permutation of treatment orders to achieve counterbalanced administration across the four sessions (placebo, CBD 400 mg, CBD 800 mg, CBD 1200 mg). </w:t>
      </w:r>
    </w:p>
    <w:p w14:paraId="7E312E77" w14:textId="77777777" w:rsidR="00FE4ED4" w:rsidRPr="003D2471" w:rsidRDefault="00FE4ED4" w:rsidP="00FE4ED4">
      <w:pPr>
        <w:rPr>
          <w:rFonts w:ascii="Arial" w:hAnsi="Arial" w:cs="Arial"/>
          <w:color w:val="000000" w:themeColor="text1"/>
          <w:sz w:val="22"/>
          <w:szCs w:val="22"/>
        </w:rPr>
      </w:pPr>
      <w:r w:rsidRPr="003D2471">
        <w:rPr>
          <w:rFonts w:ascii="Arial" w:hAnsi="Arial" w:cs="Arial"/>
          <w:color w:val="000000" w:themeColor="text1"/>
          <w:sz w:val="22"/>
          <w:szCs w:val="22"/>
        </w:rPr>
        <w:t>Study drug (Epidiolex® oral solution, 100 mg/mL; Jazz Pharmaceuticals) and placebo (sesame oil vehicle) were dispensed by the Research Pharmacy in identical amber bottles labeled only with study identification codes. All study staff involved in participant contact, outcome assessment, and data analysis remained blinded to treatment assignment throughout the study. To maintain blinding, the Research Pharmacy compounded each dose to a standardized total volume of 12 mL by combining CBD solution (Epidiolex) with matching placebo vehicle (e.g., 800 mg = 8 mL Epidiolex + 4 mL placebo). Both CBD and placebo consisted of strawberry-flavored, colorless-to-yellow solutions dispensed in identical syringes, ensuring that volume, taste, and appearance were indistinguishable across conditions.</w:t>
      </w:r>
    </w:p>
    <w:p w14:paraId="2EF0C134" w14:textId="77777777" w:rsidR="00FE4ED4" w:rsidRPr="003D2471" w:rsidRDefault="00FE4ED4" w:rsidP="00B974B0">
      <w:pPr>
        <w:rPr>
          <w:rFonts w:ascii="Arial" w:hAnsi="Arial" w:cs="Arial"/>
          <w:color w:val="000000" w:themeColor="text1"/>
          <w:sz w:val="22"/>
          <w:szCs w:val="22"/>
        </w:rPr>
      </w:pPr>
    </w:p>
    <w:p w14:paraId="2D06D8E9" w14:textId="629D4B66" w:rsidR="00B974B0" w:rsidRPr="003D2471" w:rsidRDefault="007D6F97" w:rsidP="00B974B0">
      <w:pPr>
        <w:rPr>
          <w:rFonts w:ascii="Arial" w:hAnsi="Arial" w:cs="Arial"/>
          <w:color w:val="000000" w:themeColor="text1"/>
          <w:sz w:val="22"/>
          <w:szCs w:val="22"/>
        </w:rPr>
      </w:pPr>
      <w:r w:rsidRPr="003D2471">
        <w:rPr>
          <w:rFonts w:ascii="Arial" w:hAnsi="Arial" w:cs="Arial"/>
          <w:b/>
          <w:color w:val="000000" w:themeColor="text1"/>
          <w:sz w:val="22"/>
          <w:szCs w:val="22"/>
        </w:rPr>
        <w:t>S5. Detailed Quantitative Sensory Testing Protocols</w:t>
      </w:r>
    </w:p>
    <w:p w14:paraId="7ABC1DFC" w14:textId="77777777" w:rsidR="00B974B0" w:rsidRPr="003D2471" w:rsidRDefault="00B974B0" w:rsidP="00B974B0">
      <w:pPr>
        <w:rPr>
          <w:rFonts w:ascii="Arial" w:hAnsi="Arial" w:cs="Arial"/>
          <w:bCs/>
          <w:i/>
          <w:iCs/>
          <w:color w:val="000000" w:themeColor="text1"/>
          <w:sz w:val="22"/>
          <w:szCs w:val="22"/>
        </w:rPr>
      </w:pPr>
      <w:r w:rsidRPr="003D2471">
        <w:rPr>
          <w:rFonts w:ascii="Arial" w:hAnsi="Arial" w:cs="Arial"/>
          <w:bCs/>
          <w:i/>
          <w:iCs/>
          <w:color w:val="000000" w:themeColor="text1"/>
          <w:sz w:val="22"/>
          <w:szCs w:val="22"/>
        </w:rPr>
        <w:t>Equipment and Setup</w:t>
      </w:r>
    </w:p>
    <w:p w14:paraId="1DD7475B" w14:textId="77777777" w:rsidR="00B974B0" w:rsidRPr="003D2471" w:rsidRDefault="00B974B0" w:rsidP="00B974B0">
      <w:pPr>
        <w:rPr>
          <w:rFonts w:ascii="Arial" w:hAnsi="Arial" w:cs="Arial"/>
          <w:color w:val="000000" w:themeColor="text1"/>
          <w:sz w:val="22"/>
          <w:szCs w:val="22"/>
        </w:rPr>
      </w:pPr>
      <w:r w:rsidRPr="003D2471">
        <w:rPr>
          <w:rFonts w:ascii="Arial" w:hAnsi="Arial" w:cs="Arial"/>
          <w:color w:val="000000" w:themeColor="text1"/>
          <w:sz w:val="22"/>
          <w:szCs w:val="22"/>
        </w:rPr>
        <w:t>All quantitative sensory testing (QST) was conducted using the Medoc TSA-II Neurosensory Analyzer (Medoc Ltd., Ramat Yishai, Israel), a computerized thermal stimulation system with precise temperature control. Thermal stimuli were delivered via a 30 x 30 mm Peltier-based thermode with contact thermometry. The thermode was secured to the skin using a Velcro strap with standardized pressure to ensure consistent contact while avoiding excessive compression. Testing was conducted in a quiet, temperature-controlled room (21-23°C) to minimize environmental influences on pain perception. Participants were seated in a comfortable reclining chair and provided with standardized instructions before each test procedure.</w:t>
      </w:r>
    </w:p>
    <w:p w14:paraId="66D93CCE" w14:textId="77777777" w:rsidR="00B974B0" w:rsidRPr="003D2471" w:rsidRDefault="00B974B0" w:rsidP="00B974B0">
      <w:pPr>
        <w:rPr>
          <w:rFonts w:ascii="Arial" w:hAnsi="Arial" w:cs="Arial"/>
          <w:color w:val="000000" w:themeColor="text1"/>
          <w:sz w:val="22"/>
          <w:szCs w:val="22"/>
        </w:rPr>
      </w:pPr>
    </w:p>
    <w:p w14:paraId="3AE314A8" w14:textId="77777777" w:rsidR="00B974B0" w:rsidRPr="003D2471" w:rsidRDefault="00B974B0" w:rsidP="00B974B0">
      <w:pPr>
        <w:rPr>
          <w:rFonts w:ascii="Arial" w:hAnsi="Arial" w:cs="Arial"/>
          <w:bCs/>
          <w:i/>
          <w:iCs/>
          <w:color w:val="000000" w:themeColor="text1"/>
          <w:sz w:val="22"/>
          <w:szCs w:val="22"/>
        </w:rPr>
      </w:pPr>
      <w:r w:rsidRPr="003D2471">
        <w:rPr>
          <w:rFonts w:ascii="Arial" w:hAnsi="Arial" w:cs="Arial"/>
          <w:bCs/>
          <w:i/>
          <w:iCs/>
          <w:color w:val="000000" w:themeColor="text1"/>
          <w:sz w:val="22"/>
          <w:szCs w:val="22"/>
        </w:rPr>
        <w:t>Conditioned Pain Modulation (CPM)</w:t>
      </w:r>
    </w:p>
    <w:p w14:paraId="349C31FF" w14:textId="6DA9039F" w:rsidR="00B974B0" w:rsidRPr="003D2471" w:rsidRDefault="00B974B0" w:rsidP="00B974B0">
      <w:pPr>
        <w:rPr>
          <w:rFonts w:ascii="Arial" w:hAnsi="Arial" w:cs="Arial"/>
          <w:color w:val="000000" w:themeColor="text1"/>
          <w:sz w:val="22"/>
          <w:szCs w:val="22"/>
        </w:rPr>
      </w:pPr>
      <w:r w:rsidRPr="003D2471">
        <w:rPr>
          <w:rFonts w:ascii="Arial" w:hAnsi="Arial" w:cs="Arial"/>
          <w:color w:val="000000" w:themeColor="text1"/>
          <w:sz w:val="22"/>
          <w:szCs w:val="22"/>
        </w:rPr>
        <w:t xml:space="preserve">Conditioned pain modulation (CPM) assessed descending pain inhibitory capacity using a well-validated paradigm based on diffuse noxious inhibitory controls (DNIC). The CPM protocol involved seven brief heat test stimuli (46.5°C, 4 sec duration, 15 sec inter-stimulus interval) </w:t>
      </w:r>
      <w:r w:rsidRPr="003D2471">
        <w:rPr>
          <w:rFonts w:ascii="Arial" w:hAnsi="Arial" w:cs="Arial"/>
          <w:color w:val="000000" w:themeColor="text1"/>
          <w:sz w:val="22"/>
          <w:szCs w:val="22"/>
        </w:rPr>
        <w:lastRenderedPageBreak/>
        <w:t>applied to the thenar eminence of the dominant hand across three phases:</w:t>
      </w:r>
      <w:r w:rsidRPr="003D2471">
        <w:rPr>
          <w:rFonts w:ascii="Arial" w:hAnsi="Arial" w:cs="Arial"/>
          <w:color w:val="000000" w:themeColor="text1"/>
          <w:sz w:val="22"/>
          <w:szCs w:val="22"/>
        </w:rPr>
        <w:br/>
      </w:r>
      <w:r w:rsidRPr="003D2471">
        <w:rPr>
          <w:rFonts w:ascii="Arial" w:hAnsi="Arial" w:cs="Arial"/>
          <w:color w:val="000000" w:themeColor="text1"/>
          <w:sz w:val="22"/>
          <w:szCs w:val="22"/>
        </w:rPr>
        <w:br/>
        <w:t>Phase 1 (Pre-Conditioning): Two heat stimuli were delivered while participants continuously rated their pain intensity using a computerized Visual Analog Scale (Co-VAS). The Co-VAS is an electronic 100 mm visual analog scale that enables real-time, continuous pain intensity ratings via an ergonomic slider mechanism, with endpoints labeled "no pain" (left, 0 mm) and "most pain imaginable" (right, 100 mm). The device displays a colored visual gradient from green to red above the slider without numerical markers, preventing participants from comparing their current ratings to previous responses. The Co-VAS was synchronized with the thermal stimulator, allowing temporal alignment between the delivered stimulus and the pain ratings. The mean pain rating across the two pre-conditioning stimuli was recorded as the unconditioned pain response.</w:t>
      </w:r>
      <w:r w:rsidRPr="003D2471">
        <w:rPr>
          <w:rFonts w:ascii="Arial" w:hAnsi="Arial" w:cs="Arial"/>
          <w:color w:val="000000" w:themeColor="text1"/>
          <w:sz w:val="22"/>
          <w:szCs w:val="22"/>
        </w:rPr>
        <w:br/>
      </w:r>
      <w:r w:rsidRPr="003D2471">
        <w:rPr>
          <w:rFonts w:ascii="Arial" w:hAnsi="Arial" w:cs="Arial"/>
          <w:color w:val="000000" w:themeColor="text1"/>
          <w:sz w:val="22"/>
          <w:szCs w:val="22"/>
        </w:rPr>
        <w:br/>
        <w:t>Phase 2 (During Conditioning): After a 5-minute rest period, a cold conditioning stimulus (5°C, 40 sec) was applied via thermode to the contralateral ventral forearm. During this cold conditioning stimulus, two additional heat stimuli (46.5°C, 4 sec) were delivered to the thenar eminence, with participants continuously rating pain using the Co-VAS. The mean pain rating during these two conditioned-phase stimuli was recorded as the conditioned pain response.</w:t>
      </w:r>
      <w:r w:rsidRPr="003D2471">
        <w:rPr>
          <w:rFonts w:ascii="Arial" w:hAnsi="Arial" w:cs="Arial"/>
          <w:color w:val="000000" w:themeColor="text1"/>
          <w:sz w:val="22"/>
          <w:szCs w:val="22"/>
        </w:rPr>
        <w:br/>
      </w:r>
      <w:r w:rsidRPr="003D2471">
        <w:rPr>
          <w:rFonts w:ascii="Arial" w:hAnsi="Arial" w:cs="Arial"/>
          <w:color w:val="000000" w:themeColor="text1"/>
          <w:sz w:val="22"/>
          <w:szCs w:val="22"/>
        </w:rPr>
        <w:br/>
        <w:t>Phase 3 (Post-Conditioning): Following removal of the cold conditioning stimulus, three additional heat stimuli (46.5°C, 4 sec; 15 sec inter-stimulus interval) were delivered to the thenar eminence while participants continued rating pain on the Co-VAS. These post-conditioning stimuli assessed recovery of pain perception following withdrawal of the conditioning stimulus.</w:t>
      </w:r>
      <w:r w:rsidRPr="003D2471">
        <w:rPr>
          <w:rFonts w:ascii="Arial" w:hAnsi="Arial" w:cs="Arial"/>
          <w:color w:val="000000" w:themeColor="text1"/>
          <w:sz w:val="22"/>
          <w:szCs w:val="22"/>
        </w:rPr>
        <w:br/>
      </w:r>
      <w:r w:rsidRPr="003D2471">
        <w:rPr>
          <w:rFonts w:ascii="Arial" w:hAnsi="Arial" w:cs="Arial"/>
          <w:color w:val="000000" w:themeColor="text1"/>
          <w:sz w:val="22"/>
          <w:szCs w:val="22"/>
        </w:rPr>
        <w:br/>
        <w:t>CPM was calculated as: CPM = Unconditioned Pain Rating - Conditioned Pain Rating</w:t>
      </w:r>
      <w:r w:rsidRPr="003D2471">
        <w:rPr>
          <w:rFonts w:ascii="Arial" w:hAnsi="Arial" w:cs="Arial"/>
          <w:color w:val="000000" w:themeColor="text1"/>
          <w:sz w:val="22"/>
          <w:szCs w:val="22"/>
        </w:rPr>
        <w:br/>
      </w:r>
      <w:r w:rsidRPr="003D2471">
        <w:rPr>
          <w:rFonts w:ascii="Arial" w:hAnsi="Arial" w:cs="Arial"/>
          <w:color w:val="000000" w:themeColor="text1"/>
          <w:sz w:val="22"/>
          <w:szCs w:val="22"/>
        </w:rPr>
        <w:br/>
        <w:t>Higher positive CPM values indicate greater descending pain inhibition (i.e., the conditioning cold stimulus reduced the pain from the heat test stimulus). Negative CPM values indicate impaired or absent descending inhibition.</w:t>
      </w:r>
    </w:p>
    <w:p w14:paraId="6736C99E" w14:textId="77777777" w:rsidR="00B974B0" w:rsidRPr="003D2471" w:rsidRDefault="00B974B0" w:rsidP="00B974B0">
      <w:pPr>
        <w:rPr>
          <w:rFonts w:ascii="Arial" w:hAnsi="Arial" w:cs="Arial"/>
          <w:color w:val="000000" w:themeColor="text1"/>
          <w:sz w:val="22"/>
          <w:szCs w:val="22"/>
        </w:rPr>
      </w:pPr>
    </w:p>
    <w:p w14:paraId="3BE1A544" w14:textId="77777777" w:rsidR="00B974B0" w:rsidRPr="003D2471" w:rsidRDefault="00B974B0" w:rsidP="00B974B0">
      <w:pPr>
        <w:rPr>
          <w:rFonts w:ascii="Arial" w:hAnsi="Arial" w:cs="Arial"/>
          <w:bCs/>
          <w:i/>
          <w:iCs/>
          <w:color w:val="000000" w:themeColor="text1"/>
          <w:sz w:val="22"/>
          <w:szCs w:val="22"/>
        </w:rPr>
      </w:pPr>
      <w:r w:rsidRPr="003D2471">
        <w:rPr>
          <w:rFonts w:ascii="Arial" w:hAnsi="Arial" w:cs="Arial"/>
          <w:bCs/>
          <w:i/>
          <w:iCs/>
          <w:color w:val="000000" w:themeColor="text1"/>
          <w:sz w:val="22"/>
          <w:szCs w:val="22"/>
        </w:rPr>
        <w:t>Temporal Summation of Pain (TSP)</w:t>
      </w:r>
    </w:p>
    <w:p w14:paraId="5A8DE6A3" w14:textId="58F464C2" w:rsidR="00B974B0" w:rsidRPr="003D2471" w:rsidRDefault="00233A76" w:rsidP="00B974B0">
      <w:pPr>
        <w:rPr>
          <w:rFonts w:ascii="Arial" w:hAnsi="Arial" w:cs="Arial"/>
          <w:color w:val="000000" w:themeColor="text1"/>
          <w:sz w:val="22"/>
          <w:szCs w:val="22"/>
        </w:rPr>
      </w:pPr>
      <w:r w:rsidRPr="003D2471">
        <w:rPr>
          <w:rFonts w:ascii="Arial" w:hAnsi="Arial" w:cs="Arial"/>
          <w:color w:val="000000" w:themeColor="text1"/>
          <w:sz w:val="22"/>
          <w:szCs w:val="22"/>
        </w:rPr>
        <w:t>Temporal summation of pain (TSP) assessed ascending pain facilitation and central sensitization using a train of repetitive heat pulses. The thermode was applied to the volar forearm and delivered a series of 10 brief heat pulses, each reaching 46.5°C with a pulse duration of 0.5 seconds. The interpulse interval was 2.5 seconds, resulting in a total trial duration of approximately 30 seconds.</w:t>
      </w:r>
      <w:r w:rsidRPr="003D2471">
        <w:rPr>
          <w:rFonts w:ascii="Arial" w:hAnsi="Arial" w:cs="Arial"/>
          <w:color w:val="000000" w:themeColor="text1"/>
          <w:sz w:val="22"/>
          <w:szCs w:val="22"/>
        </w:rPr>
        <w:br/>
        <w:t>Participants continuously rated their pain intensity using the Co-VAS (0-100 scale) throughout the entire pulse train. The Co-VAS rating was recorded continuously throughout all 10 heat pulses. Temporal summation was quantified as the area under the curve (AUC) of pain ratings across all 10 pulses, with higher values indicating greater wind-up of pain and enhanced ascending facilitation.</w:t>
      </w:r>
    </w:p>
    <w:p w14:paraId="650991A4" w14:textId="77777777" w:rsidR="00C2665D" w:rsidRPr="003D2471" w:rsidRDefault="00C2665D" w:rsidP="00B974B0">
      <w:pPr>
        <w:rPr>
          <w:rFonts w:ascii="Arial" w:hAnsi="Arial" w:cs="Arial"/>
          <w:color w:val="000000" w:themeColor="text1"/>
          <w:sz w:val="22"/>
          <w:szCs w:val="22"/>
        </w:rPr>
      </w:pPr>
    </w:p>
    <w:p w14:paraId="03C64BE5" w14:textId="476285DC" w:rsidR="00064D67" w:rsidRPr="003D2471" w:rsidRDefault="007D6F97" w:rsidP="00B974B0">
      <w:pPr>
        <w:rPr>
          <w:rFonts w:ascii="Arial" w:hAnsi="Arial" w:cs="Arial"/>
          <w:b/>
          <w:bCs/>
          <w:color w:val="000000" w:themeColor="text1"/>
          <w:sz w:val="22"/>
          <w:szCs w:val="22"/>
        </w:rPr>
      </w:pPr>
      <w:r w:rsidRPr="003D2471">
        <w:rPr>
          <w:rFonts w:ascii="Arial" w:hAnsi="Arial" w:cs="Arial"/>
          <w:b/>
          <w:bCs/>
          <w:color w:val="000000" w:themeColor="text1"/>
          <w:sz w:val="22"/>
          <w:szCs w:val="22"/>
        </w:rPr>
        <w:lastRenderedPageBreak/>
        <w:t>S6. Secondary Outcomes</w:t>
      </w:r>
    </w:p>
    <w:p w14:paraId="55BA643C" w14:textId="77777777" w:rsidR="00E54479" w:rsidRPr="003D2471" w:rsidRDefault="00E54479" w:rsidP="00E54479">
      <w:pPr>
        <w:rPr>
          <w:rFonts w:ascii="Arial" w:hAnsi="Arial" w:cs="Arial"/>
          <w:bCs/>
          <w:i/>
          <w:iCs/>
          <w:color w:val="000000" w:themeColor="text1"/>
          <w:sz w:val="22"/>
          <w:szCs w:val="22"/>
        </w:rPr>
      </w:pPr>
      <w:r w:rsidRPr="003D2471">
        <w:rPr>
          <w:rFonts w:ascii="Arial" w:hAnsi="Arial" w:cs="Arial"/>
          <w:bCs/>
          <w:i/>
          <w:iCs/>
          <w:color w:val="000000" w:themeColor="text1"/>
          <w:sz w:val="22"/>
          <w:szCs w:val="22"/>
        </w:rPr>
        <w:t>Heat Pain Threshold</w:t>
      </w:r>
    </w:p>
    <w:p w14:paraId="6AA43F31" w14:textId="77777777" w:rsidR="00E54479" w:rsidRPr="003D2471" w:rsidRDefault="00E54479" w:rsidP="00E54479">
      <w:pPr>
        <w:rPr>
          <w:rFonts w:ascii="Arial" w:hAnsi="Arial" w:cs="Arial"/>
          <w:color w:val="000000" w:themeColor="text1"/>
          <w:sz w:val="22"/>
          <w:szCs w:val="22"/>
        </w:rPr>
      </w:pPr>
      <w:r w:rsidRPr="003D2471">
        <w:rPr>
          <w:rFonts w:ascii="Arial" w:hAnsi="Arial" w:cs="Arial"/>
          <w:color w:val="000000" w:themeColor="text1"/>
          <w:sz w:val="22"/>
          <w:szCs w:val="22"/>
        </w:rPr>
        <w:t>Heat pain threshold (HPT) was defined as the temperature at which participants first perceived the thermal stimulus as painful. The thermode was applied to the volar forearm and the temperature increased from a baseline of 32°C at a rate of 0.5°C per second. Participants were instructed to press a button as soon as the sensation changed from heat to pain (i.e., the first moment of painful sensation). Upon button press, the thermode immediately returned to baseline temperature at a rate of 5°C per second. Two consecutive trials were conducted at each assessment timepoint with an inter-trial interval of at least 30 seconds. The thermode was repositioned between trials to avoid local sensitization. The heat pain threshold value was calculated as the mean temperature of the two trials. If the two trials differed by more than 3°C, a third trial was conducted and the two most similar values were averaged.</w:t>
      </w:r>
    </w:p>
    <w:p w14:paraId="3A191C22" w14:textId="77777777" w:rsidR="00E54479" w:rsidRPr="003D2471" w:rsidRDefault="00E54479" w:rsidP="00E54479">
      <w:pPr>
        <w:rPr>
          <w:rFonts w:ascii="Arial" w:hAnsi="Arial" w:cs="Arial"/>
          <w:color w:val="000000" w:themeColor="text1"/>
          <w:sz w:val="22"/>
          <w:szCs w:val="22"/>
        </w:rPr>
      </w:pPr>
    </w:p>
    <w:p w14:paraId="70591C51" w14:textId="77777777" w:rsidR="00E54479" w:rsidRPr="003D2471" w:rsidRDefault="00E54479" w:rsidP="00E54479">
      <w:pPr>
        <w:rPr>
          <w:rFonts w:ascii="Arial" w:hAnsi="Arial" w:cs="Arial"/>
          <w:bCs/>
          <w:i/>
          <w:iCs/>
          <w:color w:val="000000" w:themeColor="text1"/>
          <w:sz w:val="22"/>
          <w:szCs w:val="22"/>
        </w:rPr>
      </w:pPr>
      <w:r w:rsidRPr="003D2471">
        <w:rPr>
          <w:rFonts w:ascii="Arial" w:hAnsi="Arial" w:cs="Arial"/>
          <w:bCs/>
          <w:i/>
          <w:iCs/>
          <w:color w:val="000000" w:themeColor="text1"/>
          <w:sz w:val="22"/>
          <w:szCs w:val="22"/>
        </w:rPr>
        <w:t>Heat Pain Tolerance</w:t>
      </w:r>
    </w:p>
    <w:p w14:paraId="5F69439A" w14:textId="77777777" w:rsidR="00E54479" w:rsidRPr="003D2471" w:rsidRDefault="00E54479" w:rsidP="00393ED1">
      <w:pPr>
        <w:rPr>
          <w:rFonts w:ascii="Arial" w:hAnsi="Arial" w:cs="Arial"/>
          <w:color w:val="000000" w:themeColor="text1"/>
          <w:sz w:val="22"/>
          <w:szCs w:val="22"/>
        </w:rPr>
      </w:pPr>
      <w:r w:rsidRPr="003D2471">
        <w:rPr>
          <w:rFonts w:ascii="Arial" w:hAnsi="Arial" w:cs="Arial"/>
          <w:color w:val="000000" w:themeColor="text1"/>
          <w:sz w:val="22"/>
          <w:szCs w:val="22"/>
        </w:rPr>
        <w:t>Heat pain tolerance (HPTol) was defined as the maximum temperature participants were willing to endure. The procedure was identical to heat pain threshold testing, but participants were instructed to press the button when the pain became intolerable and they no longer wished to continue experiencing the stimulus. A maximum cutoff temperature of 50°C was programmed into the system for safety, though participants were not informed of this limit. As with threshold testing, two consecutive trials were conducted at each timepoint with repositioning of the thermode between trials, and tolerance was calculated as the mean of the two trials.</w:t>
      </w:r>
    </w:p>
    <w:p w14:paraId="60BAE8D4" w14:textId="77777777" w:rsidR="000A3478" w:rsidRPr="003D2471" w:rsidRDefault="000A3478" w:rsidP="00393ED1">
      <w:pPr>
        <w:rPr>
          <w:rFonts w:ascii="Arial" w:hAnsi="Arial" w:cs="Arial"/>
          <w:b/>
          <w:bCs/>
          <w:color w:val="000000" w:themeColor="text1"/>
          <w:sz w:val="22"/>
          <w:szCs w:val="22"/>
        </w:rPr>
      </w:pPr>
    </w:p>
    <w:p w14:paraId="2165754B" w14:textId="29B621CA" w:rsidR="00815CD2" w:rsidRPr="003D2471" w:rsidRDefault="007D6F97" w:rsidP="00393ED1">
      <w:pPr>
        <w:rPr>
          <w:rFonts w:ascii="Arial" w:hAnsi="Arial" w:cs="Arial"/>
          <w:b/>
          <w:bCs/>
          <w:color w:val="000000" w:themeColor="text1"/>
          <w:sz w:val="22"/>
          <w:szCs w:val="22"/>
        </w:rPr>
      </w:pPr>
      <w:r w:rsidRPr="003D2471">
        <w:rPr>
          <w:rFonts w:ascii="Arial" w:hAnsi="Arial" w:cs="Arial"/>
          <w:b/>
          <w:bCs/>
          <w:color w:val="000000" w:themeColor="text1"/>
          <w:sz w:val="22"/>
          <w:szCs w:val="22"/>
        </w:rPr>
        <w:t>S7. Exploratory Outcomes</w:t>
      </w:r>
    </w:p>
    <w:p w14:paraId="720C01CC" w14:textId="1F949003" w:rsidR="00393ED1" w:rsidRPr="003D2471" w:rsidRDefault="00393ED1" w:rsidP="00393ED1">
      <w:pPr>
        <w:rPr>
          <w:rFonts w:ascii="Arial" w:hAnsi="Arial" w:cs="Arial"/>
          <w:bCs/>
          <w:i/>
          <w:iCs/>
          <w:color w:val="000000" w:themeColor="text1"/>
          <w:sz w:val="22"/>
          <w:szCs w:val="22"/>
        </w:rPr>
      </w:pPr>
      <w:r w:rsidRPr="003D2471">
        <w:rPr>
          <w:rFonts w:ascii="Arial" w:hAnsi="Arial" w:cs="Arial"/>
          <w:bCs/>
          <w:i/>
          <w:iCs/>
          <w:color w:val="000000" w:themeColor="text1"/>
          <w:sz w:val="22"/>
          <w:szCs w:val="22"/>
        </w:rPr>
        <w:t>Cue-Induced Opioid Craving Assessment</w:t>
      </w:r>
    </w:p>
    <w:p w14:paraId="51ADF3E2" w14:textId="77777777" w:rsidR="00393ED1" w:rsidRPr="003D2471" w:rsidRDefault="00393ED1" w:rsidP="00393ED1">
      <w:pPr>
        <w:rPr>
          <w:rFonts w:ascii="Arial" w:hAnsi="Arial" w:cs="Arial"/>
          <w:color w:val="000000" w:themeColor="text1"/>
          <w:sz w:val="22"/>
          <w:szCs w:val="22"/>
        </w:rPr>
      </w:pPr>
      <w:r w:rsidRPr="003D2471">
        <w:rPr>
          <w:rFonts w:ascii="Arial" w:hAnsi="Arial" w:cs="Arial"/>
          <w:color w:val="000000" w:themeColor="text1"/>
          <w:sz w:val="22"/>
          <w:szCs w:val="22"/>
        </w:rPr>
        <w:t>Opioid craving was assessed using the Heroin Craving Questionnaire-14 (HCQ-14), a validated 14-item self-report instrument designed to measure subjective craving for opioids. The HCQ-14 assesses multiple dimensions of craving including desire to use, intention to use, and anticipation of positive outcomes from use. Each item is rated on a 7-point Likert scale ranging from 0 (strongly disagree) to 6 (strongly agree), with total scores ranging from 0 to 84. Higher scores indicate greater craving intensity.</w:t>
      </w:r>
      <w:r w:rsidRPr="003D2471">
        <w:rPr>
          <w:rFonts w:ascii="Arial" w:hAnsi="Arial" w:cs="Arial"/>
          <w:color w:val="000000" w:themeColor="text1"/>
          <w:sz w:val="22"/>
          <w:szCs w:val="22"/>
        </w:rPr>
        <w:br/>
      </w:r>
      <w:r w:rsidRPr="003D2471">
        <w:rPr>
          <w:rFonts w:ascii="Arial" w:hAnsi="Arial" w:cs="Arial"/>
          <w:color w:val="000000" w:themeColor="text1"/>
          <w:sz w:val="22"/>
          <w:szCs w:val="22"/>
        </w:rPr>
        <w:br/>
        <w:t>The HCQ-14 was administered at baseline (prior to study drug administration) and then at multiple timepoints throughout each test session (60, 120, 150, 160, 180, 240 minutes post-CBD administration). The 150-minute and 160-minute assessments were specifically timed to capture craving responses following visual cue exposure.</w:t>
      </w:r>
      <w:r w:rsidRPr="003D2471">
        <w:rPr>
          <w:rFonts w:ascii="Arial" w:hAnsi="Arial" w:cs="Arial"/>
          <w:color w:val="000000" w:themeColor="text1"/>
          <w:sz w:val="22"/>
          <w:szCs w:val="22"/>
        </w:rPr>
        <w:br/>
      </w:r>
      <w:r w:rsidRPr="003D2471">
        <w:rPr>
          <w:rFonts w:ascii="Arial" w:hAnsi="Arial" w:cs="Arial"/>
          <w:color w:val="000000" w:themeColor="text1"/>
          <w:sz w:val="22"/>
          <w:szCs w:val="22"/>
        </w:rPr>
        <w:br/>
        <w:t xml:space="preserve">Visual Cue Exposure Procedure: At 150 minutes post-CBD administration (60 minutes prior to methadone dosing), participants were exposed to standardized visual drug cues to provoke a craving response. The cue presentation consisted of a 10-minute video displaying images of </w:t>
      </w:r>
      <w:r w:rsidRPr="003D2471">
        <w:rPr>
          <w:rFonts w:ascii="Arial" w:hAnsi="Arial" w:cs="Arial"/>
          <w:color w:val="000000" w:themeColor="text1"/>
          <w:sz w:val="22"/>
          <w:szCs w:val="22"/>
        </w:rPr>
        <w:lastRenderedPageBreak/>
        <w:t>opioid-related paraphernalia (e.g., syringes, pills, powder, preparation materials) and scenarios depicting opioid use. Images were presented in random order with each image displayed for 10 seconds. The video was displayed on a computer monitor positioned at eye level approximately 60 cm from the participant. Participants were instructed to view the images carefully and imagine the scenarios depicted. Immediately following cue exposure (at 160 minutes), the HCQ-14 was readministered to capture acute cue-induced changes in craving.</w:t>
      </w:r>
    </w:p>
    <w:p w14:paraId="1B1F2D6E" w14:textId="77777777" w:rsidR="00470C93" w:rsidRPr="003D2471" w:rsidRDefault="00470C93" w:rsidP="00393ED1">
      <w:pPr>
        <w:rPr>
          <w:rFonts w:ascii="Arial" w:hAnsi="Arial" w:cs="Arial"/>
          <w:bCs/>
          <w:i/>
          <w:iCs/>
          <w:color w:val="000000" w:themeColor="text1"/>
          <w:sz w:val="22"/>
          <w:szCs w:val="22"/>
        </w:rPr>
      </w:pPr>
    </w:p>
    <w:p w14:paraId="448ABE04" w14:textId="7D82F4A3" w:rsidR="00393ED1" w:rsidRPr="003D2471" w:rsidRDefault="00393ED1" w:rsidP="00393ED1">
      <w:pPr>
        <w:rPr>
          <w:rFonts w:ascii="Arial" w:hAnsi="Arial" w:cs="Arial"/>
          <w:bCs/>
          <w:i/>
          <w:iCs/>
          <w:color w:val="000000" w:themeColor="text1"/>
          <w:sz w:val="22"/>
          <w:szCs w:val="22"/>
        </w:rPr>
      </w:pPr>
      <w:r w:rsidRPr="003D2471">
        <w:rPr>
          <w:rFonts w:ascii="Arial" w:hAnsi="Arial" w:cs="Arial"/>
          <w:bCs/>
          <w:i/>
          <w:iCs/>
          <w:color w:val="000000" w:themeColor="text1"/>
          <w:sz w:val="22"/>
          <w:szCs w:val="22"/>
        </w:rPr>
        <w:t xml:space="preserve">Cognitive Performance </w:t>
      </w:r>
    </w:p>
    <w:p w14:paraId="63E1CF98" w14:textId="1F8C0B84" w:rsidR="00222BF4" w:rsidRPr="003D2471" w:rsidRDefault="00393ED1" w:rsidP="00222BF4">
      <w:pPr>
        <w:rPr>
          <w:rFonts w:ascii="Arial" w:hAnsi="Arial" w:cs="Arial"/>
          <w:color w:val="000000" w:themeColor="text1"/>
          <w:sz w:val="22"/>
          <w:szCs w:val="22"/>
        </w:rPr>
      </w:pPr>
      <w:r w:rsidRPr="003D2471">
        <w:rPr>
          <w:rFonts w:ascii="Arial" w:hAnsi="Arial" w:cs="Arial"/>
          <w:color w:val="000000" w:themeColor="text1"/>
          <w:sz w:val="22"/>
          <w:szCs w:val="22"/>
        </w:rPr>
        <w:t>Cognitive function was assessed at 210 minutes post-CBD administration (immediately prior to methadone dosing) using two validated computerized tests:</w:t>
      </w:r>
      <w:r w:rsidRPr="003D2471">
        <w:rPr>
          <w:rFonts w:ascii="Arial" w:hAnsi="Arial" w:cs="Arial"/>
          <w:color w:val="000000" w:themeColor="text1"/>
          <w:sz w:val="22"/>
          <w:szCs w:val="22"/>
        </w:rPr>
        <w:br/>
      </w:r>
      <w:r w:rsidRPr="003D2471">
        <w:rPr>
          <w:rFonts w:ascii="Arial" w:hAnsi="Arial" w:cs="Arial"/>
          <w:color w:val="000000" w:themeColor="text1"/>
          <w:sz w:val="22"/>
          <w:szCs w:val="22"/>
        </w:rPr>
        <w:br/>
        <w:t>Continuous Performance Test (CPT-II): The CPT-II assessed sustained attention and response inhibition. Participants viewed a series of letters presented one at a time on a computer screen for 14 minutes. Letters were displayed for 250 milliseconds with varying inter-stimulus intervals (1, 2, or 4 seconds). Participants were instructed to press the spacebar as quickly as possible for every letter except "X" (the target no-go stimulus). The primary outcome was CPT throughput, a composite measure calculated as: (1 - Hit Response Time Standard Error) × (1 - Commission Error Rate) × (1 - Omission Error Rate). This metric reflects overall attentional performance, integrating response speed, consistency, and accuracy. Higher throughput scores indicate better sustained attention. Data were screened for outliers and low accuracy consistent with established quality control procedures for computerized cognitive assessments (John E Meyers, Andrea S Vincent, Automated Neuropsychological Assessment Metrics (v4) Military Battery: Military Normative Data, Military Medicine, Volume 185, Issue 9-10, September-October 2020, Pages e1706–e1721, https://doi.org/10.1093/milmed/usaa066). Individual test administrations with mean reaction time exceeding 6 standard deviations from the sample mean or percent correct below 56% were excluded on a test-by-test basis. This resulted in the exclusion of 10 observations (all due to low accuracy) across 6 participants, who retained valid data from remaining sessions.</w:t>
      </w:r>
    </w:p>
    <w:p w14:paraId="19A88489" w14:textId="5AA298B3" w:rsidR="00393ED1" w:rsidRPr="003D2471" w:rsidRDefault="00393ED1" w:rsidP="00393ED1">
      <w:pPr>
        <w:rPr>
          <w:rFonts w:ascii="Arial" w:hAnsi="Arial" w:cs="Arial"/>
          <w:color w:val="000000" w:themeColor="text1"/>
          <w:sz w:val="22"/>
          <w:szCs w:val="22"/>
        </w:rPr>
      </w:pPr>
      <w:r w:rsidRPr="003D2471">
        <w:rPr>
          <w:rFonts w:ascii="Arial" w:hAnsi="Arial" w:cs="Arial"/>
          <w:color w:val="000000" w:themeColor="text1"/>
          <w:sz w:val="22"/>
          <w:szCs w:val="22"/>
        </w:rPr>
        <w:br/>
        <w:t>Hopkins Verbal Learning Test-Revised (HVLT-R): The HVLT-R assessed verbal learning and memory. The test involved three learning trials followed by a delayed recall trial. In each learning trial, the examiner read a list of 12 words (4 words from each of 3 semantic categories) at a rate of one word every 2 seconds. Immediately after each presentation, participants recalled as many words as possible in any order. The three learning trials used the same word list to assess acquisition across repeated exposure. After a 20-25 minute delay filled with other non-verbal tasks, participants were asked to recall the words again without re-presentation (delayed recall).</w:t>
      </w:r>
      <w:r w:rsidRPr="003D2471">
        <w:rPr>
          <w:rFonts w:ascii="Arial" w:hAnsi="Arial" w:cs="Arial"/>
          <w:color w:val="000000" w:themeColor="text1"/>
          <w:sz w:val="22"/>
          <w:szCs w:val="22"/>
        </w:rPr>
        <w:br/>
        <w:t>Two outcome measures were calculated:</w:t>
      </w:r>
      <w:r w:rsidRPr="003D2471">
        <w:rPr>
          <w:rFonts w:ascii="Arial" w:hAnsi="Arial" w:cs="Arial"/>
          <w:color w:val="000000" w:themeColor="text1"/>
          <w:sz w:val="22"/>
          <w:szCs w:val="22"/>
        </w:rPr>
        <w:br/>
        <w:t>1. HVLT Total Recall: Sum of correct recalls across the three learning trials (range 0-36), reflecting learning efficiency and encoding strength</w:t>
      </w:r>
      <w:r w:rsidRPr="003D2471">
        <w:rPr>
          <w:rFonts w:ascii="Arial" w:hAnsi="Arial" w:cs="Arial"/>
          <w:color w:val="000000" w:themeColor="text1"/>
          <w:sz w:val="22"/>
          <w:szCs w:val="22"/>
        </w:rPr>
        <w:br/>
        <w:t>2. HVLT Delayed Recall: Number of correctly recalled words on the delayed trial (range 0-12), reflecting memory consolidation and retrieval</w:t>
      </w:r>
      <w:r w:rsidRPr="003D2471">
        <w:rPr>
          <w:rFonts w:ascii="Arial" w:hAnsi="Arial" w:cs="Arial"/>
          <w:color w:val="000000" w:themeColor="text1"/>
          <w:sz w:val="22"/>
          <w:szCs w:val="22"/>
        </w:rPr>
        <w:br/>
      </w:r>
      <w:r w:rsidRPr="003D2471">
        <w:rPr>
          <w:rFonts w:ascii="Arial" w:hAnsi="Arial" w:cs="Arial"/>
          <w:color w:val="000000" w:themeColor="text1"/>
          <w:sz w:val="22"/>
          <w:szCs w:val="22"/>
        </w:rPr>
        <w:lastRenderedPageBreak/>
        <w:t>Six alternate forms of the HVLT-R were available, and different forms were used across the four test sessions in a counterbalanced order to minimize practice effects.</w:t>
      </w:r>
    </w:p>
    <w:p w14:paraId="3408E04E" w14:textId="77777777" w:rsidR="00B974B0" w:rsidRPr="003D2471" w:rsidRDefault="00B974B0" w:rsidP="00B974B0">
      <w:pPr>
        <w:rPr>
          <w:rFonts w:ascii="Arial" w:hAnsi="Arial" w:cs="Arial"/>
          <w:color w:val="000000" w:themeColor="text1"/>
          <w:sz w:val="22"/>
          <w:szCs w:val="22"/>
        </w:rPr>
      </w:pPr>
    </w:p>
    <w:p w14:paraId="107277F1" w14:textId="4B3B0631" w:rsidR="00B974B0" w:rsidRPr="003D2471" w:rsidRDefault="007D6F97" w:rsidP="00B974B0">
      <w:pPr>
        <w:rPr>
          <w:rFonts w:ascii="Arial" w:hAnsi="Arial" w:cs="Arial"/>
          <w:color w:val="000000" w:themeColor="text1"/>
          <w:sz w:val="22"/>
          <w:szCs w:val="22"/>
        </w:rPr>
      </w:pPr>
      <w:r w:rsidRPr="003D2471">
        <w:rPr>
          <w:rFonts w:ascii="Arial" w:hAnsi="Arial" w:cs="Arial"/>
          <w:b/>
          <w:color w:val="000000" w:themeColor="text1"/>
          <w:sz w:val="22"/>
          <w:szCs w:val="22"/>
        </w:rPr>
        <w:t>S8. Safety and Tolerability Assessments</w:t>
      </w:r>
    </w:p>
    <w:p w14:paraId="12701A7E" w14:textId="77777777" w:rsidR="00B974B0" w:rsidRPr="003D2471" w:rsidRDefault="00B974B0" w:rsidP="00B974B0">
      <w:pPr>
        <w:rPr>
          <w:rFonts w:ascii="Arial" w:hAnsi="Arial" w:cs="Arial"/>
          <w:bCs/>
          <w:i/>
          <w:iCs/>
          <w:color w:val="000000" w:themeColor="text1"/>
          <w:sz w:val="22"/>
          <w:szCs w:val="22"/>
        </w:rPr>
      </w:pPr>
      <w:r w:rsidRPr="003D2471">
        <w:rPr>
          <w:rFonts w:ascii="Arial" w:hAnsi="Arial" w:cs="Arial"/>
          <w:bCs/>
          <w:i/>
          <w:iCs/>
          <w:color w:val="000000" w:themeColor="text1"/>
          <w:sz w:val="22"/>
          <w:szCs w:val="22"/>
        </w:rPr>
        <w:t>Adverse Event Monitoring</w:t>
      </w:r>
    </w:p>
    <w:p w14:paraId="71B50141" w14:textId="079DF643" w:rsidR="00B974B0" w:rsidRPr="003D2471" w:rsidRDefault="00B974B0" w:rsidP="00B974B0">
      <w:pPr>
        <w:rPr>
          <w:rFonts w:ascii="Arial" w:hAnsi="Arial" w:cs="Arial"/>
          <w:color w:val="000000" w:themeColor="text1"/>
          <w:sz w:val="22"/>
          <w:szCs w:val="22"/>
        </w:rPr>
      </w:pPr>
      <w:r w:rsidRPr="003D2471">
        <w:rPr>
          <w:rFonts w:ascii="Arial" w:hAnsi="Arial" w:cs="Arial"/>
          <w:color w:val="000000" w:themeColor="text1"/>
          <w:sz w:val="22"/>
          <w:szCs w:val="22"/>
        </w:rPr>
        <w:t xml:space="preserve">Adverse events were systematically assessed using the Systematic Assessment for Treatment Emergent Events (SAFTEE), a comprehensive structured interview administered at multiple timepoints throughout each test session (baseline, 120 minutes, 180 minutes, 240 minutes, and at discharge). The SAFTEE uses open-ended inquiry followed by a systematic review of 78 specific symptoms across multiple body systems. </w:t>
      </w:r>
    </w:p>
    <w:p w14:paraId="1678E6D4" w14:textId="77777777" w:rsidR="003F0B35" w:rsidRPr="003D2471" w:rsidRDefault="003F0B35" w:rsidP="00B974B0">
      <w:pPr>
        <w:rPr>
          <w:rFonts w:ascii="Arial" w:hAnsi="Arial" w:cs="Arial"/>
          <w:bCs/>
          <w:i/>
          <w:iCs/>
          <w:color w:val="000000" w:themeColor="text1"/>
          <w:sz w:val="22"/>
          <w:szCs w:val="22"/>
        </w:rPr>
      </w:pPr>
    </w:p>
    <w:p w14:paraId="76106705" w14:textId="003543DB" w:rsidR="00B974B0" w:rsidRPr="003D2471" w:rsidRDefault="00B974B0" w:rsidP="00B974B0">
      <w:pPr>
        <w:rPr>
          <w:rFonts w:ascii="Arial" w:hAnsi="Arial" w:cs="Arial"/>
          <w:bCs/>
          <w:i/>
          <w:iCs/>
          <w:color w:val="000000" w:themeColor="text1"/>
          <w:sz w:val="22"/>
          <w:szCs w:val="22"/>
        </w:rPr>
      </w:pPr>
      <w:r w:rsidRPr="003D2471">
        <w:rPr>
          <w:rFonts w:ascii="Arial" w:hAnsi="Arial" w:cs="Arial"/>
          <w:bCs/>
          <w:i/>
          <w:iCs/>
          <w:color w:val="000000" w:themeColor="text1"/>
          <w:sz w:val="22"/>
          <w:szCs w:val="22"/>
        </w:rPr>
        <w:t>Hepatic Safety Monitoring</w:t>
      </w:r>
    </w:p>
    <w:p w14:paraId="1D53805D" w14:textId="49547703" w:rsidR="00B974B0" w:rsidRPr="003D2471" w:rsidRDefault="00B974B0" w:rsidP="00B974B0">
      <w:pPr>
        <w:rPr>
          <w:rFonts w:ascii="Arial" w:hAnsi="Arial" w:cs="Arial"/>
          <w:color w:val="000000" w:themeColor="text1"/>
          <w:sz w:val="22"/>
          <w:szCs w:val="22"/>
        </w:rPr>
      </w:pPr>
      <w:r w:rsidRPr="003D2471">
        <w:rPr>
          <w:rFonts w:ascii="Arial" w:hAnsi="Arial" w:cs="Arial"/>
          <w:color w:val="000000" w:themeColor="text1"/>
          <w:sz w:val="22"/>
          <w:szCs w:val="22"/>
        </w:rPr>
        <w:t>Given prior reports of transaminase elevations with high-dose CBD treatment, hepatic function was carefully monitored throughout the study. Comprehensive metabolic panels including liver function tests (AST, ALT, alkaline phosphatase, total bilirubin, direct bilirubin, albumin) were obtained at: (1) Screening visit: To establish baseline hepatic function and exclude participants with pre-existing hepatic impairment (AST or ALT ≥2x upper limit of normal). (2) Final visit: Within one week of completing the fourth test session</w:t>
      </w:r>
      <w:r w:rsidRPr="003D2471">
        <w:rPr>
          <w:rFonts w:ascii="Arial" w:hAnsi="Arial" w:cs="Arial"/>
          <w:color w:val="000000" w:themeColor="text1"/>
          <w:sz w:val="22"/>
          <w:szCs w:val="22"/>
        </w:rPr>
        <w:br/>
      </w:r>
    </w:p>
    <w:p w14:paraId="277022F7" w14:textId="77777777" w:rsidR="00B974B0" w:rsidRPr="003D2471" w:rsidRDefault="00B974B0" w:rsidP="00B974B0">
      <w:pPr>
        <w:rPr>
          <w:rFonts w:ascii="Arial" w:hAnsi="Arial" w:cs="Arial"/>
          <w:bCs/>
          <w:i/>
          <w:iCs/>
          <w:color w:val="000000" w:themeColor="text1"/>
          <w:sz w:val="22"/>
          <w:szCs w:val="22"/>
        </w:rPr>
      </w:pPr>
      <w:r w:rsidRPr="003D2471">
        <w:rPr>
          <w:rFonts w:ascii="Arial" w:hAnsi="Arial" w:cs="Arial"/>
          <w:bCs/>
          <w:i/>
          <w:iCs/>
          <w:color w:val="000000" w:themeColor="text1"/>
          <w:sz w:val="22"/>
          <w:szCs w:val="22"/>
        </w:rPr>
        <w:t>Field Sobriety Testing</w:t>
      </w:r>
    </w:p>
    <w:p w14:paraId="13FA1388" w14:textId="1FCE422E" w:rsidR="00B974B0" w:rsidRPr="003D2471" w:rsidRDefault="00B974B0" w:rsidP="00B974B0">
      <w:pPr>
        <w:rPr>
          <w:rFonts w:ascii="Arial" w:hAnsi="Arial" w:cs="Arial"/>
          <w:color w:val="000000" w:themeColor="text1"/>
          <w:sz w:val="22"/>
          <w:szCs w:val="22"/>
        </w:rPr>
      </w:pPr>
      <w:r w:rsidRPr="003D2471">
        <w:rPr>
          <w:rFonts w:ascii="Arial" w:hAnsi="Arial" w:cs="Arial"/>
          <w:color w:val="000000" w:themeColor="text1"/>
          <w:sz w:val="22"/>
          <w:szCs w:val="22"/>
        </w:rPr>
        <w:t>Prior to discharge from each test session, participants underwent standardized field sobriety testing to ensure safety for departure. The field sobriety battery included: (1) Horizontal Gaze Nystagmus: Smooth pursuit eye movements were assessed by having participants follow a pen light moved horizontally approximately 12-15 inches from their face, (2) Walk-and-Turn: Participants walked heel-to-toe for 9 steps along a straight line, turned, and returned 9 steps. (3) One-Leg Stand: Participants stood on one leg with the other foot approximately 6 inches off the ground for 30 seconds. (4) Finger-to-Nose: With eyes closed and head tilted back, participants touched the tip of their nose with their index finger alternating between right and left hands. (5) Modified Romberg Balance Test: Participants stood with feet together, arms at sides, head tilted back slightly, and eyes closed for 30 seconds.</w:t>
      </w:r>
      <w:r w:rsidRPr="003D2471">
        <w:rPr>
          <w:rFonts w:ascii="Arial" w:hAnsi="Arial" w:cs="Arial"/>
          <w:color w:val="000000" w:themeColor="text1"/>
          <w:sz w:val="22"/>
          <w:szCs w:val="22"/>
        </w:rPr>
        <w:br/>
        <w:t>A study physician evaluated performance on each component and assigned an overall assessment of "pass" (safe for discharge) or "fail" (requires extended observation or alternative transportation). No participant failed field sobriety testing at any point during the study. All participants agreed prior to study enrollment not to operate vehicles on test days, and transportation assistance or rideshare reimbursement was provided.</w:t>
      </w:r>
    </w:p>
    <w:p w14:paraId="7BCC0BEA" w14:textId="77777777" w:rsidR="00B974B0" w:rsidRPr="003D2471" w:rsidRDefault="00B974B0" w:rsidP="00B974B0">
      <w:pPr>
        <w:rPr>
          <w:rFonts w:ascii="Arial" w:hAnsi="Arial" w:cs="Arial"/>
          <w:color w:val="000000" w:themeColor="text1"/>
          <w:sz w:val="22"/>
          <w:szCs w:val="22"/>
        </w:rPr>
      </w:pPr>
    </w:p>
    <w:p w14:paraId="5DF20319" w14:textId="77777777" w:rsidR="00B974B0" w:rsidRPr="003D2471" w:rsidRDefault="00B974B0" w:rsidP="00B974B0">
      <w:pPr>
        <w:rPr>
          <w:rFonts w:ascii="Arial" w:hAnsi="Arial" w:cs="Arial"/>
          <w:bCs/>
          <w:i/>
          <w:iCs/>
          <w:color w:val="000000" w:themeColor="text1"/>
          <w:sz w:val="22"/>
          <w:szCs w:val="22"/>
        </w:rPr>
      </w:pPr>
      <w:r w:rsidRPr="003D2471">
        <w:rPr>
          <w:rFonts w:ascii="Arial" w:hAnsi="Arial" w:cs="Arial"/>
          <w:bCs/>
          <w:i/>
          <w:iCs/>
          <w:color w:val="000000" w:themeColor="text1"/>
          <w:sz w:val="22"/>
          <w:szCs w:val="22"/>
        </w:rPr>
        <w:t>Mini-Mental State Examination (MMSE)</w:t>
      </w:r>
    </w:p>
    <w:p w14:paraId="503F2B40" w14:textId="77777777" w:rsidR="003A6901" w:rsidRPr="003D2471" w:rsidRDefault="00B974B0" w:rsidP="00B974B0">
      <w:pPr>
        <w:rPr>
          <w:rFonts w:ascii="Arial" w:hAnsi="Arial" w:cs="Arial"/>
          <w:color w:val="000000" w:themeColor="text1"/>
          <w:sz w:val="22"/>
          <w:szCs w:val="22"/>
        </w:rPr>
      </w:pPr>
      <w:r w:rsidRPr="003D2471">
        <w:rPr>
          <w:rFonts w:ascii="Arial" w:hAnsi="Arial" w:cs="Arial"/>
          <w:color w:val="000000" w:themeColor="text1"/>
          <w:sz w:val="22"/>
          <w:szCs w:val="22"/>
        </w:rPr>
        <w:lastRenderedPageBreak/>
        <w:t>Cognitive status was screened at discharge from each test session using the Mini-Mental State Examination (MMSE), a brief 30-point questionnaire assessing orientation, attention, memory, language, and visuospatial abilities. The MMSE was used as a safety screen to identify any acute cognitive impairment that might contraindicate safe discharge. Scores range from 0-30, with scores ≥24 generally indicating intact cognitive function. All participants consistently scored in the normal range (mean 29.6 ± 0.87, range 24-30) across all test sessions, with no evidence of acute cognitive decline attributable to study drug administration.</w:t>
      </w:r>
    </w:p>
    <w:p w14:paraId="6BE8E92B" w14:textId="4D339DF2" w:rsidR="00B974B0" w:rsidRPr="003D2471" w:rsidRDefault="00B974B0" w:rsidP="00B974B0">
      <w:pPr>
        <w:rPr>
          <w:rFonts w:ascii="Arial" w:hAnsi="Arial" w:cs="Arial"/>
          <w:color w:val="000000" w:themeColor="text1"/>
          <w:sz w:val="22"/>
          <w:szCs w:val="22"/>
        </w:rPr>
      </w:pPr>
      <w:r w:rsidRPr="003D2471">
        <w:rPr>
          <w:rFonts w:ascii="Arial" w:hAnsi="Arial" w:cs="Arial"/>
          <w:bCs/>
          <w:i/>
          <w:iCs/>
          <w:color w:val="000000" w:themeColor="text1"/>
          <w:sz w:val="22"/>
          <w:szCs w:val="22"/>
        </w:rPr>
        <w:t>Vital Signs Monitoring</w:t>
      </w:r>
    </w:p>
    <w:p w14:paraId="61460B35" w14:textId="0DC0630F" w:rsidR="00B974B0" w:rsidRPr="003D2471" w:rsidRDefault="00B974B0" w:rsidP="00B974B0">
      <w:pPr>
        <w:rPr>
          <w:rFonts w:ascii="Arial" w:hAnsi="Arial" w:cs="Arial"/>
          <w:color w:val="000000" w:themeColor="text1"/>
          <w:sz w:val="22"/>
          <w:szCs w:val="22"/>
        </w:rPr>
      </w:pPr>
      <w:r w:rsidRPr="003D2471">
        <w:rPr>
          <w:rFonts w:ascii="Arial" w:hAnsi="Arial" w:cs="Arial"/>
          <w:color w:val="000000" w:themeColor="text1"/>
          <w:sz w:val="22"/>
          <w:szCs w:val="22"/>
        </w:rPr>
        <w:t>Blood pressure (systolic and diastolic) and heart rate were measured at regular intervals throughout each test session using an automated oscillometric blood pressure monitor. Vital signs were obtained at: baseline (prior to study drug), 60 minutes, 120 minutes, 180 minutes, 210 minutes (pre-methadone), 240 minutes (post-methadone), and at discharge. Participants were seated quietly for at least 5 minutes before each measurement, with feet flat on the floor and arm supported at heart level.</w:t>
      </w:r>
    </w:p>
    <w:p w14:paraId="5728E25E" w14:textId="77777777" w:rsidR="00B974B0" w:rsidRPr="003D2471" w:rsidRDefault="00B974B0" w:rsidP="00B974B0">
      <w:pPr>
        <w:rPr>
          <w:rFonts w:ascii="Arial" w:hAnsi="Arial" w:cs="Arial"/>
          <w:color w:val="000000" w:themeColor="text1"/>
          <w:sz w:val="22"/>
          <w:szCs w:val="22"/>
        </w:rPr>
      </w:pPr>
    </w:p>
    <w:p w14:paraId="4E259B8A" w14:textId="32696E67" w:rsidR="00F073FC" w:rsidRPr="003D2471" w:rsidRDefault="007D6F97" w:rsidP="00F073FC">
      <w:pPr>
        <w:rPr>
          <w:rFonts w:ascii="Arial" w:hAnsi="Arial" w:cs="Arial"/>
          <w:b/>
          <w:color w:val="000000" w:themeColor="text1"/>
          <w:sz w:val="22"/>
          <w:szCs w:val="22"/>
        </w:rPr>
      </w:pPr>
      <w:r w:rsidRPr="003D2471">
        <w:rPr>
          <w:rFonts w:ascii="Arial" w:hAnsi="Arial" w:cs="Arial"/>
          <w:b/>
          <w:color w:val="000000" w:themeColor="text1"/>
          <w:sz w:val="22"/>
          <w:szCs w:val="22"/>
        </w:rPr>
        <w:t>S9. Safety and Tolerability Assessments - Results</w:t>
      </w:r>
    </w:p>
    <w:p w14:paraId="13CCDC4B" w14:textId="77777777" w:rsidR="00F073FC" w:rsidRPr="003D2471" w:rsidRDefault="00F073FC" w:rsidP="00F073FC">
      <w:pPr>
        <w:rPr>
          <w:rFonts w:ascii="Arial" w:hAnsi="Arial" w:cs="Arial"/>
          <w:color w:val="000000" w:themeColor="text1"/>
          <w:sz w:val="22"/>
          <w:szCs w:val="22"/>
        </w:rPr>
      </w:pPr>
      <w:r w:rsidRPr="003D2471">
        <w:rPr>
          <w:rFonts w:ascii="Arial" w:hAnsi="Arial" w:cs="Arial"/>
          <w:color w:val="000000" w:themeColor="text1"/>
          <w:sz w:val="22"/>
          <w:szCs w:val="22"/>
        </w:rPr>
        <w:t>The Field sobriety performance remained stable across all sessions with only sporadic, minor deviations and no evidence of drug-related impairment. The Mini-Mental State Examination (MMSE) scores were consistently high (mean=29.6, SD:0.87, range 24-30), showing no acute cognitive decline. Liver function tests showed minimal mean changes from pre-study to post-study measurements (AST: 23.7 U/L; ALT: 25.2 U/L at baseline and 25.7 U/L; 26.5 U/L respectively at study completion).</w:t>
      </w:r>
    </w:p>
    <w:p w14:paraId="1A4EA323" w14:textId="44483E41" w:rsidR="006B63CA" w:rsidRPr="003D2471" w:rsidRDefault="006B63CA">
      <w:pPr>
        <w:rPr>
          <w:rFonts w:ascii="Arial" w:hAnsi="Arial" w:cs="Arial"/>
          <w:b/>
          <w:color w:val="000000" w:themeColor="text1"/>
          <w:sz w:val="22"/>
          <w:szCs w:val="22"/>
        </w:rPr>
      </w:pPr>
    </w:p>
    <w:p w14:paraId="57013F0E" w14:textId="0DB1B0AE" w:rsidR="003F0B35" w:rsidRPr="003D2471" w:rsidRDefault="003F0B35">
      <w:pPr>
        <w:rPr>
          <w:rFonts w:ascii="Arial" w:hAnsi="Arial" w:cs="Arial"/>
          <w:color w:val="000000" w:themeColor="text1"/>
          <w:sz w:val="22"/>
          <w:szCs w:val="22"/>
        </w:rPr>
      </w:pPr>
    </w:p>
    <w:p w14:paraId="6FBC35E6" w14:textId="0D71A325" w:rsidR="006B63CA" w:rsidRPr="003D2471" w:rsidRDefault="006B63CA">
      <w:pPr>
        <w:rPr>
          <w:rFonts w:ascii="Arial" w:hAnsi="Arial" w:cs="Arial"/>
          <w:color w:val="000000" w:themeColor="text1"/>
          <w:sz w:val="22"/>
          <w:szCs w:val="22"/>
        </w:rPr>
      </w:pPr>
    </w:p>
    <w:p w14:paraId="4A419CE1" w14:textId="3075C465" w:rsidR="00470C93" w:rsidRPr="003D2471" w:rsidRDefault="00470C93">
      <w:pPr>
        <w:rPr>
          <w:rFonts w:ascii="Arial" w:hAnsi="Arial" w:cs="Arial"/>
          <w:color w:val="000000" w:themeColor="text1"/>
          <w:sz w:val="22"/>
          <w:szCs w:val="22"/>
        </w:rPr>
      </w:pPr>
    </w:p>
    <w:p w14:paraId="047FDCBF" w14:textId="5EBF9B2B" w:rsidR="00470C93" w:rsidRPr="003D2471" w:rsidRDefault="00470C93">
      <w:pPr>
        <w:rPr>
          <w:rFonts w:ascii="Arial" w:hAnsi="Arial" w:cs="Arial"/>
          <w:color w:val="000000" w:themeColor="text1"/>
          <w:sz w:val="22"/>
          <w:szCs w:val="22"/>
        </w:rPr>
      </w:pPr>
    </w:p>
    <w:p w14:paraId="2C54DFA8" w14:textId="09BF215D" w:rsidR="00470C93" w:rsidRPr="003D2471" w:rsidRDefault="00470C93">
      <w:pPr>
        <w:rPr>
          <w:rFonts w:ascii="Arial" w:hAnsi="Arial" w:cs="Arial"/>
          <w:color w:val="000000" w:themeColor="text1"/>
          <w:sz w:val="22"/>
          <w:szCs w:val="22"/>
        </w:rPr>
      </w:pPr>
    </w:p>
    <w:p w14:paraId="756A9EB5" w14:textId="461586E0" w:rsidR="00470C93" w:rsidRPr="003D2471" w:rsidRDefault="00470C93">
      <w:pPr>
        <w:rPr>
          <w:rFonts w:ascii="Arial" w:hAnsi="Arial" w:cs="Arial"/>
          <w:color w:val="000000" w:themeColor="text1"/>
          <w:sz w:val="22"/>
          <w:szCs w:val="22"/>
        </w:rPr>
      </w:pPr>
    </w:p>
    <w:p w14:paraId="338B7369" w14:textId="77777777" w:rsidR="00FE4ED4" w:rsidRPr="003D2471" w:rsidRDefault="00FE4ED4">
      <w:pPr>
        <w:rPr>
          <w:rFonts w:ascii="Arial" w:hAnsi="Arial" w:cs="Arial"/>
          <w:color w:val="000000" w:themeColor="text1"/>
          <w:sz w:val="22"/>
          <w:szCs w:val="22"/>
        </w:rPr>
      </w:pPr>
    </w:p>
    <w:p w14:paraId="69903E51" w14:textId="77777777" w:rsidR="00FE4ED4" w:rsidRPr="003D2471" w:rsidRDefault="00FE4ED4">
      <w:pPr>
        <w:rPr>
          <w:rFonts w:ascii="Arial" w:hAnsi="Arial" w:cs="Arial"/>
          <w:color w:val="000000" w:themeColor="text1"/>
          <w:sz w:val="22"/>
          <w:szCs w:val="22"/>
        </w:rPr>
      </w:pPr>
    </w:p>
    <w:p w14:paraId="4BA86EE6" w14:textId="77777777" w:rsidR="00FE4ED4" w:rsidRPr="003D2471" w:rsidRDefault="00FE4ED4">
      <w:pPr>
        <w:rPr>
          <w:rFonts w:ascii="Arial" w:hAnsi="Arial" w:cs="Arial"/>
          <w:color w:val="000000" w:themeColor="text1"/>
          <w:sz w:val="22"/>
          <w:szCs w:val="22"/>
        </w:rPr>
      </w:pPr>
    </w:p>
    <w:p w14:paraId="556D4C5A" w14:textId="77777777" w:rsidR="00FE4ED4" w:rsidRPr="003D2471" w:rsidRDefault="00FE4ED4">
      <w:pPr>
        <w:rPr>
          <w:rFonts w:ascii="Arial" w:hAnsi="Arial" w:cs="Arial"/>
          <w:color w:val="000000" w:themeColor="text1"/>
          <w:sz w:val="22"/>
          <w:szCs w:val="22"/>
        </w:rPr>
      </w:pPr>
    </w:p>
    <w:p w14:paraId="55859661" w14:textId="77777777" w:rsidR="00FE4ED4" w:rsidRPr="003D2471" w:rsidRDefault="00FE4ED4">
      <w:pPr>
        <w:rPr>
          <w:rFonts w:ascii="Arial" w:hAnsi="Arial" w:cs="Arial"/>
          <w:color w:val="000000" w:themeColor="text1"/>
          <w:sz w:val="22"/>
          <w:szCs w:val="22"/>
        </w:rPr>
      </w:pPr>
    </w:p>
    <w:p w14:paraId="3521A4C2" w14:textId="77777777" w:rsidR="00FE4ED4" w:rsidRPr="003D2471" w:rsidRDefault="00FE4ED4">
      <w:pPr>
        <w:rPr>
          <w:rFonts w:ascii="Arial" w:hAnsi="Arial" w:cs="Arial"/>
          <w:color w:val="000000" w:themeColor="text1"/>
          <w:sz w:val="22"/>
          <w:szCs w:val="22"/>
        </w:rPr>
      </w:pPr>
    </w:p>
    <w:p w14:paraId="182D8AE4" w14:textId="77777777" w:rsidR="00FE4ED4" w:rsidRPr="003D2471" w:rsidRDefault="00FE4ED4">
      <w:pPr>
        <w:rPr>
          <w:rFonts w:ascii="Arial" w:hAnsi="Arial" w:cs="Arial"/>
          <w:color w:val="000000" w:themeColor="text1"/>
          <w:sz w:val="22"/>
          <w:szCs w:val="22"/>
        </w:rPr>
      </w:pPr>
    </w:p>
    <w:p w14:paraId="03938109" w14:textId="77777777" w:rsidR="00FE4ED4" w:rsidRPr="003D2471" w:rsidRDefault="00FE4ED4">
      <w:pPr>
        <w:rPr>
          <w:rFonts w:ascii="Arial" w:hAnsi="Arial" w:cs="Arial"/>
          <w:color w:val="000000" w:themeColor="text1"/>
          <w:sz w:val="22"/>
          <w:szCs w:val="22"/>
        </w:rPr>
      </w:pPr>
    </w:p>
    <w:p w14:paraId="5BDE1012" w14:textId="33C19BF2" w:rsidR="003F0B35" w:rsidRPr="003D2471" w:rsidRDefault="00EC2F58">
      <w:pPr>
        <w:rPr>
          <w:rFonts w:ascii="Arial" w:hAnsi="Arial" w:cs="Arial"/>
          <w:b/>
          <w:bCs/>
          <w:color w:val="000000" w:themeColor="text1"/>
          <w:sz w:val="22"/>
          <w:szCs w:val="22"/>
        </w:rPr>
      </w:pPr>
      <w:r w:rsidRPr="003D2471">
        <w:rPr>
          <w:rFonts w:ascii="Arial" w:hAnsi="Arial" w:cs="Arial"/>
          <w:b/>
          <w:bCs/>
          <w:color w:val="000000" w:themeColor="text1"/>
          <w:sz w:val="22"/>
          <w:szCs w:val="22"/>
        </w:rPr>
        <w:t xml:space="preserve">Figure S1. CONSORT Flow Diagram. </w:t>
      </w:r>
    </w:p>
    <w:p w14:paraId="58B83E80" w14:textId="77777777" w:rsidR="00BA338B" w:rsidRPr="003D2471" w:rsidRDefault="00BA338B" w:rsidP="000A3478">
      <w:pPr>
        <w:jc w:val="center"/>
        <w:rPr>
          <w:rFonts w:ascii="Arial" w:hAnsi="Arial" w:cs="Arial"/>
          <w:b/>
          <w:bCs/>
          <w:color w:val="000000" w:themeColor="text1"/>
          <w:sz w:val="22"/>
          <w:szCs w:val="22"/>
        </w:rPr>
      </w:pPr>
      <w:r w:rsidRPr="003D2471">
        <w:rPr>
          <w:rFonts w:ascii="Arial" w:hAnsi="Arial" w:cs="Arial"/>
          <w:b/>
          <w:bCs/>
          <w:noProof/>
          <w:color w:val="000000" w:themeColor="text1"/>
          <w:sz w:val="22"/>
          <w:szCs w:val="22"/>
        </w:rPr>
        <w:drawing>
          <wp:inline distT="0" distB="0" distL="0" distR="0" wp14:anchorId="23F3E38A" wp14:editId="50B9E9F6">
            <wp:extent cx="3078348" cy="3188525"/>
            <wp:effectExtent l="0" t="0" r="8255" b="0"/>
            <wp:docPr id="1119134048" name="Picture 1" descr="A flowchart of a group of peop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34048" name="Picture 1" descr="A flowchart of a group of people  AI-generated content may be incorrect."/>
                    <pic:cNvPicPr/>
                  </pic:nvPicPr>
                  <pic:blipFill>
                    <a:blip r:embed="rId5"/>
                    <a:stretch>
                      <a:fillRect/>
                    </a:stretch>
                  </pic:blipFill>
                  <pic:spPr>
                    <a:xfrm>
                      <a:off x="0" y="0"/>
                      <a:ext cx="3085763" cy="3196206"/>
                    </a:xfrm>
                    <a:prstGeom prst="rect">
                      <a:avLst/>
                    </a:prstGeom>
                  </pic:spPr>
                </pic:pic>
              </a:graphicData>
            </a:graphic>
          </wp:inline>
        </w:drawing>
      </w:r>
    </w:p>
    <w:p w14:paraId="6D439E68" w14:textId="77777777" w:rsidR="000A3478" w:rsidRPr="003D2471" w:rsidRDefault="000A3478" w:rsidP="00F17008">
      <w:pPr>
        <w:rPr>
          <w:rFonts w:ascii="Arial" w:hAnsi="Arial" w:cs="Arial"/>
          <w:b/>
          <w:bCs/>
          <w:color w:val="000000" w:themeColor="text1"/>
          <w:sz w:val="22"/>
          <w:szCs w:val="22"/>
        </w:rPr>
      </w:pPr>
    </w:p>
    <w:p w14:paraId="6D7BEA23" w14:textId="27702590" w:rsidR="00F17008" w:rsidRPr="003D2471" w:rsidRDefault="00F17008" w:rsidP="00F17008">
      <w:pPr>
        <w:rPr>
          <w:rFonts w:ascii="Arial" w:hAnsi="Arial" w:cs="Arial"/>
          <w:b/>
          <w:bCs/>
          <w:color w:val="000000" w:themeColor="text1"/>
          <w:sz w:val="22"/>
          <w:szCs w:val="22"/>
        </w:rPr>
      </w:pPr>
      <w:r w:rsidRPr="003D2471">
        <w:rPr>
          <w:rFonts w:ascii="Arial" w:hAnsi="Arial" w:cs="Arial"/>
          <w:color w:val="000000" w:themeColor="text1"/>
          <w:sz w:val="22"/>
          <w:szCs w:val="22"/>
        </w:rPr>
        <w:t>Flow of participants through the randomized, double-blind, placebo-controlled crossover trial. Of 66 individuals assessed for eligibility, 23 were randomized to receive CBD (400 mg, 800 mg, 1200 mg) or placebo across four sessions. Twenty-two participants (95.7%) completed all study procedures and were included in the final analysis.</w:t>
      </w:r>
    </w:p>
    <w:p w14:paraId="45D24437" w14:textId="08BCF32E" w:rsidR="00F17008" w:rsidRPr="003D2471" w:rsidRDefault="00F17008" w:rsidP="00F17008">
      <w:pPr>
        <w:jc w:val="center"/>
        <w:rPr>
          <w:rFonts w:ascii="Arial" w:hAnsi="Arial" w:cs="Arial"/>
          <w:color w:val="000000" w:themeColor="text1"/>
          <w:sz w:val="22"/>
          <w:szCs w:val="22"/>
        </w:rPr>
      </w:pPr>
    </w:p>
    <w:p w14:paraId="2E8FC36E" w14:textId="77777777" w:rsidR="00F17008" w:rsidRPr="003D2471" w:rsidRDefault="00F17008" w:rsidP="00F17008">
      <w:pPr>
        <w:rPr>
          <w:rFonts w:ascii="Arial" w:hAnsi="Arial" w:cs="Arial"/>
          <w:color w:val="000000" w:themeColor="text1"/>
          <w:sz w:val="22"/>
          <w:szCs w:val="22"/>
        </w:rPr>
      </w:pPr>
    </w:p>
    <w:p w14:paraId="3D8BD828" w14:textId="77777777" w:rsidR="006B63CA" w:rsidRPr="003D2471" w:rsidRDefault="006B63CA">
      <w:pPr>
        <w:rPr>
          <w:rFonts w:ascii="Arial" w:hAnsi="Arial" w:cs="Arial"/>
          <w:color w:val="000000" w:themeColor="text1"/>
          <w:sz w:val="22"/>
          <w:szCs w:val="22"/>
        </w:rPr>
      </w:pPr>
    </w:p>
    <w:p w14:paraId="36F74BE5" w14:textId="77777777" w:rsidR="00B10A6A" w:rsidRPr="003D2471" w:rsidRDefault="00B10A6A">
      <w:pPr>
        <w:rPr>
          <w:rFonts w:ascii="Arial" w:hAnsi="Arial" w:cs="Arial"/>
          <w:color w:val="000000" w:themeColor="text1"/>
          <w:sz w:val="22"/>
          <w:szCs w:val="22"/>
        </w:rPr>
      </w:pPr>
    </w:p>
    <w:p w14:paraId="2994982B" w14:textId="77777777" w:rsidR="00B10A6A" w:rsidRPr="003D2471" w:rsidRDefault="00B10A6A">
      <w:pPr>
        <w:rPr>
          <w:rFonts w:ascii="Arial" w:hAnsi="Arial" w:cs="Arial"/>
          <w:color w:val="000000" w:themeColor="text1"/>
          <w:sz w:val="22"/>
          <w:szCs w:val="22"/>
        </w:rPr>
      </w:pPr>
    </w:p>
    <w:p w14:paraId="0DD5F22F" w14:textId="77777777" w:rsidR="00B10A6A" w:rsidRPr="003D2471" w:rsidRDefault="00B10A6A">
      <w:pPr>
        <w:rPr>
          <w:rFonts w:ascii="Arial" w:hAnsi="Arial" w:cs="Arial"/>
          <w:color w:val="000000" w:themeColor="text1"/>
          <w:sz w:val="22"/>
          <w:szCs w:val="22"/>
        </w:rPr>
      </w:pPr>
    </w:p>
    <w:p w14:paraId="3ED37323" w14:textId="77777777" w:rsidR="00B10A6A" w:rsidRPr="003D2471" w:rsidRDefault="00B10A6A">
      <w:pPr>
        <w:rPr>
          <w:rFonts w:ascii="Arial" w:hAnsi="Arial" w:cs="Arial"/>
          <w:color w:val="000000" w:themeColor="text1"/>
          <w:sz w:val="22"/>
          <w:szCs w:val="22"/>
        </w:rPr>
      </w:pPr>
    </w:p>
    <w:p w14:paraId="11307AF6" w14:textId="77777777" w:rsidR="003F0B35" w:rsidRPr="003D2471" w:rsidRDefault="003F0B35">
      <w:pPr>
        <w:rPr>
          <w:rFonts w:ascii="Arial" w:hAnsi="Arial" w:cs="Arial"/>
          <w:color w:val="000000" w:themeColor="text1"/>
          <w:sz w:val="22"/>
          <w:szCs w:val="22"/>
        </w:rPr>
      </w:pPr>
    </w:p>
    <w:p w14:paraId="28CF91B3" w14:textId="77777777" w:rsidR="003F0B35" w:rsidRPr="003D2471" w:rsidRDefault="003F0B35">
      <w:pPr>
        <w:rPr>
          <w:rFonts w:ascii="Arial" w:hAnsi="Arial" w:cs="Arial"/>
          <w:color w:val="000000" w:themeColor="text1"/>
          <w:sz w:val="22"/>
          <w:szCs w:val="22"/>
        </w:rPr>
      </w:pPr>
    </w:p>
    <w:p w14:paraId="21C8FC4B" w14:textId="77777777" w:rsidR="003F0B35" w:rsidRPr="003D2471" w:rsidRDefault="003F0B35">
      <w:pPr>
        <w:rPr>
          <w:rFonts w:ascii="Arial" w:hAnsi="Arial" w:cs="Arial"/>
          <w:color w:val="000000" w:themeColor="text1"/>
          <w:sz w:val="22"/>
          <w:szCs w:val="22"/>
        </w:rPr>
      </w:pPr>
    </w:p>
    <w:p w14:paraId="0A32D42E" w14:textId="77777777" w:rsidR="00EC2F58" w:rsidRPr="003D2471" w:rsidRDefault="00EC2F58">
      <w:pPr>
        <w:rPr>
          <w:rFonts w:ascii="Arial" w:hAnsi="Arial" w:cs="Arial"/>
          <w:color w:val="000000" w:themeColor="text1"/>
          <w:sz w:val="22"/>
          <w:szCs w:val="22"/>
        </w:rPr>
      </w:pPr>
    </w:p>
    <w:p w14:paraId="11177173" w14:textId="36A0919B" w:rsidR="00AB1F18" w:rsidRPr="003D2471" w:rsidRDefault="00AB1F18" w:rsidP="00AB1F18">
      <w:pPr>
        <w:pStyle w:val="TableCaption"/>
        <w:keepNext/>
        <w:pBdr>
          <w:top w:val="none" w:sz="0" w:space="0" w:color="000000"/>
          <w:left w:val="none" w:sz="0" w:space="0" w:color="000000"/>
          <w:bottom w:val="none" w:sz="0" w:space="0" w:color="000000"/>
          <w:right w:val="none" w:sz="0" w:space="0" w:color="000000"/>
        </w:pBdr>
        <w:spacing w:before="60" w:after="60"/>
        <w:ind w:left="780" w:right="60"/>
        <w:rPr>
          <w:rFonts w:ascii="Arial" w:hAnsi="Arial" w:cs="Arial"/>
          <w:iCs/>
          <w:color w:val="000000" w:themeColor="text1"/>
          <w:sz w:val="22"/>
          <w:szCs w:val="22"/>
        </w:rPr>
      </w:pPr>
      <w:r w:rsidRPr="003D2471">
        <w:rPr>
          <w:rFonts w:ascii="Arial" w:hAnsi="Arial" w:cs="Arial"/>
          <w:i w:val="0"/>
          <w:iCs/>
          <w:color w:val="000000" w:themeColor="text1"/>
          <w:sz w:val="22"/>
          <w:szCs w:val="22"/>
        </w:rPr>
        <w:t>Table S1. Participant Characteristics (n=23)</w:t>
      </w:r>
    </w:p>
    <w:p w14:paraId="4B68046B" w14:textId="77777777" w:rsidR="00AB1F18" w:rsidRPr="003D2471" w:rsidRDefault="00AB1F18" w:rsidP="00AB1F18">
      <w:pPr>
        <w:ind w:left="720"/>
        <w:rPr>
          <w:rFonts w:ascii="Arial" w:hAnsi="Arial" w:cs="Arial"/>
          <w:color w:val="000000" w:themeColor="text1"/>
        </w:rPr>
      </w:pPr>
    </w:p>
    <w:tbl>
      <w:tblPr>
        <w:tblW w:w="0" w:type="auto"/>
        <w:jc w:val="center"/>
        <w:tblLayout w:type="fixed"/>
        <w:tblLook w:val="0420" w:firstRow="1" w:lastRow="0" w:firstColumn="0" w:lastColumn="0" w:noHBand="0" w:noVBand="1"/>
      </w:tblPr>
      <w:tblGrid>
        <w:gridCol w:w="3932"/>
        <w:gridCol w:w="1303"/>
        <w:gridCol w:w="1842"/>
      </w:tblGrid>
      <w:tr w:rsidR="003D2471" w:rsidRPr="003D2471" w14:paraId="19D8D9BB" w14:textId="77777777" w:rsidTr="003A2ABC">
        <w:trPr>
          <w:jc w:val="center"/>
        </w:trPr>
        <w:tc>
          <w:tcPr>
            <w:tcW w:w="39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7E6D3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Characteristic</w:t>
            </w:r>
          </w:p>
        </w:tc>
        <w:tc>
          <w:tcPr>
            <w:tcW w:w="130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2FAEF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N (%)</w:t>
            </w:r>
          </w:p>
        </w:tc>
        <w:tc>
          <w:tcPr>
            <w:tcW w:w="184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59171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Mean (SD)</w:t>
            </w:r>
          </w:p>
        </w:tc>
      </w:tr>
      <w:tr w:rsidR="003D2471" w:rsidRPr="003D2471" w14:paraId="193A9F15"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589C4"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Age (years)</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2EBD6"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E3D18"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44.00 (8.39)</w:t>
            </w:r>
          </w:p>
        </w:tc>
      </w:tr>
      <w:tr w:rsidR="003D2471" w:rsidRPr="003D2471" w14:paraId="26AB61CA"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5A88A"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Sex</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FB404"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9B6ED"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1270A01C"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35C0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Male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D28C5"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12 (52%)</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1CCF5"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640D4E76"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B0221"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Female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D690D"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11 (48%)</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4195A"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3769AD3F"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7EA9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Ethnicity</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0A2D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4CEAD"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0277B6AE"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82107"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Hispanic/Latino</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7ECE6"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2 (9%)</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8080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494C2E8B"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7DA0C"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Not Hispanic/Latino</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4D7FA"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21 (91%)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E6597"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1838910B"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2586D"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Race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6FD7B"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70DC9"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287C8BB0"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10F3D"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Black or African American</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2728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 (4%)</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F5C15"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4A4F1456"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7B4A8"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White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A6314"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21 (91%)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7CC23"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2FB997F6"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BF4D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Other/Unknown</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DC961"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 (4%)</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37B3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0989848A"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782B1"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Educational Level</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DC7B3"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2DA32"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2D85C579"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E4EF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Graduate/Professional</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73EDA"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2 (9%)</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3202A"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45A13BB2"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F5811B"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College/University graduate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6D3F6"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4 (17%)</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E2E4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0B5F745C"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BEB9D"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Partial college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AB89C"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8 (35%)</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8F297"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5348F623"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F974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High school / GED</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C79C8"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7 (30%)</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8BD75"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05B8E432"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7853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Partial high school</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F5DE8"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2 (9%)</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28AEF"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2213F55B"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6FED3"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Employment Status</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3AA206"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66A98"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1301A7BB"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85702"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Full-time (≥35 h/wk)</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ED559"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5 (22%)</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B8747"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1D23CB7F"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8C6B01"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Part-time (&lt;35 h/wk)</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1D67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4 (17%)</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C4EB1"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60544DDD"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28FE5"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Unemployed &lt; 1 mo</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705FA"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2 (9%)</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D3418"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3480EBA4"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C0CA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Unemployed ≥ 1 mo</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D1AD6"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11 (48%)</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B4CE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0ABCBBD0"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CCA3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Not in labor force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79A4B"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 (4%)</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70D0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7A27B09D"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DD96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Body Mass Index (kg/m²)</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B13A6"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FD941B"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32.4 (6.0)</w:t>
            </w:r>
          </w:p>
        </w:tc>
      </w:tr>
      <w:tr w:rsidR="003D2471" w:rsidRPr="003D2471" w14:paraId="3E6C406E"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F6AF3"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Brief Pain Inventory (baseline)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6C61D"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B3E93"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21AAC154"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08A2F"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lastRenderedPageBreak/>
              <w:t xml:space="preserve"> Pain intensity (0–10)</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21F3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366C8"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4.24 (1.38)</w:t>
            </w:r>
          </w:p>
        </w:tc>
      </w:tr>
      <w:tr w:rsidR="003D2471" w:rsidRPr="003D2471" w14:paraId="4F2AB5E1"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76F9C"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Pain interference (0–10)</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18113"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181BB"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3.52 (2.17)</w:t>
            </w:r>
          </w:p>
        </w:tc>
      </w:tr>
      <w:tr w:rsidR="003D2471" w:rsidRPr="003D2471" w14:paraId="1E1EB067"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0558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Methadone Dose (mg)</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CE465"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2C8CF"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23F247C1"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214FF"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Daily Dose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C293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7089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85.70 (29.73)</w:t>
            </w:r>
          </w:p>
        </w:tc>
      </w:tr>
      <w:tr w:rsidR="003D2471" w:rsidRPr="003D2471" w14:paraId="1D074F0A"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76CFD"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High-dose methadone (≥90mg)</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CF064"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11 (48%)</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EF4EF"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110.45 (20.30)</w:t>
            </w:r>
          </w:p>
        </w:tc>
      </w:tr>
      <w:tr w:rsidR="003D2471" w:rsidRPr="003D2471" w14:paraId="7F562254"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000C9"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Low-dose methadone (&lt;90mg)</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AE3C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12 (52%)</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225E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63.00 (14.76)</w:t>
            </w:r>
          </w:p>
        </w:tc>
      </w:tr>
      <w:tr w:rsidR="003D2471" w:rsidRPr="003D2471" w14:paraId="31339438"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FEEEC"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b/>
                <w:color w:val="000000" w:themeColor="text1"/>
                <w:sz w:val="20"/>
                <w:szCs w:val="20"/>
              </w:rPr>
              <w:t>Drug Use in Past 28 Days</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D97B2"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157D7"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p>
        </w:tc>
      </w:tr>
      <w:tr w:rsidR="003D2471" w:rsidRPr="003D2471" w14:paraId="10753AF0"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9FC45"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Tobacco</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F97F7"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14 (61%)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5C1B6"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17.0 (14.0)</w:t>
            </w:r>
          </w:p>
        </w:tc>
      </w:tr>
      <w:tr w:rsidR="003D2471" w:rsidRPr="003D2471" w14:paraId="19C0AE93"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2B82A"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Alcohol</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01F3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3 (13%)</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95F10"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0.6 (1.8)</w:t>
            </w:r>
          </w:p>
        </w:tc>
      </w:tr>
      <w:tr w:rsidR="003D2471" w:rsidRPr="003D2471" w14:paraId="1502F326"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5F501"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Cannabis</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4D24C"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8 (35%)</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48A85"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4.2 (8.5)</w:t>
            </w:r>
          </w:p>
        </w:tc>
      </w:tr>
      <w:tr w:rsidR="003D2471" w:rsidRPr="003D2471" w14:paraId="285085A3"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6C2AF"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Heroin</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79129"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 (0%)</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8A6B6"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0.0 (0.0)</w:t>
            </w:r>
          </w:p>
        </w:tc>
      </w:tr>
      <w:tr w:rsidR="003D2471" w:rsidRPr="003D2471" w14:paraId="4931CF86"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378E2"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Cocaine</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1588F"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1 (4%)</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F335A"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0.1 (0.4)</w:t>
            </w:r>
          </w:p>
        </w:tc>
      </w:tr>
      <w:tr w:rsidR="003D2471" w:rsidRPr="003D2471" w14:paraId="684EF88B"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31AA1"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Other Opiates</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148E4"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 (0%)</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6015C"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0.0 (0.0)</w:t>
            </w:r>
          </w:p>
        </w:tc>
      </w:tr>
      <w:tr w:rsidR="003D2471" w:rsidRPr="003D2471" w14:paraId="5917D364" w14:textId="77777777" w:rsidTr="003A2ABC">
        <w:trPr>
          <w:jc w:val="center"/>
        </w:trPr>
        <w:tc>
          <w:tcPr>
            <w:tcW w:w="39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1C955"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Stimulants</w:t>
            </w:r>
          </w:p>
        </w:tc>
        <w:tc>
          <w:tcPr>
            <w:tcW w:w="13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59DBE"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 (0%)</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15007"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0.0 (0.0)</w:t>
            </w:r>
          </w:p>
        </w:tc>
      </w:tr>
      <w:tr w:rsidR="003D2471" w:rsidRPr="003D2471" w14:paraId="16DD1862" w14:textId="77777777" w:rsidTr="003A2ABC">
        <w:trPr>
          <w:jc w:val="center"/>
        </w:trPr>
        <w:tc>
          <w:tcPr>
            <w:tcW w:w="39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157BAC"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60" w:right="100"/>
              <w:rPr>
                <w:rFonts w:ascii="Arial" w:hAnsi="Arial" w:cs="Arial"/>
                <w:color w:val="000000" w:themeColor="text1"/>
                <w:sz w:val="20"/>
                <w:szCs w:val="20"/>
              </w:rPr>
            </w:pPr>
            <w:r w:rsidRPr="003D2471">
              <w:rPr>
                <w:rFonts w:ascii="Arial" w:eastAsia="Helvetica" w:hAnsi="Arial" w:cs="Arial"/>
                <w:color w:val="000000" w:themeColor="text1"/>
                <w:sz w:val="20"/>
                <w:szCs w:val="20"/>
              </w:rPr>
              <w:t xml:space="preserve"> Sedatives</w:t>
            </w:r>
          </w:p>
        </w:tc>
        <w:tc>
          <w:tcPr>
            <w:tcW w:w="130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362EE2"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 (0%)</w:t>
            </w:r>
          </w:p>
        </w:tc>
        <w:tc>
          <w:tcPr>
            <w:tcW w:w="184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B14CD2" w14:textId="77777777" w:rsidR="00AB1F18" w:rsidRPr="003D2471" w:rsidRDefault="00AB1F18" w:rsidP="003A2AB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hAnsi="Arial" w:cs="Arial"/>
                <w:color w:val="000000" w:themeColor="text1"/>
                <w:sz w:val="20"/>
                <w:szCs w:val="20"/>
              </w:rPr>
            </w:pPr>
            <w:r w:rsidRPr="003D2471">
              <w:rPr>
                <w:rFonts w:ascii="Arial" w:eastAsia="Helvetica" w:hAnsi="Arial" w:cs="Arial"/>
                <w:color w:val="000000" w:themeColor="text1"/>
                <w:sz w:val="20"/>
                <w:szCs w:val="20"/>
              </w:rPr>
              <w:t>0.0 (0.0)</w:t>
            </w:r>
          </w:p>
        </w:tc>
      </w:tr>
    </w:tbl>
    <w:p w14:paraId="3AFD14C9" w14:textId="77777777" w:rsidR="00AB1F18" w:rsidRPr="003D2471" w:rsidRDefault="00AB1F18" w:rsidP="00AB1F18">
      <w:pPr>
        <w:ind w:left="720"/>
        <w:rPr>
          <w:rFonts w:ascii="Arial" w:hAnsi="Arial" w:cs="Arial"/>
          <w:b/>
          <w:bCs/>
          <w:color w:val="000000" w:themeColor="text1"/>
        </w:rPr>
      </w:pPr>
    </w:p>
    <w:p w14:paraId="1A132ACE" w14:textId="77777777" w:rsidR="00AB1F18" w:rsidRPr="003D2471" w:rsidRDefault="00AB1F18" w:rsidP="00AB1F18">
      <w:pPr>
        <w:rPr>
          <w:rFonts w:ascii="Arial" w:hAnsi="Arial" w:cs="Arial"/>
          <w:color w:val="000000" w:themeColor="text1"/>
          <w:sz w:val="22"/>
          <w:szCs w:val="22"/>
        </w:rPr>
      </w:pPr>
    </w:p>
    <w:p w14:paraId="6C5DD4C2" w14:textId="77777777" w:rsidR="00AB1F18" w:rsidRPr="003D2471" w:rsidRDefault="00AB1F18" w:rsidP="00AB1F18">
      <w:pPr>
        <w:rPr>
          <w:rFonts w:ascii="Arial" w:hAnsi="Arial" w:cs="Arial"/>
          <w:color w:val="000000" w:themeColor="text1"/>
          <w:sz w:val="22"/>
          <w:szCs w:val="22"/>
        </w:rPr>
      </w:pPr>
    </w:p>
    <w:p w14:paraId="0EF611D9" w14:textId="77777777" w:rsidR="00AB1F18" w:rsidRPr="003D2471" w:rsidRDefault="00AB1F18" w:rsidP="003A5FE5">
      <w:pPr>
        <w:pStyle w:val="whitespace-normal"/>
        <w:rPr>
          <w:rFonts w:ascii="Arial" w:hAnsi="Arial" w:cs="Arial"/>
          <w:b/>
          <w:bCs/>
          <w:color w:val="000000" w:themeColor="text1"/>
          <w:sz w:val="22"/>
          <w:szCs w:val="22"/>
        </w:rPr>
      </w:pPr>
    </w:p>
    <w:p w14:paraId="382A20E7" w14:textId="77777777" w:rsidR="00AB1F18" w:rsidRPr="003D2471" w:rsidRDefault="00AB1F18" w:rsidP="003A5FE5">
      <w:pPr>
        <w:pStyle w:val="whitespace-normal"/>
        <w:rPr>
          <w:rFonts w:ascii="Arial" w:hAnsi="Arial" w:cs="Arial"/>
          <w:b/>
          <w:bCs/>
          <w:color w:val="000000" w:themeColor="text1"/>
          <w:sz w:val="22"/>
          <w:szCs w:val="22"/>
        </w:rPr>
      </w:pPr>
    </w:p>
    <w:p w14:paraId="18DF497F" w14:textId="77777777" w:rsidR="00AB1F18" w:rsidRPr="003D2471" w:rsidRDefault="00AB1F18" w:rsidP="003A5FE5">
      <w:pPr>
        <w:pStyle w:val="whitespace-normal"/>
        <w:rPr>
          <w:rFonts w:ascii="Arial" w:hAnsi="Arial" w:cs="Arial"/>
          <w:b/>
          <w:bCs/>
          <w:color w:val="000000" w:themeColor="text1"/>
          <w:sz w:val="22"/>
          <w:szCs w:val="22"/>
        </w:rPr>
      </w:pPr>
    </w:p>
    <w:p w14:paraId="05FB322C" w14:textId="77777777" w:rsidR="00AB1F18" w:rsidRPr="003D2471" w:rsidRDefault="00AB1F18" w:rsidP="003A5FE5">
      <w:pPr>
        <w:pStyle w:val="whitespace-normal"/>
        <w:rPr>
          <w:rFonts w:ascii="Arial" w:hAnsi="Arial" w:cs="Arial"/>
          <w:b/>
          <w:bCs/>
          <w:color w:val="000000" w:themeColor="text1"/>
          <w:sz w:val="22"/>
          <w:szCs w:val="22"/>
        </w:rPr>
      </w:pPr>
    </w:p>
    <w:p w14:paraId="42448317" w14:textId="77777777" w:rsidR="00AB1F18" w:rsidRPr="003D2471" w:rsidRDefault="00AB1F18" w:rsidP="003A5FE5">
      <w:pPr>
        <w:pStyle w:val="whitespace-normal"/>
        <w:rPr>
          <w:rFonts w:ascii="Arial" w:hAnsi="Arial" w:cs="Arial"/>
          <w:b/>
          <w:bCs/>
          <w:color w:val="000000" w:themeColor="text1"/>
          <w:sz w:val="22"/>
          <w:szCs w:val="22"/>
        </w:rPr>
      </w:pPr>
    </w:p>
    <w:p w14:paraId="3661F479" w14:textId="77777777" w:rsidR="00AB1F18" w:rsidRPr="003D2471" w:rsidRDefault="00AB1F18" w:rsidP="003A5FE5">
      <w:pPr>
        <w:pStyle w:val="whitespace-normal"/>
        <w:rPr>
          <w:rFonts w:ascii="Arial" w:hAnsi="Arial" w:cs="Arial"/>
          <w:b/>
          <w:bCs/>
          <w:color w:val="000000" w:themeColor="text1"/>
          <w:sz w:val="22"/>
          <w:szCs w:val="22"/>
        </w:rPr>
      </w:pPr>
    </w:p>
    <w:p w14:paraId="1D34385F" w14:textId="77777777" w:rsidR="00AB1F18" w:rsidRPr="003D2471" w:rsidRDefault="00AB1F18" w:rsidP="003A5FE5">
      <w:pPr>
        <w:pStyle w:val="whitespace-normal"/>
        <w:rPr>
          <w:rFonts w:ascii="Arial" w:hAnsi="Arial" w:cs="Arial"/>
          <w:b/>
          <w:bCs/>
          <w:color w:val="000000" w:themeColor="text1"/>
          <w:sz w:val="22"/>
          <w:szCs w:val="22"/>
        </w:rPr>
      </w:pPr>
    </w:p>
    <w:p w14:paraId="3A3D1F02" w14:textId="77777777" w:rsidR="00AB1F18" w:rsidRPr="003D2471" w:rsidRDefault="00AB1F18" w:rsidP="003A5FE5">
      <w:pPr>
        <w:pStyle w:val="whitespace-normal"/>
        <w:rPr>
          <w:rFonts w:ascii="Arial" w:hAnsi="Arial" w:cs="Arial"/>
          <w:b/>
          <w:bCs/>
          <w:color w:val="000000" w:themeColor="text1"/>
          <w:sz w:val="22"/>
          <w:szCs w:val="22"/>
        </w:rPr>
      </w:pPr>
    </w:p>
    <w:p w14:paraId="5E1A2996" w14:textId="77777777" w:rsidR="00AB1F18" w:rsidRPr="003D2471" w:rsidRDefault="00AB1F18" w:rsidP="003A5FE5">
      <w:pPr>
        <w:pStyle w:val="whitespace-normal"/>
        <w:rPr>
          <w:rFonts w:ascii="Arial" w:hAnsi="Arial" w:cs="Arial"/>
          <w:b/>
          <w:bCs/>
          <w:color w:val="000000" w:themeColor="text1"/>
          <w:sz w:val="22"/>
          <w:szCs w:val="22"/>
        </w:rPr>
      </w:pPr>
    </w:p>
    <w:p w14:paraId="02555F9A" w14:textId="77777777" w:rsidR="00AB1F18" w:rsidRPr="003D2471" w:rsidRDefault="00AB1F18" w:rsidP="003A5FE5">
      <w:pPr>
        <w:pStyle w:val="whitespace-normal"/>
        <w:rPr>
          <w:rFonts w:ascii="Arial" w:hAnsi="Arial" w:cs="Arial"/>
          <w:b/>
          <w:bCs/>
          <w:color w:val="000000" w:themeColor="text1"/>
          <w:sz w:val="22"/>
          <w:szCs w:val="22"/>
        </w:rPr>
      </w:pPr>
    </w:p>
    <w:p w14:paraId="372294FC" w14:textId="77777777" w:rsidR="00AB1F18" w:rsidRPr="003D2471" w:rsidRDefault="00AB1F18" w:rsidP="003A5FE5">
      <w:pPr>
        <w:pStyle w:val="whitespace-normal"/>
        <w:rPr>
          <w:rFonts w:ascii="Arial" w:hAnsi="Arial" w:cs="Arial"/>
          <w:b/>
          <w:bCs/>
          <w:color w:val="000000" w:themeColor="text1"/>
          <w:sz w:val="22"/>
          <w:szCs w:val="22"/>
        </w:rPr>
      </w:pPr>
    </w:p>
    <w:p w14:paraId="6DA71047" w14:textId="0A649919" w:rsidR="003A5FE5" w:rsidRPr="003D2471" w:rsidRDefault="003A5FE5" w:rsidP="003A5FE5">
      <w:pPr>
        <w:pStyle w:val="whitespace-normal"/>
        <w:rPr>
          <w:rFonts w:ascii="Arial" w:hAnsi="Arial" w:cs="Arial"/>
          <w:b/>
          <w:bCs/>
          <w:color w:val="000000" w:themeColor="text1"/>
          <w:sz w:val="22"/>
          <w:szCs w:val="22"/>
        </w:rPr>
      </w:pPr>
      <w:r w:rsidRPr="003D2471">
        <w:rPr>
          <w:rFonts w:ascii="Arial" w:hAnsi="Arial" w:cs="Arial"/>
          <w:b/>
          <w:bCs/>
          <w:color w:val="000000" w:themeColor="text1"/>
          <w:sz w:val="22"/>
          <w:szCs w:val="22"/>
        </w:rPr>
        <w:t>Table S2. Adverse Events by Treatment Condition</w:t>
      </w:r>
    </w:p>
    <w:tbl>
      <w:tblPr>
        <w:tblW w:w="0" w:type="auto"/>
        <w:tblLayout w:type="fixed"/>
        <w:tblLook w:val="04A0" w:firstRow="1" w:lastRow="0" w:firstColumn="1" w:lastColumn="0" w:noHBand="0" w:noVBand="1"/>
      </w:tblPr>
      <w:tblGrid>
        <w:gridCol w:w="4225"/>
        <w:gridCol w:w="1080"/>
        <w:gridCol w:w="1125"/>
        <w:gridCol w:w="1401"/>
        <w:gridCol w:w="1519"/>
      </w:tblGrid>
      <w:tr w:rsidR="003D2471" w:rsidRPr="003D2471" w14:paraId="4DF17373" w14:textId="77777777" w:rsidTr="003A2ABC">
        <w:trPr>
          <w:trHeight w:val="300"/>
        </w:trPr>
        <w:tc>
          <w:tcPr>
            <w:tcW w:w="4225" w:type="dxa"/>
            <w:tcBorders>
              <w:top w:val="single" w:sz="4" w:space="0" w:color="auto"/>
              <w:left w:val="single" w:sz="4" w:space="0" w:color="auto"/>
              <w:bottom w:val="single" w:sz="4" w:space="0" w:color="auto"/>
              <w:right w:val="single" w:sz="4" w:space="0" w:color="auto"/>
            </w:tcBorders>
            <w:noWrap/>
            <w:vAlign w:val="center"/>
            <w:hideMark/>
          </w:tcPr>
          <w:p w14:paraId="3D2873FF" w14:textId="77777777" w:rsidR="003A5FE5" w:rsidRPr="003D2471" w:rsidRDefault="003A5FE5" w:rsidP="003A2ABC">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Adverse Event</w:t>
            </w:r>
          </w:p>
        </w:tc>
        <w:tc>
          <w:tcPr>
            <w:tcW w:w="1080" w:type="dxa"/>
            <w:tcBorders>
              <w:top w:val="single" w:sz="4" w:space="0" w:color="auto"/>
              <w:left w:val="nil"/>
              <w:bottom w:val="single" w:sz="4" w:space="0" w:color="auto"/>
              <w:right w:val="single" w:sz="4" w:space="0" w:color="auto"/>
            </w:tcBorders>
            <w:noWrap/>
            <w:vAlign w:val="center"/>
            <w:hideMark/>
          </w:tcPr>
          <w:p w14:paraId="53F6CF62" w14:textId="77777777" w:rsidR="003A5FE5" w:rsidRPr="003D2471" w:rsidRDefault="003A5FE5" w:rsidP="003A2ABC">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Placebo</w:t>
            </w:r>
          </w:p>
        </w:tc>
        <w:tc>
          <w:tcPr>
            <w:tcW w:w="1125" w:type="dxa"/>
            <w:tcBorders>
              <w:top w:val="single" w:sz="4" w:space="0" w:color="auto"/>
              <w:left w:val="nil"/>
              <w:bottom w:val="single" w:sz="4" w:space="0" w:color="auto"/>
              <w:right w:val="single" w:sz="4" w:space="0" w:color="auto"/>
            </w:tcBorders>
            <w:noWrap/>
            <w:vAlign w:val="center"/>
            <w:hideMark/>
          </w:tcPr>
          <w:p w14:paraId="3E7EC2F6" w14:textId="77777777" w:rsidR="003A5FE5" w:rsidRPr="003D2471" w:rsidRDefault="003A5FE5" w:rsidP="003A2ABC">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CBD 400mg</w:t>
            </w:r>
          </w:p>
        </w:tc>
        <w:tc>
          <w:tcPr>
            <w:tcW w:w="1401" w:type="dxa"/>
            <w:tcBorders>
              <w:top w:val="single" w:sz="4" w:space="0" w:color="auto"/>
              <w:left w:val="nil"/>
              <w:bottom w:val="single" w:sz="4" w:space="0" w:color="auto"/>
              <w:right w:val="single" w:sz="4" w:space="0" w:color="auto"/>
            </w:tcBorders>
            <w:noWrap/>
            <w:vAlign w:val="center"/>
            <w:hideMark/>
          </w:tcPr>
          <w:p w14:paraId="200A2179" w14:textId="77777777" w:rsidR="003A5FE5" w:rsidRPr="003D2471" w:rsidRDefault="003A5FE5" w:rsidP="003A2ABC">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CBD 800mg</w:t>
            </w:r>
          </w:p>
        </w:tc>
        <w:tc>
          <w:tcPr>
            <w:tcW w:w="1519" w:type="dxa"/>
            <w:tcBorders>
              <w:top w:val="single" w:sz="4" w:space="0" w:color="auto"/>
              <w:left w:val="nil"/>
              <w:bottom w:val="single" w:sz="4" w:space="0" w:color="auto"/>
              <w:right w:val="single" w:sz="4" w:space="0" w:color="auto"/>
            </w:tcBorders>
            <w:noWrap/>
            <w:vAlign w:val="center"/>
            <w:hideMark/>
          </w:tcPr>
          <w:p w14:paraId="3FB2EB16" w14:textId="77777777" w:rsidR="003A5FE5" w:rsidRPr="003D2471" w:rsidRDefault="003A5FE5" w:rsidP="003A2ABC">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CBD 1200mg</w:t>
            </w:r>
          </w:p>
        </w:tc>
      </w:tr>
      <w:tr w:rsidR="003D2471" w:rsidRPr="003D2471" w14:paraId="3830ED37"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42E6CF0E"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Back, muscle, or bone pain</w:t>
            </w:r>
          </w:p>
        </w:tc>
        <w:tc>
          <w:tcPr>
            <w:tcW w:w="1080" w:type="dxa"/>
            <w:tcBorders>
              <w:top w:val="nil"/>
              <w:left w:val="nil"/>
              <w:bottom w:val="single" w:sz="4" w:space="0" w:color="auto"/>
              <w:right w:val="single" w:sz="4" w:space="0" w:color="auto"/>
            </w:tcBorders>
            <w:noWrap/>
            <w:vAlign w:val="bottom"/>
            <w:hideMark/>
          </w:tcPr>
          <w:p w14:paraId="2BA2227B"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125" w:type="dxa"/>
            <w:tcBorders>
              <w:top w:val="nil"/>
              <w:left w:val="nil"/>
              <w:bottom w:val="single" w:sz="4" w:space="0" w:color="auto"/>
              <w:right w:val="single" w:sz="4" w:space="0" w:color="auto"/>
            </w:tcBorders>
            <w:noWrap/>
            <w:vAlign w:val="bottom"/>
            <w:hideMark/>
          </w:tcPr>
          <w:p w14:paraId="06118CB9"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2</w:t>
            </w:r>
          </w:p>
        </w:tc>
        <w:tc>
          <w:tcPr>
            <w:tcW w:w="1401" w:type="dxa"/>
            <w:tcBorders>
              <w:top w:val="nil"/>
              <w:left w:val="nil"/>
              <w:bottom w:val="single" w:sz="4" w:space="0" w:color="auto"/>
              <w:right w:val="single" w:sz="4" w:space="0" w:color="auto"/>
            </w:tcBorders>
            <w:noWrap/>
            <w:vAlign w:val="bottom"/>
            <w:hideMark/>
          </w:tcPr>
          <w:p w14:paraId="6A5045FC"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4</w:t>
            </w:r>
          </w:p>
        </w:tc>
        <w:tc>
          <w:tcPr>
            <w:tcW w:w="1519" w:type="dxa"/>
            <w:tcBorders>
              <w:top w:val="nil"/>
              <w:left w:val="nil"/>
              <w:bottom w:val="single" w:sz="4" w:space="0" w:color="auto"/>
              <w:right w:val="single" w:sz="4" w:space="0" w:color="auto"/>
            </w:tcBorders>
            <w:noWrap/>
            <w:vAlign w:val="bottom"/>
            <w:hideMark/>
          </w:tcPr>
          <w:p w14:paraId="2499B7E7"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10A2D1C4"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480917B8"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Constipation</w:t>
            </w:r>
          </w:p>
        </w:tc>
        <w:tc>
          <w:tcPr>
            <w:tcW w:w="1080" w:type="dxa"/>
            <w:tcBorders>
              <w:top w:val="nil"/>
              <w:left w:val="nil"/>
              <w:bottom w:val="single" w:sz="4" w:space="0" w:color="auto"/>
              <w:right w:val="single" w:sz="4" w:space="0" w:color="auto"/>
            </w:tcBorders>
            <w:noWrap/>
            <w:vAlign w:val="bottom"/>
            <w:hideMark/>
          </w:tcPr>
          <w:p w14:paraId="1FDFC54A"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125" w:type="dxa"/>
            <w:tcBorders>
              <w:top w:val="nil"/>
              <w:left w:val="nil"/>
              <w:bottom w:val="single" w:sz="4" w:space="0" w:color="auto"/>
              <w:right w:val="single" w:sz="4" w:space="0" w:color="auto"/>
            </w:tcBorders>
            <w:noWrap/>
            <w:vAlign w:val="bottom"/>
            <w:hideMark/>
          </w:tcPr>
          <w:p w14:paraId="66A05A62"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30B84BC7"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519" w:type="dxa"/>
            <w:tcBorders>
              <w:top w:val="nil"/>
              <w:left w:val="nil"/>
              <w:bottom w:val="single" w:sz="4" w:space="0" w:color="auto"/>
              <w:right w:val="single" w:sz="4" w:space="0" w:color="auto"/>
            </w:tcBorders>
            <w:noWrap/>
            <w:vAlign w:val="bottom"/>
            <w:hideMark/>
          </w:tcPr>
          <w:p w14:paraId="293FD388"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r>
      <w:tr w:rsidR="003D2471" w:rsidRPr="003D2471" w14:paraId="1C74456C"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5155F902"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Diarrhea</w:t>
            </w:r>
          </w:p>
        </w:tc>
        <w:tc>
          <w:tcPr>
            <w:tcW w:w="1080" w:type="dxa"/>
            <w:tcBorders>
              <w:top w:val="nil"/>
              <w:left w:val="nil"/>
              <w:bottom w:val="single" w:sz="4" w:space="0" w:color="auto"/>
              <w:right w:val="single" w:sz="4" w:space="0" w:color="auto"/>
            </w:tcBorders>
            <w:noWrap/>
            <w:vAlign w:val="bottom"/>
            <w:hideMark/>
          </w:tcPr>
          <w:p w14:paraId="6A3EB364"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0274F23A"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401" w:type="dxa"/>
            <w:tcBorders>
              <w:top w:val="nil"/>
              <w:left w:val="nil"/>
              <w:bottom w:val="single" w:sz="4" w:space="0" w:color="auto"/>
              <w:right w:val="single" w:sz="4" w:space="0" w:color="auto"/>
            </w:tcBorders>
            <w:noWrap/>
            <w:vAlign w:val="bottom"/>
            <w:hideMark/>
          </w:tcPr>
          <w:p w14:paraId="5B7D47F3"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519" w:type="dxa"/>
            <w:tcBorders>
              <w:top w:val="nil"/>
              <w:left w:val="nil"/>
              <w:bottom w:val="single" w:sz="4" w:space="0" w:color="auto"/>
              <w:right w:val="single" w:sz="4" w:space="0" w:color="auto"/>
            </w:tcBorders>
            <w:noWrap/>
            <w:vAlign w:val="bottom"/>
            <w:hideMark/>
          </w:tcPr>
          <w:p w14:paraId="703E2DE9"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1D052593"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33980ACA"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Difficulty sleeping</w:t>
            </w:r>
          </w:p>
        </w:tc>
        <w:tc>
          <w:tcPr>
            <w:tcW w:w="1080" w:type="dxa"/>
            <w:tcBorders>
              <w:top w:val="nil"/>
              <w:left w:val="nil"/>
              <w:bottom w:val="single" w:sz="4" w:space="0" w:color="auto"/>
              <w:right w:val="single" w:sz="4" w:space="0" w:color="auto"/>
            </w:tcBorders>
            <w:noWrap/>
            <w:vAlign w:val="bottom"/>
            <w:hideMark/>
          </w:tcPr>
          <w:p w14:paraId="6AE2B6F4"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125" w:type="dxa"/>
            <w:tcBorders>
              <w:top w:val="nil"/>
              <w:left w:val="nil"/>
              <w:bottom w:val="single" w:sz="4" w:space="0" w:color="auto"/>
              <w:right w:val="single" w:sz="4" w:space="0" w:color="auto"/>
            </w:tcBorders>
            <w:noWrap/>
            <w:vAlign w:val="bottom"/>
            <w:hideMark/>
          </w:tcPr>
          <w:p w14:paraId="1691AB19"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6D5DACAE"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519" w:type="dxa"/>
            <w:tcBorders>
              <w:top w:val="nil"/>
              <w:left w:val="nil"/>
              <w:bottom w:val="single" w:sz="4" w:space="0" w:color="auto"/>
              <w:right w:val="single" w:sz="4" w:space="0" w:color="auto"/>
            </w:tcBorders>
            <w:noWrap/>
            <w:vAlign w:val="bottom"/>
            <w:hideMark/>
          </w:tcPr>
          <w:p w14:paraId="3DB67DCE"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07CACA1F"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697F34CB"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Double vision</w:t>
            </w:r>
          </w:p>
        </w:tc>
        <w:tc>
          <w:tcPr>
            <w:tcW w:w="1080" w:type="dxa"/>
            <w:tcBorders>
              <w:top w:val="nil"/>
              <w:left w:val="nil"/>
              <w:bottom w:val="single" w:sz="4" w:space="0" w:color="auto"/>
              <w:right w:val="single" w:sz="4" w:space="0" w:color="auto"/>
            </w:tcBorders>
            <w:noWrap/>
            <w:vAlign w:val="bottom"/>
            <w:hideMark/>
          </w:tcPr>
          <w:p w14:paraId="50193905"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72AD5685"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401" w:type="dxa"/>
            <w:tcBorders>
              <w:top w:val="nil"/>
              <w:left w:val="nil"/>
              <w:bottom w:val="single" w:sz="4" w:space="0" w:color="auto"/>
              <w:right w:val="single" w:sz="4" w:space="0" w:color="auto"/>
            </w:tcBorders>
            <w:noWrap/>
            <w:vAlign w:val="bottom"/>
            <w:hideMark/>
          </w:tcPr>
          <w:p w14:paraId="7EDD271F"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519" w:type="dxa"/>
            <w:tcBorders>
              <w:top w:val="nil"/>
              <w:left w:val="nil"/>
              <w:bottom w:val="single" w:sz="4" w:space="0" w:color="auto"/>
              <w:right w:val="single" w:sz="4" w:space="0" w:color="auto"/>
            </w:tcBorders>
            <w:noWrap/>
            <w:vAlign w:val="bottom"/>
            <w:hideMark/>
          </w:tcPr>
          <w:p w14:paraId="0532C561"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55F7A793"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09B8BD5D"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Excessive hunger</w:t>
            </w:r>
          </w:p>
        </w:tc>
        <w:tc>
          <w:tcPr>
            <w:tcW w:w="1080" w:type="dxa"/>
            <w:tcBorders>
              <w:top w:val="nil"/>
              <w:left w:val="nil"/>
              <w:bottom w:val="single" w:sz="4" w:space="0" w:color="auto"/>
              <w:right w:val="single" w:sz="4" w:space="0" w:color="auto"/>
            </w:tcBorders>
            <w:noWrap/>
            <w:vAlign w:val="bottom"/>
            <w:hideMark/>
          </w:tcPr>
          <w:p w14:paraId="0F4551CF"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71602E70"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11E28064"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519" w:type="dxa"/>
            <w:tcBorders>
              <w:top w:val="nil"/>
              <w:left w:val="nil"/>
              <w:bottom w:val="single" w:sz="4" w:space="0" w:color="auto"/>
              <w:right w:val="single" w:sz="4" w:space="0" w:color="auto"/>
            </w:tcBorders>
            <w:noWrap/>
            <w:vAlign w:val="bottom"/>
            <w:hideMark/>
          </w:tcPr>
          <w:p w14:paraId="39643FFD"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342292C5"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18E48401"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Extreme tiredness (fatigue)</w:t>
            </w:r>
          </w:p>
        </w:tc>
        <w:tc>
          <w:tcPr>
            <w:tcW w:w="1080" w:type="dxa"/>
            <w:tcBorders>
              <w:top w:val="nil"/>
              <w:left w:val="nil"/>
              <w:bottom w:val="single" w:sz="4" w:space="0" w:color="auto"/>
              <w:right w:val="single" w:sz="4" w:space="0" w:color="auto"/>
            </w:tcBorders>
            <w:noWrap/>
            <w:vAlign w:val="bottom"/>
            <w:hideMark/>
          </w:tcPr>
          <w:p w14:paraId="11A8C66D"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12D0EF95"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7483F281"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519" w:type="dxa"/>
            <w:tcBorders>
              <w:top w:val="nil"/>
              <w:left w:val="nil"/>
              <w:bottom w:val="single" w:sz="4" w:space="0" w:color="auto"/>
              <w:right w:val="single" w:sz="4" w:space="0" w:color="auto"/>
            </w:tcBorders>
            <w:noWrap/>
            <w:vAlign w:val="bottom"/>
            <w:hideMark/>
          </w:tcPr>
          <w:p w14:paraId="04FB34BB"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11242192"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2D65692F"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Eye pain</w:t>
            </w:r>
          </w:p>
        </w:tc>
        <w:tc>
          <w:tcPr>
            <w:tcW w:w="1080" w:type="dxa"/>
            <w:tcBorders>
              <w:top w:val="nil"/>
              <w:left w:val="nil"/>
              <w:bottom w:val="single" w:sz="4" w:space="0" w:color="auto"/>
              <w:right w:val="single" w:sz="4" w:space="0" w:color="auto"/>
            </w:tcBorders>
            <w:noWrap/>
            <w:vAlign w:val="bottom"/>
            <w:hideMark/>
          </w:tcPr>
          <w:p w14:paraId="2680ECD8"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125" w:type="dxa"/>
            <w:tcBorders>
              <w:top w:val="nil"/>
              <w:left w:val="nil"/>
              <w:bottom w:val="single" w:sz="4" w:space="0" w:color="auto"/>
              <w:right w:val="single" w:sz="4" w:space="0" w:color="auto"/>
            </w:tcBorders>
            <w:noWrap/>
            <w:vAlign w:val="bottom"/>
            <w:hideMark/>
          </w:tcPr>
          <w:p w14:paraId="3B0AD9DC"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401" w:type="dxa"/>
            <w:tcBorders>
              <w:top w:val="nil"/>
              <w:left w:val="nil"/>
              <w:bottom w:val="single" w:sz="4" w:space="0" w:color="auto"/>
              <w:right w:val="single" w:sz="4" w:space="0" w:color="auto"/>
            </w:tcBorders>
            <w:noWrap/>
            <w:vAlign w:val="bottom"/>
            <w:hideMark/>
          </w:tcPr>
          <w:p w14:paraId="2A549A06"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519" w:type="dxa"/>
            <w:tcBorders>
              <w:top w:val="nil"/>
              <w:left w:val="nil"/>
              <w:bottom w:val="single" w:sz="4" w:space="0" w:color="auto"/>
              <w:right w:val="single" w:sz="4" w:space="0" w:color="auto"/>
            </w:tcBorders>
            <w:noWrap/>
            <w:vAlign w:val="bottom"/>
            <w:hideMark/>
          </w:tcPr>
          <w:p w14:paraId="0AA5AE80"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6319734D"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322892F1"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Feeling drowsy</w:t>
            </w:r>
          </w:p>
        </w:tc>
        <w:tc>
          <w:tcPr>
            <w:tcW w:w="1080" w:type="dxa"/>
            <w:tcBorders>
              <w:top w:val="nil"/>
              <w:left w:val="nil"/>
              <w:bottom w:val="single" w:sz="4" w:space="0" w:color="auto"/>
              <w:right w:val="single" w:sz="4" w:space="0" w:color="auto"/>
            </w:tcBorders>
            <w:noWrap/>
            <w:vAlign w:val="bottom"/>
            <w:hideMark/>
          </w:tcPr>
          <w:p w14:paraId="5999E42B"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7FD31D6F"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611D2707"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519" w:type="dxa"/>
            <w:tcBorders>
              <w:top w:val="nil"/>
              <w:left w:val="nil"/>
              <w:bottom w:val="single" w:sz="4" w:space="0" w:color="auto"/>
              <w:right w:val="single" w:sz="4" w:space="0" w:color="auto"/>
            </w:tcBorders>
            <w:noWrap/>
            <w:vAlign w:val="bottom"/>
            <w:hideMark/>
          </w:tcPr>
          <w:p w14:paraId="366F338D"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1C9C476C"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62692AF6"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Headache</w:t>
            </w:r>
          </w:p>
        </w:tc>
        <w:tc>
          <w:tcPr>
            <w:tcW w:w="1080" w:type="dxa"/>
            <w:tcBorders>
              <w:top w:val="nil"/>
              <w:left w:val="nil"/>
              <w:bottom w:val="single" w:sz="4" w:space="0" w:color="auto"/>
              <w:right w:val="single" w:sz="4" w:space="0" w:color="auto"/>
            </w:tcBorders>
            <w:noWrap/>
            <w:vAlign w:val="bottom"/>
            <w:hideMark/>
          </w:tcPr>
          <w:p w14:paraId="77A1FEF9"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1CBF8DF8"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7BB63224"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2</w:t>
            </w:r>
          </w:p>
        </w:tc>
        <w:tc>
          <w:tcPr>
            <w:tcW w:w="1519" w:type="dxa"/>
            <w:tcBorders>
              <w:top w:val="nil"/>
              <w:left w:val="nil"/>
              <w:bottom w:val="single" w:sz="4" w:space="0" w:color="auto"/>
              <w:right w:val="single" w:sz="4" w:space="0" w:color="auto"/>
            </w:tcBorders>
            <w:noWrap/>
            <w:vAlign w:val="bottom"/>
            <w:hideMark/>
          </w:tcPr>
          <w:p w14:paraId="17AE811F"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r>
      <w:tr w:rsidR="003D2471" w:rsidRPr="003D2471" w14:paraId="610FFC27"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326CC6D0"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Heartburn</w:t>
            </w:r>
          </w:p>
        </w:tc>
        <w:tc>
          <w:tcPr>
            <w:tcW w:w="1080" w:type="dxa"/>
            <w:tcBorders>
              <w:top w:val="nil"/>
              <w:left w:val="nil"/>
              <w:bottom w:val="single" w:sz="4" w:space="0" w:color="auto"/>
              <w:right w:val="single" w:sz="4" w:space="0" w:color="auto"/>
            </w:tcBorders>
            <w:noWrap/>
            <w:vAlign w:val="bottom"/>
            <w:hideMark/>
          </w:tcPr>
          <w:p w14:paraId="1213E578"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2056E026"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401" w:type="dxa"/>
            <w:tcBorders>
              <w:top w:val="nil"/>
              <w:left w:val="nil"/>
              <w:bottom w:val="single" w:sz="4" w:space="0" w:color="auto"/>
              <w:right w:val="single" w:sz="4" w:space="0" w:color="auto"/>
            </w:tcBorders>
            <w:noWrap/>
            <w:vAlign w:val="bottom"/>
            <w:hideMark/>
          </w:tcPr>
          <w:p w14:paraId="3FE1C415"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519" w:type="dxa"/>
            <w:tcBorders>
              <w:top w:val="nil"/>
              <w:left w:val="nil"/>
              <w:bottom w:val="single" w:sz="4" w:space="0" w:color="auto"/>
              <w:right w:val="single" w:sz="4" w:space="0" w:color="auto"/>
            </w:tcBorders>
            <w:noWrap/>
            <w:vAlign w:val="bottom"/>
            <w:hideMark/>
          </w:tcPr>
          <w:p w14:paraId="532C2EE5"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61B639F0"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3D4952C3"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Missed menstrual periods (females only)</w:t>
            </w:r>
          </w:p>
        </w:tc>
        <w:tc>
          <w:tcPr>
            <w:tcW w:w="1080" w:type="dxa"/>
            <w:tcBorders>
              <w:top w:val="nil"/>
              <w:left w:val="nil"/>
              <w:bottom w:val="single" w:sz="4" w:space="0" w:color="auto"/>
              <w:right w:val="single" w:sz="4" w:space="0" w:color="auto"/>
            </w:tcBorders>
            <w:noWrap/>
            <w:vAlign w:val="bottom"/>
            <w:hideMark/>
          </w:tcPr>
          <w:p w14:paraId="40F8E093"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125" w:type="dxa"/>
            <w:tcBorders>
              <w:top w:val="nil"/>
              <w:left w:val="nil"/>
              <w:bottom w:val="single" w:sz="4" w:space="0" w:color="auto"/>
              <w:right w:val="single" w:sz="4" w:space="0" w:color="auto"/>
            </w:tcBorders>
            <w:noWrap/>
            <w:vAlign w:val="bottom"/>
            <w:hideMark/>
          </w:tcPr>
          <w:p w14:paraId="26CC4A29"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0645C9CF"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519" w:type="dxa"/>
            <w:tcBorders>
              <w:top w:val="nil"/>
              <w:left w:val="nil"/>
              <w:bottom w:val="single" w:sz="4" w:space="0" w:color="auto"/>
              <w:right w:val="single" w:sz="4" w:space="0" w:color="auto"/>
            </w:tcBorders>
            <w:noWrap/>
            <w:vAlign w:val="bottom"/>
            <w:hideMark/>
          </w:tcPr>
          <w:p w14:paraId="3E5BC58B"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r>
      <w:tr w:rsidR="003D2471" w:rsidRPr="003D2471" w14:paraId="1BEFEC66"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26D9A13A"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Numbness or tingling around mouth</w:t>
            </w:r>
          </w:p>
        </w:tc>
        <w:tc>
          <w:tcPr>
            <w:tcW w:w="1080" w:type="dxa"/>
            <w:tcBorders>
              <w:top w:val="nil"/>
              <w:left w:val="nil"/>
              <w:bottom w:val="single" w:sz="4" w:space="0" w:color="auto"/>
              <w:right w:val="single" w:sz="4" w:space="0" w:color="auto"/>
            </w:tcBorders>
            <w:noWrap/>
            <w:vAlign w:val="bottom"/>
            <w:hideMark/>
          </w:tcPr>
          <w:p w14:paraId="060AFD46"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6EA319AE"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401" w:type="dxa"/>
            <w:tcBorders>
              <w:top w:val="nil"/>
              <w:left w:val="nil"/>
              <w:bottom w:val="single" w:sz="4" w:space="0" w:color="auto"/>
              <w:right w:val="single" w:sz="4" w:space="0" w:color="auto"/>
            </w:tcBorders>
            <w:noWrap/>
            <w:vAlign w:val="bottom"/>
            <w:hideMark/>
          </w:tcPr>
          <w:p w14:paraId="021D0B58"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519" w:type="dxa"/>
            <w:tcBorders>
              <w:top w:val="nil"/>
              <w:left w:val="nil"/>
              <w:bottom w:val="single" w:sz="4" w:space="0" w:color="auto"/>
              <w:right w:val="single" w:sz="4" w:space="0" w:color="auto"/>
            </w:tcBorders>
            <w:noWrap/>
            <w:vAlign w:val="bottom"/>
            <w:hideMark/>
          </w:tcPr>
          <w:p w14:paraId="2F48EE6F"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703A3EBB"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5E4CC7E4"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Rash or skin problem</w:t>
            </w:r>
          </w:p>
        </w:tc>
        <w:tc>
          <w:tcPr>
            <w:tcW w:w="1080" w:type="dxa"/>
            <w:tcBorders>
              <w:top w:val="nil"/>
              <w:left w:val="nil"/>
              <w:bottom w:val="single" w:sz="4" w:space="0" w:color="auto"/>
              <w:right w:val="single" w:sz="4" w:space="0" w:color="auto"/>
            </w:tcBorders>
            <w:noWrap/>
            <w:vAlign w:val="bottom"/>
            <w:hideMark/>
          </w:tcPr>
          <w:p w14:paraId="429D5091"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125" w:type="dxa"/>
            <w:tcBorders>
              <w:top w:val="nil"/>
              <w:left w:val="nil"/>
              <w:bottom w:val="single" w:sz="4" w:space="0" w:color="auto"/>
              <w:right w:val="single" w:sz="4" w:space="0" w:color="auto"/>
            </w:tcBorders>
            <w:noWrap/>
            <w:vAlign w:val="bottom"/>
            <w:hideMark/>
          </w:tcPr>
          <w:p w14:paraId="2828A33E"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401" w:type="dxa"/>
            <w:tcBorders>
              <w:top w:val="nil"/>
              <w:left w:val="nil"/>
              <w:bottom w:val="single" w:sz="4" w:space="0" w:color="auto"/>
              <w:right w:val="single" w:sz="4" w:space="0" w:color="auto"/>
            </w:tcBorders>
            <w:noWrap/>
            <w:vAlign w:val="bottom"/>
            <w:hideMark/>
          </w:tcPr>
          <w:p w14:paraId="3A0B4FD3"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519" w:type="dxa"/>
            <w:tcBorders>
              <w:top w:val="nil"/>
              <w:left w:val="nil"/>
              <w:bottom w:val="single" w:sz="4" w:space="0" w:color="auto"/>
              <w:right w:val="single" w:sz="4" w:space="0" w:color="auto"/>
            </w:tcBorders>
            <w:noWrap/>
            <w:vAlign w:val="bottom"/>
            <w:hideMark/>
          </w:tcPr>
          <w:p w14:paraId="5F02245F"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6FFA23C8"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05856D32"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Stomach pain</w:t>
            </w:r>
          </w:p>
        </w:tc>
        <w:tc>
          <w:tcPr>
            <w:tcW w:w="1080" w:type="dxa"/>
            <w:tcBorders>
              <w:top w:val="nil"/>
              <w:left w:val="nil"/>
              <w:bottom w:val="single" w:sz="4" w:space="0" w:color="auto"/>
              <w:right w:val="single" w:sz="4" w:space="0" w:color="auto"/>
            </w:tcBorders>
            <w:noWrap/>
            <w:vAlign w:val="bottom"/>
            <w:hideMark/>
          </w:tcPr>
          <w:p w14:paraId="6ABAC1F2"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19AF5641"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401" w:type="dxa"/>
            <w:tcBorders>
              <w:top w:val="nil"/>
              <w:left w:val="nil"/>
              <w:bottom w:val="single" w:sz="4" w:space="0" w:color="auto"/>
              <w:right w:val="single" w:sz="4" w:space="0" w:color="auto"/>
            </w:tcBorders>
            <w:noWrap/>
            <w:vAlign w:val="bottom"/>
            <w:hideMark/>
          </w:tcPr>
          <w:p w14:paraId="768CC052"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2</w:t>
            </w:r>
          </w:p>
        </w:tc>
        <w:tc>
          <w:tcPr>
            <w:tcW w:w="1519" w:type="dxa"/>
            <w:tcBorders>
              <w:top w:val="nil"/>
              <w:left w:val="nil"/>
              <w:bottom w:val="single" w:sz="4" w:space="0" w:color="auto"/>
              <w:right w:val="single" w:sz="4" w:space="0" w:color="auto"/>
            </w:tcBorders>
            <w:noWrap/>
            <w:vAlign w:val="bottom"/>
            <w:hideMark/>
          </w:tcPr>
          <w:p w14:paraId="10BAF949"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2</w:t>
            </w:r>
          </w:p>
        </w:tc>
      </w:tr>
      <w:tr w:rsidR="003D2471" w:rsidRPr="003D2471" w14:paraId="48F76E21"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6A3BADAF"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Sudden hunger</w:t>
            </w:r>
          </w:p>
        </w:tc>
        <w:tc>
          <w:tcPr>
            <w:tcW w:w="1080" w:type="dxa"/>
            <w:tcBorders>
              <w:top w:val="nil"/>
              <w:left w:val="nil"/>
              <w:bottom w:val="single" w:sz="4" w:space="0" w:color="auto"/>
              <w:right w:val="single" w:sz="4" w:space="0" w:color="auto"/>
            </w:tcBorders>
            <w:noWrap/>
            <w:vAlign w:val="bottom"/>
            <w:hideMark/>
          </w:tcPr>
          <w:p w14:paraId="0E83007F"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52B6CD85"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49F748CC"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519" w:type="dxa"/>
            <w:tcBorders>
              <w:top w:val="nil"/>
              <w:left w:val="nil"/>
              <w:bottom w:val="single" w:sz="4" w:space="0" w:color="auto"/>
              <w:right w:val="single" w:sz="4" w:space="0" w:color="auto"/>
            </w:tcBorders>
            <w:noWrap/>
            <w:vAlign w:val="bottom"/>
            <w:hideMark/>
          </w:tcPr>
          <w:p w14:paraId="2EB0A003"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45700DF6"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5748B610"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Sweating</w:t>
            </w:r>
          </w:p>
        </w:tc>
        <w:tc>
          <w:tcPr>
            <w:tcW w:w="1080" w:type="dxa"/>
            <w:tcBorders>
              <w:top w:val="nil"/>
              <w:left w:val="nil"/>
              <w:bottom w:val="single" w:sz="4" w:space="0" w:color="auto"/>
              <w:right w:val="single" w:sz="4" w:space="0" w:color="auto"/>
            </w:tcBorders>
            <w:noWrap/>
            <w:vAlign w:val="bottom"/>
            <w:hideMark/>
          </w:tcPr>
          <w:p w14:paraId="1B7D67FF"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125" w:type="dxa"/>
            <w:tcBorders>
              <w:top w:val="nil"/>
              <w:left w:val="nil"/>
              <w:bottom w:val="single" w:sz="4" w:space="0" w:color="auto"/>
              <w:right w:val="single" w:sz="4" w:space="0" w:color="auto"/>
            </w:tcBorders>
            <w:noWrap/>
            <w:vAlign w:val="bottom"/>
            <w:hideMark/>
          </w:tcPr>
          <w:p w14:paraId="350B4F7E"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0DF574E9"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519" w:type="dxa"/>
            <w:tcBorders>
              <w:top w:val="nil"/>
              <w:left w:val="nil"/>
              <w:bottom w:val="single" w:sz="4" w:space="0" w:color="auto"/>
              <w:right w:val="single" w:sz="4" w:space="0" w:color="auto"/>
            </w:tcBorders>
            <w:noWrap/>
            <w:vAlign w:val="bottom"/>
            <w:hideMark/>
          </w:tcPr>
          <w:p w14:paraId="1C92C3D9"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r>
      <w:tr w:rsidR="003D2471" w:rsidRPr="003D2471" w14:paraId="44168462"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76D45DB2"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Tingling in fingers or toes</w:t>
            </w:r>
          </w:p>
        </w:tc>
        <w:tc>
          <w:tcPr>
            <w:tcW w:w="1080" w:type="dxa"/>
            <w:tcBorders>
              <w:top w:val="nil"/>
              <w:left w:val="nil"/>
              <w:bottom w:val="single" w:sz="4" w:space="0" w:color="auto"/>
              <w:right w:val="single" w:sz="4" w:space="0" w:color="auto"/>
            </w:tcBorders>
            <w:noWrap/>
            <w:vAlign w:val="bottom"/>
            <w:hideMark/>
          </w:tcPr>
          <w:p w14:paraId="4C1B72DE"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54129C91"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401" w:type="dxa"/>
            <w:tcBorders>
              <w:top w:val="nil"/>
              <w:left w:val="nil"/>
              <w:bottom w:val="single" w:sz="4" w:space="0" w:color="auto"/>
              <w:right w:val="single" w:sz="4" w:space="0" w:color="auto"/>
            </w:tcBorders>
            <w:noWrap/>
            <w:vAlign w:val="bottom"/>
            <w:hideMark/>
          </w:tcPr>
          <w:p w14:paraId="690D526C"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519" w:type="dxa"/>
            <w:tcBorders>
              <w:top w:val="nil"/>
              <w:left w:val="nil"/>
              <w:bottom w:val="single" w:sz="4" w:space="0" w:color="auto"/>
              <w:right w:val="single" w:sz="4" w:space="0" w:color="auto"/>
            </w:tcBorders>
            <w:noWrap/>
            <w:vAlign w:val="bottom"/>
            <w:hideMark/>
          </w:tcPr>
          <w:p w14:paraId="3F1FDAB7"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r>
      <w:tr w:rsidR="003D2471" w:rsidRPr="003D2471" w14:paraId="566E411F"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2EE17EA4"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Trouble walking</w:t>
            </w:r>
          </w:p>
        </w:tc>
        <w:tc>
          <w:tcPr>
            <w:tcW w:w="1080" w:type="dxa"/>
            <w:tcBorders>
              <w:top w:val="nil"/>
              <w:left w:val="nil"/>
              <w:bottom w:val="single" w:sz="4" w:space="0" w:color="auto"/>
              <w:right w:val="single" w:sz="4" w:space="0" w:color="auto"/>
            </w:tcBorders>
            <w:noWrap/>
            <w:vAlign w:val="bottom"/>
            <w:hideMark/>
          </w:tcPr>
          <w:p w14:paraId="1BC427A8"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4F3215D9"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c>
          <w:tcPr>
            <w:tcW w:w="1401" w:type="dxa"/>
            <w:tcBorders>
              <w:top w:val="nil"/>
              <w:left w:val="nil"/>
              <w:bottom w:val="single" w:sz="4" w:space="0" w:color="auto"/>
              <w:right w:val="single" w:sz="4" w:space="0" w:color="auto"/>
            </w:tcBorders>
            <w:noWrap/>
            <w:vAlign w:val="bottom"/>
            <w:hideMark/>
          </w:tcPr>
          <w:p w14:paraId="4F7CFA0D"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519" w:type="dxa"/>
            <w:tcBorders>
              <w:top w:val="nil"/>
              <w:left w:val="nil"/>
              <w:bottom w:val="single" w:sz="4" w:space="0" w:color="auto"/>
              <w:right w:val="single" w:sz="4" w:space="0" w:color="auto"/>
            </w:tcBorders>
            <w:noWrap/>
            <w:vAlign w:val="bottom"/>
            <w:hideMark/>
          </w:tcPr>
          <w:p w14:paraId="0891A4DC"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w:t>
            </w:r>
          </w:p>
        </w:tc>
      </w:tr>
      <w:tr w:rsidR="003A5FE5" w:rsidRPr="003D2471" w14:paraId="76FB1C7F" w14:textId="77777777" w:rsidTr="003A2ABC">
        <w:trPr>
          <w:trHeight w:val="300"/>
        </w:trPr>
        <w:tc>
          <w:tcPr>
            <w:tcW w:w="4225" w:type="dxa"/>
            <w:tcBorders>
              <w:top w:val="nil"/>
              <w:left w:val="single" w:sz="4" w:space="0" w:color="auto"/>
              <w:bottom w:val="single" w:sz="4" w:space="0" w:color="auto"/>
              <w:right w:val="single" w:sz="4" w:space="0" w:color="auto"/>
            </w:tcBorders>
            <w:noWrap/>
            <w:vAlign w:val="bottom"/>
            <w:hideMark/>
          </w:tcPr>
          <w:p w14:paraId="5EC51AC0" w14:textId="77777777" w:rsidR="003A5FE5" w:rsidRPr="003D2471" w:rsidRDefault="003A5FE5" w:rsidP="003A2ABC">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Upset stomach</w:t>
            </w:r>
          </w:p>
        </w:tc>
        <w:tc>
          <w:tcPr>
            <w:tcW w:w="1080" w:type="dxa"/>
            <w:tcBorders>
              <w:top w:val="nil"/>
              <w:left w:val="nil"/>
              <w:bottom w:val="single" w:sz="4" w:space="0" w:color="auto"/>
              <w:right w:val="single" w:sz="4" w:space="0" w:color="auto"/>
            </w:tcBorders>
            <w:noWrap/>
            <w:vAlign w:val="bottom"/>
            <w:hideMark/>
          </w:tcPr>
          <w:p w14:paraId="4AA02572"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125" w:type="dxa"/>
            <w:tcBorders>
              <w:top w:val="nil"/>
              <w:left w:val="nil"/>
              <w:bottom w:val="single" w:sz="4" w:space="0" w:color="auto"/>
              <w:right w:val="single" w:sz="4" w:space="0" w:color="auto"/>
            </w:tcBorders>
            <w:noWrap/>
            <w:vAlign w:val="bottom"/>
            <w:hideMark/>
          </w:tcPr>
          <w:p w14:paraId="7CC95D41"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w:t>
            </w:r>
          </w:p>
        </w:tc>
        <w:tc>
          <w:tcPr>
            <w:tcW w:w="1401" w:type="dxa"/>
            <w:tcBorders>
              <w:top w:val="nil"/>
              <w:left w:val="nil"/>
              <w:bottom w:val="single" w:sz="4" w:space="0" w:color="auto"/>
              <w:right w:val="single" w:sz="4" w:space="0" w:color="auto"/>
            </w:tcBorders>
            <w:noWrap/>
            <w:vAlign w:val="bottom"/>
            <w:hideMark/>
          </w:tcPr>
          <w:p w14:paraId="540B7475"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2</w:t>
            </w:r>
          </w:p>
        </w:tc>
        <w:tc>
          <w:tcPr>
            <w:tcW w:w="1519" w:type="dxa"/>
            <w:tcBorders>
              <w:top w:val="nil"/>
              <w:left w:val="nil"/>
              <w:bottom w:val="single" w:sz="4" w:space="0" w:color="auto"/>
              <w:right w:val="single" w:sz="4" w:space="0" w:color="auto"/>
            </w:tcBorders>
            <w:noWrap/>
            <w:vAlign w:val="bottom"/>
            <w:hideMark/>
          </w:tcPr>
          <w:p w14:paraId="567F916E" w14:textId="77777777" w:rsidR="003A5FE5" w:rsidRPr="003D2471" w:rsidRDefault="003A5FE5" w:rsidP="003A2ABC">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2</w:t>
            </w:r>
          </w:p>
        </w:tc>
      </w:tr>
    </w:tbl>
    <w:p w14:paraId="1A8137CA" w14:textId="77777777" w:rsidR="003A5FE5" w:rsidRPr="003D2471" w:rsidRDefault="003A5FE5" w:rsidP="003A5FE5">
      <w:pPr>
        <w:rPr>
          <w:rFonts w:ascii="Arial" w:hAnsi="Arial" w:cs="Arial"/>
          <w:color w:val="000000" w:themeColor="text1"/>
          <w:sz w:val="22"/>
          <w:szCs w:val="22"/>
        </w:rPr>
      </w:pPr>
    </w:p>
    <w:p w14:paraId="6A45F967" w14:textId="77777777" w:rsidR="003A5FE5" w:rsidRPr="003D2471" w:rsidRDefault="003A5FE5" w:rsidP="003A5FE5">
      <w:pPr>
        <w:rPr>
          <w:rFonts w:ascii="Arial" w:hAnsi="Arial" w:cs="Arial"/>
          <w:color w:val="000000" w:themeColor="text1"/>
          <w:sz w:val="22"/>
          <w:szCs w:val="22"/>
        </w:rPr>
      </w:pPr>
    </w:p>
    <w:p w14:paraId="197DC707" w14:textId="77777777" w:rsidR="003A5FE5" w:rsidRPr="003D2471" w:rsidRDefault="003A5FE5" w:rsidP="003A5FE5">
      <w:pPr>
        <w:rPr>
          <w:rFonts w:ascii="Arial" w:hAnsi="Arial" w:cs="Arial"/>
          <w:color w:val="000000" w:themeColor="text1"/>
          <w:sz w:val="22"/>
          <w:szCs w:val="22"/>
        </w:rPr>
      </w:pPr>
    </w:p>
    <w:p w14:paraId="23C23CE6" w14:textId="77777777" w:rsidR="003A5FE5" w:rsidRPr="003D2471" w:rsidRDefault="003A5FE5" w:rsidP="003A6901">
      <w:pPr>
        <w:pStyle w:val="whitespace-normal"/>
        <w:rPr>
          <w:rFonts w:ascii="Arial" w:hAnsi="Arial" w:cs="Arial"/>
          <w:b/>
          <w:bCs/>
          <w:color w:val="000000" w:themeColor="text1"/>
          <w:sz w:val="22"/>
          <w:szCs w:val="22"/>
        </w:rPr>
      </w:pPr>
    </w:p>
    <w:p w14:paraId="671B6A98" w14:textId="77777777" w:rsidR="003A5FE5" w:rsidRPr="003D2471" w:rsidRDefault="003A5FE5" w:rsidP="003A6901">
      <w:pPr>
        <w:pStyle w:val="whitespace-normal"/>
        <w:rPr>
          <w:rFonts w:ascii="Arial" w:hAnsi="Arial" w:cs="Arial"/>
          <w:b/>
          <w:bCs/>
          <w:color w:val="000000" w:themeColor="text1"/>
          <w:sz w:val="22"/>
          <w:szCs w:val="22"/>
        </w:rPr>
      </w:pPr>
    </w:p>
    <w:p w14:paraId="0B60A916" w14:textId="77777777" w:rsidR="003A5FE5" w:rsidRPr="003D2471" w:rsidRDefault="003A5FE5" w:rsidP="003A6901">
      <w:pPr>
        <w:pStyle w:val="whitespace-normal"/>
        <w:rPr>
          <w:rFonts w:ascii="Arial" w:hAnsi="Arial" w:cs="Arial"/>
          <w:b/>
          <w:bCs/>
          <w:color w:val="000000" w:themeColor="text1"/>
          <w:sz w:val="22"/>
          <w:szCs w:val="22"/>
        </w:rPr>
      </w:pPr>
    </w:p>
    <w:p w14:paraId="33A2D38F" w14:textId="77777777" w:rsidR="003A5FE5" w:rsidRPr="003D2471" w:rsidRDefault="003A5FE5" w:rsidP="003A6901">
      <w:pPr>
        <w:pStyle w:val="whitespace-normal"/>
        <w:rPr>
          <w:rFonts w:ascii="Arial" w:hAnsi="Arial" w:cs="Arial"/>
          <w:b/>
          <w:bCs/>
          <w:color w:val="000000" w:themeColor="text1"/>
          <w:sz w:val="22"/>
          <w:szCs w:val="22"/>
        </w:rPr>
      </w:pPr>
    </w:p>
    <w:p w14:paraId="387D2770" w14:textId="77777777" w:rsidR="003A5FE5" w:rsidRPr="003D2471" w:rsidRDefault="003A5FE5" w:rsidP="003A6901">
      <w:pPr>
        <w:pStyle w:val="whitespace-normal"/>
        <w:rPr>
          <w:rFonts w:ascii="Arial" w:hAnsi="Arial" w:cs="Arial"/>
          <w:b/>
          <w:bCs/>
          <w:color w:val="000000" w:themeColor="text1"/>
          <w:sz w:val="22"/>
          <w:szCs w:val="22"/>
        </w:rPr>
      </w:pPr>
    </w:p>
    <w:p w14:paraId="336FCC2F" w14:textId="77777777" w:rsidR="003A5FE5" w:rsidRPr="003D2471" w:rsidRDefault="003A5FE5" w:rsidP="003A6901">
      <w:pPr>
        <w:pStyle w:val="whitespace-normal"/>
        <w:rPr>
          <w:rFonts w:ascii="Arial" w:hAnsi="Arial" w:cs="Arial"/>
          <w:b/>
          <w:bCs/>
          <w:color w:val="000000" w:themeColor="text1"/>
          <w:sz w:val="22"/>
          <w:szCs w:val="22"/>
        </w:rPr>
      </w:pPr>
    </w:p>
    <w:p w14:paraId="01F60D1A" w14:textId="77777777" w:rsidR="003A5FE5" w:rsidRPr="003D2471" w:rsidRDefault="003A5FE5" w:rsidP="003A6901">
      <w:pPr>
        <w:pStyle w:val="whitespace-normal"/>
        <w:rPr>
          <w:rFonts w:ascii="Arial" w:hAnsi="Arial" w:cs="Arial"/>
          <w:b/>
          <w:bCs/>
          <w:color w:val="000000" w:themeColor="text1"/>
          <w:sz w:val="22"/>
          <w:szCs w:val="22"/>
        </w:rPr>
      </w:pPr>
    </w:p>
    <w:p w14:paraId="0985B270" w14:textId="4CD84DAA" w:rsidR="00AD2835" w:rsidRPr="003D2471" w:rsidRDefault="00AD2835" w:rsidP="003A6901">
      <w:pPr>
        <w:pStyle w:val="whitespace-normal"/>
        <w:rPr>
          <w:rFonts w:ascii="Arial" w:hAnsi="Arial" w:cs="Arial"/>
          <w:b/>
          <w:bCs/>
          <w:color w:val="000000" w:themeColor="text1"/>
          <w:sz w:val="22"/>
          <w:szCs w:val="22"/>
        </w:rPr>
      </w:pPr>
      <w:r w:rsidRPr="003D2471">
        <w:rPr>
          <w:rFonts w:ascii="Arial" w:hAnsi="Arial" w:cs="Arial"/>
          <w:b/>
          <w:bCs/>
          <w:color w:val="000000" w:themeColor="text1"/>
          <w:sz w:val="22"/>
          <w:szCs w:val="22"/>
        </w:rPr>
        <w:t>Table S3. Effects of CBD on Pain Modulation, Pain Threshold and Tolerance: Pre-OAT Time Course and CBD × OAT Interaction</w:t>
      </w:r>
    </w:p>
    <w:tbl>
      <w:tblPr>
        <w:tblW w:w="0" w:type="auto"/>
        <w:tblLook w:val="04A0" w:firstRow="1" w:lastRow="0" w:firstColumn="1" w:lastColumn="0" w:noHBand="0" w:noVBand="1"/>
      </w:tblPr>
      <w:tblGrid>
        <w:gridCol w:w="2010"/>
        <w:gridCol w:w="1998"/>
        <w:gridCol w:w="1764"/>
        <w:gridCol w:w="1789"/>
        <w:gridCol w:w="1789"/>
      </w:tblGrid>
      <w:tr w:rsidR="003D2471" w:rsidRPr="003D2471" w14:paraId="2A28F7F3" w14:textId="77777777" w:rsidTr="00AD2835">
        <w:trPr>
          <w:trHeight w:val="640"/>
        </w:trPr>
        <w:tc>
          <w:tcPr>
            <w:tcW w:w="0" w:type="auto"/>
            <w:tcBorders>
              <w:top w:val="single" w:sz="4" w:space="0" w:color="auto"/>
              <w:left w:val="single" w:sz="4" w:space="0" w:color="auto"/>
              <w:bottom w:val="single" w:sz="4" w:space="0" w:color="auto"/>
              <w:right w:val="single" w:sz="4" w:space="0" w:color="auto"/>
            </w:tcBorders>
            <w:vAlign w:val="center"/>
            <w:hideMark/>
          </w:tcPr>
          <w:p w14:paraId="415AC127" w14:textId="77777777" w:rsidR="00AD2835" w:rsidRPr="003D2471" w:rsidRDefault="00AD2835"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Outcome and Assessment Window</w:t>
            </w:r>
          </w:p>
        </w:tc>
        <w:tc>
          <w:tcPr>
            <w:tcW w:w="0" w:type="auto"/>
            <w:tcBorders>
              <w:top w:val="single" w:sz="4" w:space="0" w:color="auto"/>
              <w:left w:val="nil"/>
              <w:bottom w:val="single" w:sz="4" w:space="0" w:color="auto"/>
              <w:right w:val="single" w:sz="4" w:space="0" w:color="auto"/>
            </w:tcBorders>
            <w:vAlign w:val="center"/>
            <w:hideMark/>
          </w:tcPr>
          <w:p w14:paraId="51B0BF7F" w14:textId="77777777" w:rsidR="00AD2835" w:rsidRPr="003D2471" w:rsidRDefault="00AD2835"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Overall Effect</w:t>
            </w:r>
          </w:p>
        </w:tc>
        <w:tc>
          <w:tcPr>
            <w:tcW w:w="0" w:type="auto"/>
            <w:tcBorders>
              <w:top w:val="single" w:sz="4" w:space="0" w:color="auto"/>
              <w:left w:val="nil"/>
              <w:bottom w:val="single" w:sz="4" w:space="0" w:color="auto"/>
              <w:right w:val="single" w:sz="4" w:space="0" w:color="auto"/>
            </w:tcBorders>
            <w:vAlign w:val="center"/>
            <w:hideMark/>
          </w:tcPr>
          <w:p w14:paraId="04AF4C2C" w14:textId="77777777" w:rsidR="00AD2835" w:rsidRPr="003D2471" w:rsidRDefault="00AD2835"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CBD 400 mg vs Placebo</w:t>
            </w:r>
          </w:p>
        </w:tc>
        <w:tc>
          <w:tcPr>
            <w:tcW w:w="0" w:type="auto"/>
            <w:tcBorders>
              <w:top w:val="single" w:sz="4" w:space="0" w:color="auto"/>
              <w:left w:val="nil"/>
              <w:bottom w:val="single" w:sz="4" w:space="0" w:color="auto"/>
              <w:right w:val="single" w:sz="4" w:space="0" w:color="auto"/>
            </w:tcBorders>
            <w:vAlign w:val="center"/>
            <w:hideMark/>
          </w:tcPr>
          <w:p w14:paraId="5409F013" w14:textId="77777777" w:rsidR="00AD2835" w:rsidRPr="003D2471" w:rsidRDefault="00AD2835"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CBD 800 mg vs Placebo</w:t>
            </w:r>
          </w:p>
        </w:tc>
        <w:tc>
          <w:tcPr>
            <w:tcW w:w="0" w:type="auto"/>
            <w:tcBorders>
              <w:top w:val="single" w:sz="4" w:space="0" w:color="auto"/>
              <w:left w:val="nil"/>
              <w:bottom w:val="single" w:sz="4" w:space="0" w:color="auto"/>
              <w:right w:val="single" w:sz="4" w:space="0" w:color="auto"/>
            </w:tcBorders>
            <w:vAlign w:val="center"/>
            <w:hideMark/>
          </w:tcPr>
          <w:p w14:paraId="1C4BFCAB" w14:textId="77777777" w:rsidR="00AD2835" w:rsidRPr="003D2471" w:rsidRDefault="00AD2835"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CBD 1200 mg vs Placebo</w:t>
            </w:r>
          </w:p>
        </w:tc>
      </w:tr>
      <w:tr w:rsidR="003D2471" w:rsidRPr="003D2471" w14:paraId="6C8B7F77" w14:textId="77777777" w:rsidTr="00AD2835">
        <w:trPr>
          <w:trHeight w:val="423"/>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00BCF83A" w14:textId="583D873B" w:rsidR="00AD2835" w:rsidRPr="003D2471" w:rsidRDefault="00AD2835"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Descending Pain Inhibition (CPM, Co-VAS score)</w:t>
            </w:r>
          </w:p>
        </w:tc>
      </w:tr>
      <w:tr w:rsidR="003D2471" w:rsidRPr="003D2471" w14:paraId="15A9EF67"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3EA5F37D" w14:textId="36E86DAE"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Peak Pre-OAT (120 min)</w:t>
            </w:r>
          </w:p>
        </w:tc>
        <w:tc>
          <w:tcPr>
            <w:tcW w:w="0" w:type="auto"/>
            <w:tcBorders>
              <w:top w:val="nil"/>
              <w:left w:val="nil"/>
              <w:bottom w:val="single" w:sz="4" w:space="0" w:color="auto"/>
              <w:right w:val="single" w:sz="4" w:space="0" w:color="auto"/>
            </w:tcBorders>
            <w:vAlign w:val="center"/>
            <w:hideMark/>
          </w:tcPr>
          <w:p w14:paraId="7F7ADFFE"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w:t>
            </w:r>
            <w:bookmarkStart w:id="0" w:name="_Hlk219452095"/>
            <w:r w:rsidRPr="003D2471">
              <w:rPr>
                <w:rFonts w:ascii="Arial" w:eastAsia="Times New Roman" w:hAnsi="Arial" w:cs="Arial"/>
                <w:color w:val="000000" w:themeColor="text1"/>
                <w:kern w:val="0"/>
                <w:sz w:val="22"/>
                <w:szCs w:val="22"/>
                <w14:ligatures w14:val="none"/>
              </w:rPr>
              <w:t>0.139</w:t>
            </w:r>
            <w:bookmarkEnd w:id="0"/>
          </w:p>
        </w:tc>
        <w:tc>
          <w:tcPr>
            <w:tcW w:w="0" w:type="auto"/>
            <w:tcBorders>
              <w:top w:val="nil"/>
              <w:left w:val="nil"/>
              <w:bottom w:val="single" w:sz="4" w:space="0" w:color="auto"/>
              <w:right w:val="single" w:sz="4" w:space="0" w:color="auto"/>
            </w:tcBorders>
            <w:vAlign w:val="center"/>
            <w:hideMark/>
          </w:tcPr>
          <w:p w14:paraId="27F00E75"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+2.54 [−5.79, 10.87] (0.39, p=0.542)</w:t>
            </w:r>
          </w:p>
        </w:tc>
        <w:tc>
          <w:tcPr>
            <w:tcW w:w="0" w:type="auto"/>
            <w:tcBorders>
              <w:top w:val="nil"/>
              <w:left w:val="nil"/>
              <w:bottom w:val="single" w:sz="4" w:space="0" w:color="auto"/>
              <w:right w:val="single" w:sz="4" w:space="0" w:color="auto"/>
            </w:tcBorders>
            <w:vAlign w:val="center"/>
            <w:hideMark/>
          </w:tcPr>
          <w:p w14:paraId="3F6769A8"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+8.03 [−0.38, 16.44] (0.34, p=0.061)</w:t>
            </w:r>
          </w:p>
        </w:tc>
        <w:tc>
          <w:tcPr>
            <w:tcW w:w="0" w:type="auto"/>
            <w:tcBorders>
              <w:top w:val="nil"/>
              <w:left w:val="nil"/>
              <w:bottom w:val="single" w:sz="4" w:space="0" w:color="auto"/>
              <w:right w:val="single" w:sz="4" w:space="0" w:color="auto"/>
            </w:tcBorders>
            <w:vAlign w:val="center"/>
            <w:hideMark/>
          </w:tcPr>
          <w:p w14:paraId="7D4D32FC"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+9.43 [−0.54, 19.41] (0.59, p=0.063)</w:t>
            </w:r>
          </w:p>
        </w:tc>
      </w:tr>
      <w:tr w:rsidR="003D2471" w:rsidRPr="003D2471" w14:paraId="3B86064D"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3351EDA7" w14:textId="609CCF25"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Post-OAT: Phase x dose Interaction</w:t>
            </w:r>
          </w:p>
        </w:tc>
        <w:tc>
          <w:tcPr>
            <w:tcW w:w="0" w:type="auto"/>
            <w:tcBorders>
              <w:top w:val="nil"/>
              <w:left w:val="nil"/>
              <w:bottom w:val="single" w:sz="4" w:space="0" w:color="auto"/>
              <w:right w:val="single" w:sz="4" w:space="0" w:color="auto"/>
            </w:tcBorders>
            <w:vAlign w:val="center"/>
            <w:hideMark/>
          </w:tcPr>
          <w:p w14:paraId="6916F216"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p=0.540</w:t>
            </w:r>
          </w:p>
        </w:tc>
        <w:tc>
          <w:tcPr>
            <w:tcW w:w="0" w:type="auto"/>
            <w:tcBorders>
              <w:top w:val="nil"/>
              <w:left w:val="nil"/>
              <w:bottom w:val="single" w:sz="4" w:space="0" w:color="auto"/>
              <w:right w:val="single" w:sz="4" w:space="0" w:color="auto"/>
            </w:tcBorders>
            <w:vAlign w:val="center"/>
            <w:hideMark/>
          </w:tcPr>
          <w:p w14:paraId="30522EB4"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+1.35 [−11.12, 13.82] (−0.19, p=0.831)</w:t>
            </w:r>
          </w:p>
        </w:tc>
        <w:tc>
          <w:tcPr>
            <w:tcW w:w="0" w:type="auto"/>
            <w:tcBorders>
              <w:top w:val="nil"/>
              <w:left w:val="nil"/>
              <w:bottom w:val="single" w:sz="4" w:space="0" w:color="auto"/>
              <w:right w:val="single" w:sz="4" w:space="0" w:color="auto"/>
            </w:tcBorders>
            <w:vAlign w:val="center"/>
            <w:hideMark/>
          </w:tcPr>
          <w:p w14:paraId="5BD67AC4"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−6.78 [−19.35, 5.80] (−0.87, p=0.288)</w:t>
            </w:r>
          </w:p>
        </w:tc>
        <w:tc>
          <w:tcPr>
            <w:tcW w:w="0" w:type="auto"/>
            <w:tcBorders>
              <w:top w:val="nil"/>
              <w:left w:val="nil"/>
              <w:bottom w:val="single" w:sz="4" w:space="0" w:color="auto"/>
              <w:right w:val="single" w:sz="4" w:space="0" w:color="auto"/>
            </w:tcBorders>
            <w:vAlign w:val="center"/>
            <w:hideMark/>
          </w:tcPr>
          <w:p w14:paraId="4E30A711"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−4.70 [−17.38, 7.99] (−0.60, p=0.464)</w:t>
            </w:r>
          </w:p>
        </w:tc>
      </w:tr>
      <w:tr w:rsidR="003D2471" w:rsidRPr="003D2471" w14:paraId="394EB6A6" w14:textId="77777777" w:rsidTr="00AD2835">
        <w:trPr>
          <w:trHeight w:val="421"/>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1FAC8A9F" w14:textId="2A516645" w:rsidR="00AD2835" w:rsidRPr="003D2471" w:rsidRDefault="00AD2835"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Ascending Pain Facilitation (TSP, AUC Co-VAS score)</w:t>
            </w:r>
          </w:p>
        </w:tc>
      </w:tr>
      <w:tr w:rsidR="003D2471" w:rsidRPr="003D2471" w14:paraId="347CE4BE"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1BC1E3AF" w14:textId="5CC421C9"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Peak Pre-OAT (120 min)</w:t>
            </w:r>
          </w:p>
        </w:tc>
        <w:tc>
          <w:tcPr>
            <w:tcW w:w="0" w:type="auto"/>
            <w:tcBorders>
              <w:top w:val="nil"/>
              <w:left w:val="nil"/>
              <w:bottom w:val="single" w:sz="4" w:space="0" w:color="auto"/>
              <w:right w:val="single" w:sz="4" w:space="0" w:color="auto"/>
            </w:tcBorders>
            <w:vAlign w:val="center"/>
            <w:hideMark/>
          </w:tcPr>
          <w:p w14:paraId="78488132" w14:textId="183E6E10"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p=0.837</w:t>
            </w:r>
          </w:p>
        </w:tc>
        <w:tc>
          <w:tcPr>
            <w:tcW w:w="0" w:type="auto"/>
            <w:tcBorders>
              <w:top w:val="nil"/>
              <w:left w:val="nil"/>
              <w:bottom w:val="single" w:sz="4" w:space="0" w:color="auto"/>
              <w:right w:val="single" w:sz="4" w:space="0" w:color="auto"/>
            </w:tcBorders>
            <w:vAlign w:val="center"/>
            <w:hideMark/>
          </w:tcPr>
          <w:p w14:paraId="10914617" w14:textId="525DB4FB" w:rsidR="00AD2835" w:rsidRPr="003D2471" w:rsidRDefault="00785E82"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−62.6 [−224.40, 99.13] (−0.38, p=0.441)</w:t>
            </w:r>
          </w:p>
        </w:tc>
        <w:tc>
          <w:tcPr>
            <w:tcW w:w="0" w:type="auto"/>
            <w:tcBorders>
              <w:top w:val="nil"/>
              <w:left w:val="nil"/>
              <w:bottom w:val="single" w:sz="4" w:space="0" w:color="auto"/>
              <w:right w:val="single" w:sz="4" w:space="0" w:color="auto"/>
            </w:tcBorders>
            <w:vAlign w:val="center"/>
            <w:hideMark/>
          </w:tcPr>
          <w:p w14:paraId="303A9BA0" w14:textId="2538E6ED" w:rsidR="00AD2835" w:rsidRPr="003D2471" w:rsidRDefault="00785E82"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−11.1 [−173.68, 151.42] (0.06, p=0.891)</w:t>
            </w:r>
          </w:p>
        </w:tc>
        <w:tc>
          <w:tcPr>
            <w:tcW w:w="0" w:type="auto"/>
            <w:tcBorders>
              <w:top w:val="nil"/>
              <w:left w:val="nil"/>
              <w:bottom w:val="single" w:sz="4" w:space="0" w:color="auto"/>
              <w:right w:val="single" w:sz="4" w:space="0" w:color="auto"/>
            </w:tcBorders>
            <w:vAlign w:val="center"/>
            <w:hideMark/>
          </w:tcPr>
          <w:p w14:paraId="5371169A" w14:textId="1CEB2EEC" w:rsidR="00AD2835" w:rsidRPr="003D2471" w:rsidRDefault="00785E82"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−58.1 [−251.50, 135.22] (−0.09, p=0.549)</w:t>
            </w:r>
          </w:p>
        </w:tc>
      </w:tr>
      <w:tr w:rsidR="003D2471" w:rsidRPr="003D2471" w14:paraId="4567DBDB"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36601BD9" w14:textId="3DF7C558"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Post-OAT: Phase x dose Interaction</w:t>
            </w:r>
          </w:p>
        </w:tc>
        <w:tc>
          <w:tcPr>
            <w:tcW w:w="0" w:type="auto"/>
            <w:tcBorders>
              <w:top w:val="nil"/>
              <w:left w:val="nil"/>
              <w:bottom w:val="single" w:sz="4" w:space="0" w:color="auto"/>
              <w:right w:val="single" w:sz="4" w:space="0" w:color="auto"/>
            </w:tcBorders>
            <w:vAlign w:val="center"/>
            <w:hideMark/>
          </w:tcPr>
          <w:p w14:paraId="201930F8" w14:textId="1DF042F2" w:rsidR="00AD2835" w:rsidRPr="003D2471" w:rsidRDefault="00785E82"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p=0.087</w:t>
            </w:r>
          </w:p>
        </w:tc>
        <w:tc>
          <w:tcPr>
            <w:tcW w:w="0" w:type="auto"/>
            <w:tcBorders>
              <w:top w:val="nil"/>
              <w:left w:val="nil"/>
              <w:bottom w:val="single" w:sz="4" w:space="0" w:color="auto"/>
              <w:right w:val="single" w:sz="4" w:space="0" w:color="auto"/>
            </w:tcBorders>
            <w:vAlign w:val="center"/>
            <w:hideMark/>
          </w:tcPr>
          <w:p w14:paraId="01786B78" w14:textId="0E9E483D" w:rsidR="00AD2835" w:rsidRPr="003D2471" w:rsidRDefault="000B4D7B"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+110.0 [−76.72, 296.32] (0.55, p=0.244)</w:t>
            </w:r>
          </w:p>
        </w:tc>
        <w:tc>
          <w:tcPr>
            <w:tcW w:w="0" w:type="auto"/>
            <w:tcBorders>
              <w:top w:val="nil"/>
              <w:left w:val="nil"/>
              <w:bottom w:val="single" w:sz="4" w:space="0" w:color="auto"/>
              <w:right w:val="single" w:sz="4" w:space="0" w:color="auto"/>
            </w:tcBorders>
            <w:vAlign w:val="center"/>
            <w:hideMark/>
          </w:tcPr>
          <w:p w14:paraId="03BF981D" w14:textId="08DC0B9A" w:rsidR="00AD2835" w:rsidRPr="003D2471" w:rsidRDefault="00EE0897"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−47.0 [−240.04, 136.61] (−0.33, p=0.616)</w:t>
            </w:r>
          </w:p>
        </w:tc>
        <w:tc>
          <w:tcPr>
            <w:tcW w:w="0" w:type="auto"/>
            <w:tcBorders>
              <w:top w:val="nil"/>
              <w:left w:val="nil"/>
              <w:bottom w:val="single" w:sz="4" w:space="0" w:color="auto"/>
              <w:right w:val="single" w:sz="4" w:space="0" w:color="auto"/>
            </w:tcBorders>
            <w:vAlign w:val="center"/>
            <w:hideMark/>
          </w:tcPr>
          <w:p w14:paraId="683B48E1" w14:textId="580855B0" w:rsidR="00AD2835" w:rsidRPr="003D2471" w:rsidRDefault="00EE0897"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+167.1 [−23.63, 345.09] (0.38, p=0.078)</w:t>
            </w:r>
          </w:p>
        </w:tc>
      </w:tr>
      <w:tr w:rsidR="003D2471" w:rsidRPr="003D2471" w14:paraId="548B32FD" w14:textId="77777777" w:rsidTr="00AD2835">
        <w:trPr>
          <w:trHeight w:val="404"/>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3C6A494F" w14:textId="77777777" w:rsidR="00AD2835" w:rsidRPr="003D2471" w:rsidRDefault="00AD2835"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Heat Pain Threshold (°C)</w:t>
            </w:r>
          </w:p>
        </w:tc>
      </w:tr>
      <w:tr w:rsidR="003D2471" w:rsidRPr="003D2471" w14:paraId="6A6E9790"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7B300533" w14:textId="3D2A4D9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Pre-OAT Period</w:t>
            </w:r>
          </w:p>
        </w:tc>
        <w:tc>
          <w:tcPr>
            <w:tcW w:w="0" w:type="auto"/>
            <w:tcBorders>
              <w:top w:val="nil"/>
              <w:left w:val="nil"/>
              <w:bottom w:val="single" w:sz="4" w:space="0" w:color="auto"/>
              <w:right w:val="single" w:sz="4" w:space="0" w:color="auto"/>
            </w:tcBorders>
            <w:vAlign w:val="center"/>
            <w:hideMark/>
          </w:tcPr>
          <w:p w14:paraId="7C4467F1" w14:textId="13F5E4C9" w:rsidR="00AD2835" w:rsidRPr="003D2471" w:rsidRDefault="00AD2835" w:rsidP="00AD2835">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Dose: p=0.415; Time: p=0.120; Dose x Time: p=0.043</w:t>
            </w:r>
          </w:p>
        </w:tc>
        <w:tc>
          <w:tcPr>
            <w:tcW w:w="0" w:type="auto"/>
            <w:tcBorders>
              <w:top w:val="nil"/>
              <w:left w:val="nil"/>
              <w:bottom w:val="single" w:sz="4" w:space="0" w:color="auto"/>
              <w:right w:val="single" w:sz="4" w:space="0" w:color="auto"/>
            </w:tcBorders>
            <w:vAlign w:val="center"/>
            <w:hideMark/>
          </w:tcPr>
          <w:p w14:paraId="67547079" w14:textId="77777777" w:rsidR="00AD2835" w:rsidRPr="003D2471" w:rsidRDefault="00AD2835" w:rsidP="00AD2835">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2D6BCFC3" w14:textId="77777777" w:rsidR="00AD2835" w:rsidRPr="003D2471" w:rsidRDefault="00AD2835" w:rsidP="00AD2835">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1C0E44B5" w14:textId="77777777" w:rsidR="00AD2835" w:rsidRPr="003D2471" w:rsidRDefault="00AD2835" w:rsidP="00AD2835">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r>
      <w:tr w:rsidR="003D2471" w:rsidRPr="003D2471" w14:paraId="73D0CEAD"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2FB957EA" w14:textId="71302E92"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xml:space="preserve"> Early Pre-OAT (60 min)</w:t>
            </w:r>
          </w:p>
        </w:tc>
        <w:tc>
          <w:tcPr>
            <w:tcW w:w="0" w:type="auto"/>
            <w:tcBorders>
              <w:top w:val="nil"/>
              <w:left w:val="nil"/>
              <w:bottom w:val="single" w:sz="4" w:space="0" w:color="auto"/>
              <w:right w:val="single" w:sz="4" w:space="0" w:color="auto"/>
            </w:tcBorders>
            <w:vAlign w:val="center"/>
            <w:hideMark/>
          </w:tcPr>
          <w:p w14:paraId="746E755C"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4C9943F5" w14:textId="06E272D1" w:rsidR="00AD2835" w:rsidRPr="003D2471" w:rsidRDefault="00FE221F"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−0.61 [−2.02, 0.81] (−0.22, p=0.396)</w:t>
            </w:r>
          </w:p>
        </w:tc>
        <w:tc>
          <w:tcPr>
            <w:tcW w:w="0" w:type="auto"/>
            <w:tcBorders>
              <w:top w:val="nil"/>
              <w:left w:val="nil"/>
              <w:bottom w:val="single" w:sz="4" w:space="0" w:color="auto"/>
              <w:right w:val="single" w:sz="4" w:space="0" w:color="auto"/>
            </w:tcBorders>
            <w:vAlign w:val="center"/>
            <w:hideMark/>
          </w:tcPr>
          <w:p w14:paraId="2ED0D94F" w14:textId="34FF585F" w:rsidR="00AD2835" w:rsidRPr="003D2471" w:rsidRDefault="00FE221F"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+0.38 [−1.05, 1.81] (0.04, p=0.602)</w:t>
            </w:r>
          </w:p>
        </w:tc>
        <w:tc>
          <w:tcPr>
            <w:tcW w:w="0" w:type="auto"/>
            <w:tcBorders>
              <w:top w:val="nil"/>
              <w:left w:val="nil"/>
              <w:bottom w:val="single" w:sz="4" w:space="0" w:color="auto"/>
              <w:right w:val="single" w:sz="4" w:space="0" w:color="auto"/>
            </w:tcBorders>
            <w:vAlign w:val="center"/>
            <w:hideMark/>
          </w:tcPr>
          <w:p w14:paraId="1D2D743B" w14:textId="7B0FA2C3" w:rsidR="00AD2835" w:rsidRPr="003D2471" w:rsidRDefault="00321D34"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−0.43 [−2.08, 1.22] (−0.19, p=0.605)</w:t>
            </w:r>
          </w:p>
        </w:tc>
      </w:tr>
      <w:tr w:rsidR="003D2471" w:rsidRPr="003D2471" w14:paraId="6EBCAE7D"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2C95BB7C" w14:textId="676AB1D6"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xml:space="preserve"> Peak Pre-OAT (120 min)</w:t>
            </w:r>
          </w:p>
        </w:tc>
        <w:tc>
          <w:tcPr>
            <w:tcW w:w="0" w:type="auto"/>
            <w:tcBorders>
              <w:top w:val="nil"/>
              <w:left w:val="nil"/>
              <w:bottom w:val="single" w:sz="4" w:space="0" w:color="auto"/>
              <w:right w:val="single" w:sz="4" w:space="0" w:color="auto"/>
            </w:tcBorders>
            <w:vAlign w:val="center"/>
            <w:hideMark/>
          </w:tcPr>
          <w:p w14:paraId="07464876"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2E568420" w14:textId="767BCE75" w:rsidR="00AD2835" w:rsidRPr="003D2471" w:rsidRDefault="00321D34"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−1.02 [−2.44, 0.40] (−0.29, p=0.156)</w:t>
            </w:r>
          </w:p>
        </w:tc>
        <w:tc>
          <w:tcPr>
            <w:tcW w:w="0" w:type="auto"/>
            <w:tcBorders>
              <w:top w:val="nil"/>
              <w:left w:val="nil"/>
              <w:bottom w:val="single" w:sz="4" w:space="0" w:color="auto"/>
              <w:right w:val="single" w:sz="4" w:space="0" w:color="auto"/>
            </w:tcBorders>
            <w:vAlign w:val="center"/>
            <w:hideMark/>
          </w:tcPr>
          <w:p w14:paraId="48178E60" w14:textId="5DC6989A" w:rsidR="00AD2835" w:rsidRPr="003D2471" w:rsidRDefault="00321D34"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−0.83 [−2.26, 0.60] (−0.27, p=0.252)</w:t>
            </w:r>
          </w:p>
        </w:tc>
        <w:tc>
          <w:tcPr>
            <w:tcW w:w="0" w:type="auto"/>
            <w:tcBorders>
              <w:top w:val="nil"/>
              <w:left w:val="nil"/>
              <w:bottom w:val="single" w:sz="4" w:space="0" w:color="auto"/>
              <w:right w:val="single" w:sz="4" w:space="0" w:color="auto"/>
            </w:tcBorders>
            <w:vAlign w:val="center"/>
            <w:hideMark/>
          </w:tcPr>
          <w:p w14:paraId="4ABDCF0B" w14:textId="0C9EA3B9" w:rsidR="00AD2835" w:rsidRPr="003D2471" w:rsidRDefault="00321D34"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+0.51 [−1.15, 2.17] (0.10, p=0.543)</w:t>
            </w:r>
          </w:p>
        </w:tc>
      </w:tr>
      <w:tr w:rsidR="003D2471" w:rsidRPr="003D2471" w14:paraId="5C08D62F"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577ED4EA" w14:textId="2F913238"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xml:space="preserve"> Late Pre-OAT (180 min)</w:t>
            </w:r>
          </w:p>
        </w:tc>
        <w:tc>
          <w:tcPr>
            <w:tcW w:w="0" w:type="auto"/>
            <w:tcBorders>
              <w:top w:val="nil"/>
              <w:left w:val="nil"/>
              <w:bottom w:val="single" w:sz="4" w:space="0" w:color="auto"/>
              <w:right w:val="single" w:sz="4" w:space="0" w:color="auto"/>
            </w:tcBorders>
            <w:vAlign w:val="center"/>
            <w:hideMark/>
          </w:tcPr>
          <w:p w14:paraId="37BAF73D"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1AABBE06" w14:textId="1319D465" w:rsidR="00AD2835" w:rsidRPr="003D2471" w:rsidRDefault="00321D34"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−1.02 [−2.44, 0.40] (−0.26, p=0.158)</w:t>
            </w:r>
          </w:p>
        </w:tc>
        <w:tc>
          <w:tcPr>
            <w:tcW w:w="0" w:type="auto"/>
            <w:tcBorders>
              <w:top w:val="nil"/>
              <w:left w:val="nil"/>
              <w:bottom w:val="single" w:sz="4" w:space="0" w:color="auto"/>
              <w:right w:val="single" w:sz="4" w:space="0" w:color="auto"/>
            </w:tcBorders>
            <w:vAlign w:val="center"/>
            <w:hideMark/>
          </w:tcPr>
          <w:p w14:paraId="49A59E02" w14:textId="0B87E79D" w:rsidR="00AD2835" w:rsidRPr="003D2471" w:rsidRDefault="00321D34"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−0.09 [−1.54, 1.36] (−0.13, p=0.904)</w:t>
            </w:r>
          </w:p>
        </w:tc>
        <w:tc>
          <w:tcPr>
            <w:tcW w:w="0" w:type="auto"/>
            <w:tcBorders>
              <w:top w:val="nil"/>
              <w:left w:val="nil"/>
              <w:bottom w:val="single" w:sz="4" w:space="0" w:color="auto"/>
              <w:right w:val="single" w:sz="4" w:space="0" w:color="auto"/>
            </w:tcBorders>
            <w:vAlign w:val="center"/>
            <w:hideMark/>
          </w:tcPr>
          <w:p w14:paraId="71AB848C" w14:textId="50B0D5E1" w:rsidR="00AD2835" w:rsidRPr="003D2471" w:rsidRDefault="00321D34"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+0.29 [−1.37, 1.95] (0.22, p=0.732)</w:t>
            </w:r>
          </w:p>
        </w:tc>
      </w:tr>
      <w:tr w:rsidR="003D2471" w:rsidRPr="003D2471" w14:paraId="07BC7070"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5A0DB57F" w14:textId="5FB84B75"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Post-OAT: Phase x dose Interaction</w:t>
            </w:r>
          </w:p>
        </w:tc>
        <w:tc>
          <w:tcPr>
            <w:tcW w:w="0" w:type="auto"/>
            <w:tcBorders>
              <w:top w:val="nil"/>
              <w:left w:val="nil"/>
              <w:bottom w:val="single" w:sz="4" w:space="0" w:color="auto"/>
              <w:right w:val="single" w:sz="4" w:space="0" w:color="auto"/>
            </w:tcBorders>
            <w:vAlign w:val="center"/>
            <w:hideMark/>
          </w:tcPr>
          <w:p w14:paraId="5AF89C9B" w14:textId="29CE0D70" w:rsidR="00AD2835" w:rsidRPr="003D2471" w:rsidRDefault="00EE0897"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p=0.085</w:t>
            </w:r>
          </w:p>
        </w:tc>
        <w:tc>
          <w:tcPr>
            <w:tcW w:w="0" w:type="auto"/>
            <w:tcBorders>
              <w:top w:val="nil"/>
              <w:left w:val="nil"/>
              <w:bottom w:val="single" w:sz="4" w:space="0" w:color="auto"/>
              <w:right w:val="single" w:sz="4" w:space="0" w:color="auto"/>
            </w:tcBorders>
            <w:vAlign w:val="center"/>
            <w:hideMark/>
          </w:tcPr>
          <w:p w14:paraId="0E9CCD7D" w14:textId="7EF175C7" w:rsidR="00AD2835" w:rsidRPr="003D2471" w:rsidRDefault="00EE0897"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−1.07 [−2.22, 0.07] (−0.44, p=0.070)</w:t>
            </w:r>
          </w:p>
        </w:tc>
        <w:tc>
          <w:tcPr>
            <w:tcW w:w="0" w:type="auto"/>
            <w:tcBorders>
              <w:top w:val="nil"/>
              <w:left w:val="nil"/>
              <w:bottom w:val="single" w:sz="4" w:space="0" w:color="auto"/>
              <w:right w:val="single" w:sz="4" w:space="0" w:color="auto"/>
            </w:tcBorders>
            <w:vAlign w:val="center"/>
            <w:hideMark/>
          </w:tcPr>
          <w:p w14:paraId="3083EC75" w14:textId="377212EF" w:rsidR="00AD2835" w:rsidRPr="003D2471" w:rsidRDefault="00EE0897"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−0.56 [−1.50, 0.87] (−0.10, p=0.351)</w:t>
            </w:r>
          </w:p>
        </w:tc>
        <w:tc>
          <w:tcPr>
            <w:tcW w:w="0" w:type="auto"/>
            <w:tcBorders>
              <w:top w:val="nil"/>
              <w:left w:val="nil"/>
              <w:bottom w:val="single" w:sz="4" w:space="0" w:color="auto"/>
              <w:right w:val="single" w:sz="4" w:space="0" w:color="auto"/>
            </w:tcBorders>
            <w:vAlign w:val="center"/>
            <w:hideMark/>
          </w:tcPr>
          <w:p w14:paraId="5013193F" w14:textId="3F285601" w:rsidR="00AD2835" w:rsidRPr="003D2471" w:rsidRDefault="00EE0897"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−1.50 [−2.87, −0.50] (−0.63, p=0.017)</w:t>
            </w:r>
          </w:p>
        </w:tc>
      </w:tr>
      <w:tr w:rsidR="003D2471" w:rsidRPr="003D2471" w14:paraId="18844589" w14:textId="77777777" w:rsidTr="00AD2835">
        <w:trPr>
          <w:trHeight w:val="475"/>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63323767" w14:textId="77777777" w:rsidR="00AD2835" w:rsidRPr="003D2471" w:rsidRDefault="00AD2835" w:rsidP="00AD2835">
            <w:pPr>
              <w:spacing w:after="0" w:line="240" w:lineRule="auto"/>
              <w:jc w:val="center"/>
              <w:rPr>
                <w:rFonts w:ascii="Arial" w:eastAsia="Times New Roman" w:hAnsi="Arial" w:cs="Arial"/>
                <w:b/>
                <w:bCs/>
                <w:color w:val="000000" w:themeColor="text1"/>
                <w:kern w:val="0"/>
                <w:sz w:val="22"/>
                <w:szCs w:val="22"/>
                <w14:ligatures w14:val="none"/>
              </w:rPr>
            </w:pPr>
            <w:r w:rsidRPr="003D2471">
              <w:rPr>
                <w:rFonts w:ascii="Arial" w:eastAsia="Times New Roman" w:hAnsi="Arial" w:cs="Arial"/>
                <w:b/>
                <w:bCs/>
                <w:color w:val="000000" w:themeColor="text1"/>
                <w:kern w:val="0"/>
                <w:sz w:val="22"/>
                <w:szCs w:val="22"/>
                <w14:ligatures w14:val="none"/>
              </w:rPr>
              <w:t>Heat Pain Tolerance (°C)</w:t>
            </w:r>
          </w:p>
        </w:tc>
      </w:tr>
      <w:tr w:rsidR="003D2471" w:rsidRPr="003D2471" w14:paraId="42DE1551"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256C4774" w14:textId="620F1FE3"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Pre-OAT Period</w:t>
            </w:r>
          </w:p>
        </w:tc>
        <w:tc>
          <w:tcPr>
            <w:tcW w:w="0" w:type="auto"/>
            <w:tcBorders>
              <w:top w:val="nil"/>
              <w:left w:val="nil"/>
              <w:bottom w:val="single" w:sz="4" w:space="0" w:color="auto"/>
              <w:right w:val="single" w:sz="4" w:space="0" w:color="auto"/>
            </w:tcBorders>
            <w:vAlign w:val="center"/>
            <w:hideMark/>
          </w:tcPr>
          <w:p w14:paraId="45FDE6D6" w14:textId="7C338EF3" w:rsidR="00AD2835" w:rsidRPr="003D2471" w:rsidRDefault="00AD2835" w:rsidP="00AD2835">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Dose: p=0.335; Time: p=0.466; Dose x Time: p=0.473</w:t>
            </w:r>
          </w:p>
        </w:tc>
        <w:tc>
          <w:tcPr>
            <w:tcW w:w="0" w:type="auto"/>
            <w:tcBorders>
              <w:top w:val="nil"/>
              <w:left w:val="nil"/>
              <w:bottom w:val="single" w:sz="4" w:space="0" w:color="auto"/>
              <w:right w:val="single" w:sz="4" w:space="0" w:color="auto"/>
            </w:tcBorders>
            <w:vAlign w:val="center"/>
            <w:hideMark/>
          </w:tcPr>
          <w:p w14:paraId="388D7456" w14:textId="77777777" w:rsidR="00AD2835" w:rsidRPr="003D2471" w:rsidRDefault="00AD2835" w:rsidP="00AD2835">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25B4E3DB" w14:textId="77777777" w:rsidR="00AD2835" w:rsidRPr="003D2471" w:rsidRDefault="00AD2835" w:rsidP="00AD2835">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27960F84" w14:textId="77777777" w:rsidR="00AD2835" w:rsidRPr="003D2471" w:rsidRDefault="00AD2835" w:rsidP="00AD2835">
            <w:pPr>
              <w:spacing w:after="0" w:line="240" w:lineRule="auto"/>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r>
      <w:tr w:rsidR="003D2471" w:rsidRPr="003D2471" w14:paraId="13704127"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5CE4A083" w14:textId="38B5E06E"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xml:space="preserve"> Early Pre-OAT (60 min)</w:t>
            </w:r>
          </w:p>
        </w:tc>
        <w:tc>
          <w:tcPr>
            <w:tcW w:w="0" w:type="auto"/>
            <w:tcBorders>
              <w:top w:val="nil"/>
              <w:left w:val="nil"/>
              <w:bottom w:val="single" w:sz="4" w:space="0" w:color="auto"/>
              <w:right w:val="single" w:sz="4" w:space="0" w:color="auto"/>
            </w:tcBorders>
            <w:vAlign w:val="center"/>
            <w:hideMark/>
          </w:tcPr>
          <w:p w14:paraId="49EEA47F"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63296CFC" w14:textId="285F25FB" w:rsidR="00AD2835" w:rsidRPr="003D2471" w:rsidRDefault="00321D34"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−0.01 [−0.89, 0.87] (0.06, p=0.978)</w:t>
            </w:r>
          </w:p>
        </w:tc>
        <w:tc>
          <w:tcPr>
            <w:tcW w:w="0" w:type="auto"/>
            <w:tcBorders>
              <w:top w:val="nil"/>
              <w:left w:val="nil"/>
              <w:bottom w:val="single" w:sz="4" w:space="0" w:color="auto"/>
              <w:right w:val="single" w:sz="4" w:space="0" w:color="auto"/>
            </w:tcBorders>
            <w:vAlign w:val="center"/>
            <w:hideMark/>
          </w:tcPr>
          <w:p w14:paraId="4746D903" w14:textId="3FFED017" w:rsidR="00AD2835" w:rsidRPr="003D2471" w:rsidRDefault="00321D34"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−0.47 [−1.36, 0.43] (−0.26, p=0.304)</w:t>
            </w:r>
          </w:p>
        </w:tc>
        <w:tc>
          <w:tcPr>
            <w:tcW w:w="0" w:type="auto"/>
            <w:tcBorders>
              <w:top w:val="nil"/>
              <w:left w:val="nil"/>
              <w:bottom w:val="single" w:sz="4" w:space="0" w:color="auto"/>
              <w:right w:val="single" w:sz="4" w:space="0" w:color="auto"/>
            </w:tcBorders>
            <w:vAlign w:val="center"/>
            <w:hideMark/>
          </w:tcPr>
          <w:p w14:paraId="04001D4A" w14:textId="0B0A9E9A" w:rsidR="00AD2835" w:rsidRPr="003D2471" w:rsidRDefault="000412CE"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−0.19 [−1.19, 0.81] (0.04, p=0.709)</w:t>
            </w:r>
          </w:p>
        </w:tc>
      </w:tr>
      <w:tr w:rsidR="003D2471" w:rsidRPr="003D2471" w14:paraId="1F9F86B3"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54804185" w14:textId="3D9B3FC4"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xml:space="preserve"> Peak Pre-OAT (120 min)</w:t>
            </w:r>
          </w:p>
        </w:tc>
        <w:tc>
          <w:tcPr>
            <w:tcW w:w="0" w:type="auto"/>
            <w:tcBorders>
              <w:top w:val="nil"/>
              <w:left w:val="nil"/>
              <w:bottom w:val="single" w:sz="4" w:space="0" w:color="auto"/>
              <w:right w:val="single" w:sz="4" w:space="0" w:color="auto"/>
            </w:tcBorders>
            <w:vAlign w:val="center"/>
            <w:hideMark/>
          </w:tcPr>
          <w:p w14:paraId="575E68AD"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5BE29B20" w14:textId="048BFE91" w:rsidR="00AD2835" w:rsidRPr="003D2471" w:rsidRDefault="000412CE"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−0.38 [−1.26, 0.50] (−0.14, p=0.398)</w:t>
            </w:r>
          </w:p>
        </w:tc>
        <w:tc>
          <w:tcPr>
            <w:tcW w:w="0" w:type="auto"/>
            <w:tcBorders>
              <w:top w:val="nil"/>
              <w:left w:val="nil"/>
              <w:bottom w:val="single" w:sz="4" w:space="0" w:color="auto"/>
              <w:right w:val="single" w:sz="4" w:space="0" w:color="auto"/>
            </w:tcBorders>
            <w:vAlign w:val="center"/>
            <w:hideMark/>
          </w:tcPr>
          <w:p w14:paraId="1F65F225" w14:textId="16C285A3" w:rsidR="00AD2835" w:rsidRPr="003D2471" w:rsidRDefault="000412CE"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−0.62 [−1.51, 0.28] (−0.36, p=0.175)</w:t>
            </w:r>
          </w:p>
        </w:tc>
        <w:tc>
          <w:tcPr>
            <w:tcW w:w="0" w:type="auto"/>
            <w:tcBorders>
              <w:top w:val="nil"/>
              <w:left w:val="nil"/>
              <w:bottom w:val="single" w:sz="4" w:space="0" w:color="auto"/>
              <w:right w:val="single" w:sz="4" w:space="0" w:color="auto"/>
            </w:tcBorders>
            <w:vAlign w:val="center"/>
            <w:hideMark/>
          </w:tcPr>
          <w:p w14:paraId="25072EEA" w14:textId="1E4D4795" w:rsidR="00AD2835" w:rsidRPr="003D2471" w:rsidRDefault="000412CE"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−0.42 [−1.42, 0.59] (−0.11, p=0.417)</w:t>
            </w:r>
          </w:p>
        </w:tc>
      </w:tr>
      <w:tr w:rsidR="003D2471" w:rsidRPr="003D2471" w14:paraId="14D3816D"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45FF43A3" w14:textId="38968273"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xml:space="preserve"> Late Pre-OAT (180 min)</w:t>
            </w:r>
          </w:p>
        </w:tc>
        <w:tc>
          <w:tcPr>
            <w:tcW w:w="0" w:type="auto"/>
            <w:tcBorders>
              <w:top w:val="nil"/>
              <w:left w:val="nil"/>
              <w:bottom w:val="single" w:sz="4" w:space="0" w:color="auto"/>
              <w:right w:val="single" w:sz="4" w:space="0" w:color="auto"/>
            </w:tcBorders>
            <w:vAlign w:val="center"/>
            <w:hideMark/>
          </w:tcPr>
          <w:p w14:paraId="6CD2B069" w14:textId="7777777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 </w:t>
            </w:r>
          </w:p>
        </w:tc>
        <w:tc>
          <w:tcPr>
            <w:tcW w:w="0" w:type="auto"/>
            <w:tcBorders>
              <w:top w:val="nil"/>
              <w:left w:val="nil"/>
              <w:bottom w:val="single" w:sz="4" w:space="0" w:color="auto"/>
              <w:right w:val="single" w:sz="4" w:space="0" w:color="auto"/>
            </w:tcBorders>
            <w:vAlign w:val="center"/>
            <w:hideMark/>
          </w:tcPr>
          <w:p w14:paraId="69C69112" w14:textId="1FAC7864" w:rsidR="00AD2835" w:rsidRPr="003D2471" w:rsidRDefault="000412CE"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−1.11 [−2.00, −0.22] (−0.46, p=0.015)</w:t>
            </w:r>
          </w:p>
        </w:tc>
        <w:tc>
          <w:tcPr>
            <w:tcW w:w="0" w:type="auto"/>
            <w:tcBorders>
              <w:top w:val="nil"/>
              <w:left w:val="nil"/>
              <w:bottom w:val="single" w:sz="4" w:space="0" w:color="auto"/>
              <w:right w:val="single" w:sz="4" w:space="0" w:color="auto"/>
            </w:tcBorders>
            <w:vAlign w:val="center"/>
            <w:hideMark/>
          </w:tcPr>
          <w:p w14:paraId="01B85328" w14:textId="7816DEAA" w:rsidR="00AD2835" w:rsidRPr="003D2471" w:rsidRDefault="000412CE"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−0.73 [−1.64, 0.18] (−0.53, p=0.114)</w:t>
            </w:r>
          </w:p>
        </w:tc>
        <w:tc>
          <w:tcPr>
            <w:tcW w:w="0" w:type="auto"/>
            <w:tcBorders>
              <w:top w:val="nil"/>
              <w:left w:val="nil"/>
              <w:bottom w:val="single" w:sz="4" w:space="0" w:color="auto"/>
              <w:right w:val="single" w:sz="4" w:space="0" w:color="auto"/>
            </w:tcBorders>
            <w:vAlign w:val="center"/>
            <w:hideMark/>
          </w:tcPr>
          <w:p w14:paraId="175AE36D" w14:textId="0C3CC8BB" w:rsidR="00AD2835" w:rsidRPr="003D2471" w:rsidRDefault="000412CE"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−0.71 [−1.72, 0.30] (−0.23, p=0.164)</w:t>
            </w:r>
          </w:p>
        </w:tc>
      </w:tr>
      <w:tr w:rsidR="003D2471" w:rsidRPr="003D2471" w14:paraId="3480B93C" w14:textId="77777777" w:rsidTr="00AD2835">
        <w:trPr>
          <w:trHeight w:val="640"/>
        </w:trPr>
        <w:tc>
          <w:tcPr>
            <w:tcW w:w="0" w:type="auto"/>
            <w:tcBorders>
              <w:top w:val="nil"/>
              <w:left w:val="single" w:sz="4" w:space="0" w:color="auto"/>
              <w:bottom w:val="single" w:sz="4" w:space="0" w:color="auto"/>
              <w:right w:val="single" w:sz="4" w:space="0" w:color="auto"/>
            </w:tcBorders>
            <w:vAlign w:val="center"/>
            <w:hideMark/>
          </w:tcPr>
          <w:p w14:paraId="1118FF41" w14:textId="248AB597" w:rsidR="00AD2835" w:rsidRPr="003D2471" w:rsidRDefault="00AD2835"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Post-OAT: Phase x dose Interaction</w:t>
            </w:r>
          </w:p>
        </w:tc>
        <w:tc>
          <w:tcPr>
            <w:tcW w:w="0" w:type="auto"/>
            <w:tcBorders>
              <w:top w:val="nil"/>
              <w:left w:val="nil"/>
              <w:bottom w:val="single" w:sz="4" w:space="0" w:color="auto"/>
              <w:right w:val="single" w:sz="4" w:space="0" w:color="auto"/>
            </w:tcBorders>
            <w:vAlign w:val="center"/>
            <w:hideMark/>
          </w:tcPr>
          <w:p w14:paraId="07050D20" w14:textId="462C9B95" w:rsidR="00AD2835" w:rsidRPr="003D2471" w:rsidRDefault="008201A6"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p=0.464</w:t>
            </w:r>
          </w:p>
        </w:tc>
        <w:tc>
          <w:tcPr>
            <w:tcW w:w="0" w:type="auto"/>
            <w:tcBorders>
              <w:top w:val="nil"/>
              <w:left w:val="nil"/>
              <w:bottom w:val="single" w:sz="4" w:space="0" w:color="auto"/>
              <w:right w:val="single" w:sz="4" w:space="0" w:color="auto"/>
            </w:tcBorders>
            <w:vAlign w:val="center"/>
            <w:hideMark/>
          </w:tcPr>
          <w:p w14:paraId="67D5340D" w14:textId="2FC78AE7" w:rsidR="00AD2835" w:rsidRPr="003D2471" w:rsidRDefault="008201A6"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+0.19 [−0.58, 0.97] (0.04, p=0.620)</w:t>
            </w:r>
          </w:p>
        </w:tc>
        <w:tc>
          <w:tcPr>
            <w:tcW w:w="0" w:type="auto"/>
            <w:tcBorders>
              <w:top w:val="nil"/>
              <w:left w:val="nil"/>
              <w:bottom w:val="single" w:sz="4" w:space="0" w:color="auto"/>
              <w:right w:val="single" w:sz="4" w:space="0" w:color="auto"/>
            </w:tcBorders>
            <w:vAlign w:val="center"/>
            <w:hideMark/>
          </w:tcPr>
          <w:p w14:paraId="793AD619" w14:textId="521DC1D9" w:rsidR="00AD2835" w:rsidRPr="003D2471" w:rsidRDefault="008201A6"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+0.08 [−0.70, 0.90] (0.06, p=0.838)</w:t>
            </w:r>
          </w:p>
        </w:tc>
        <w:tc>
          <w:tcPr>
            <w:tcW w:w="0" w:type="auto"/>
            <w:tcBorders>
              <w:top w:val="nil"/>
              <w:left w:val="nil"/>
              <w:bottom w:val="single" w:sz="4" w:space="0" w:color="auto"/>
              <w:right w:val="single" w:sz="4" w:space="0" w:color="auto"/>
            </w:tcBorders>
            <w:vAlign w:val="center"/>
            <w:hideMark/>
          </w:tcPr>
          <w:p w14:paraId="61347531" w14:textId="168CE722" w:rsidR="00AD2835" w:rsidRPr="003D2471" w:rsidRDefault="008201A6" w:rsidP="00AD2835">
            <w:pPr>
              <w:spacing w:after="0" w:line="240" w:lineRule="auto"/>
              <w:jc w:val="center"/>
              <w:rPr>
                <w:rFonts w:ascii="Arial" w:eastAsia="Times New Roman" w:hAnsi="Arial" w:cs="Arial"/>
                <w:color w:val="000000" w:themeColor="text1"/>
                <w:kern w:val="0"/>
                <w:sz w:val="22"/>
                <w:szCs w:val="22"/>
                <w14:ligatures w14:val="none"/>
              </w:rPr>
            </w:pPr>
            <w:r w:rsidRPr="003D2471">
              <w:rPr>
                <w:rFonts w:ascii="Arial" w:eastAsia="Times New Roman" w:hAnsi="Arial" w:cs="Arial"/>
                <w:color w:val="000000" w:themeColor="text1"/>
                <w:kern w:val="0"/>
                <w:sz w:val="22"/>
                <w:szCs w:val="22"/>
                <w14:ligatures w14:val="none"/>
              </w:rPr>
              <w:t>−0.43 [−1.22, 0.38] (−0.27, p=0.296)</w:t>
            </w:r>
          </w:p>
        </w:tc>
      </w:tr>
    </w:tbl>
    <w:p w14:paraId="39E7DA36" w14:textId="5BA21083" w:rsidR="00AD2835" w:rsidRPr="003D2471" w:rsidRDefault="00AD2835" w:rsidP="00AD2835">
      <w:pPr>
        <w:pStyle w:val="whitespace-normal"/>
        <w:rPr>
          <w:rFonts w:ascii="Arial" w:hAnsi="Arial" w:cs="Arial"/>
          <w:b/>
          <w:bCs/>
          <w:color w:val="000000" w:themeColor="text1"/>
          <w:sz w:val="20"/>
          <w:szCs w:val="20"/>
        </w:rPr>
      </w:pPr>
      <w:r w:rsidRPr="003D2471">
        <w:rPr>
          <w:rFonts w:ascii="Arial" w:hAnsi="Arial" w:cs="Arial"/>
          <w:color w:val="000000" w:themeColor="text1"/>
          <w:sz w:val="20"/>
          <w:szCs w:val="20"/>
        </w:rPr>
        <w:t>Data presented as mean difference from placebo [95% CI] (Cohen's d', p-value). CPM = conditioned pain modulation; TSP = temporal summation of pain; AUC = area under the curve; Co-VAS = Computerized Visual Analog Scale. Pre-OAT assessments span 60-180 minutes post-CBD administration. Post-OAT: Phase x dose Interaction reflects the change from pre-OAT (120 min for CPM/TSP; 180 min for threshold/tolerance) to post-OAT (240 min) compared to placebo. Positive CPM values indicate enhanced descending inhibition; positive TSP values indicate increased pain facilitation; negative threshold/tolerance values indicate heightened nociceptive sensitivity.</w:t>
      </w:r>
    </w:p>
    <w:p w14:paraId="441021A7" w14:textId="77777777" w:rsidR="00AD2835" w:rsidRPr="003D2471" w:rsidRDefault="00AD2835" w:rsidP="003A6901">
      <w:pPr>
        <w:pStyle w:val="whitespace-normal"/>
        <w:rPr>
          <w:rFonts w:ascii="Arial" w:hAnsi="Arial" w:cs="Arial"/>
          <w:b/>
          <w:bCs/>
          <w:color w:val="000000" w:themeColor="text1"/>
          <w:sz w:val="22"/>
          <w:szCs w:val="22"/>
        </w:rPr>
      </w:pPr>
    </w:p>
    <w:p w14:paraId="580F3B86" w14:textId="77777777" w:rsidR="006B4C6D" w:rsidRPr="003D2471" w:rsidRDefault="006B4C6D" w:rsidP="003A6901">
      <w:pPr>
        <w:pStyle w:val="whitespace-normal"/>
        <w:rPr>
          <w:rFonts w:ascii="Arial" w:hAnsi="Arial" w:cs="Arial"/>
          <w:b/>
          <w:bCs/>
          <w:color w:val="000000" w:themeColor="text1"/>
          <w:sz w:val="22"/>
          <w:szCs w:val="22"/>
        </w:rPr>
      </w:pPr>
    </w:p>
    <w:p w14:paraId="4403258E" w14:textId="58A2CEC1" w:rsidR="006B4C6D" w:rsidRPr="003D2471" w:rsidRDefault="006B4C6D" w:rsidP="003A6901">
      <w:pPr>
        <w:pStyle w:val="whitespace-normal"/>
        <w:rPr>
          <w:rFonts w:ascii="Arial" w:hAnsi="Arial" w:cs="Arial"/>
          <w:b/>
          <w:bCs/>
          <w:color w:val="000000" w:themeColor="text1"/>
          <w:sz w:val="22"/>
          <w:szCs w:val="22"/>
        </w:rPr>
      </w:pPr>
    </w:p>
    <w:p w14:paraId="2B48D180" w14:textId="77777777" w:rsidR="006B4C6D" w:rsidRPr="003D2471" w:rsidRDefault="006B4C6D" w:rsidP="003A6901">
      <w:pPr>
        <w:pStyle w:val="whitespace-normal"/>
        <w:rPr>
          <w:rFonts w:ascii="Arial" w:hAnsi="Arial" w:cs="Arial"/>
          <w:b/>
          <w:bCs/>
          <w:color w:val="000000" w:themeColor="text1"/>
          <w:sz w:val="22"/>
          <w:szCs w:val="22"/>
        </w:rPr>
      </w:pPr>
    </w:p>
    <w:p w14:paraId="61E1F93F" w14:textId="77777777" w:rsidR="006B4C6D" w:rsidRPr="003D2471" w:rsidRDefault="006B4C6D" w:rsidP="003A6901">
      <w:pPr>
        <w:pStyle w:val="whitespace-normal"/>
        <w:rPr>
          <w:rFonts w:ascii="Arial" w:hAnsi="Arial" w:cs="Arial"/>
          <w:b/>
          <w:bCs/>
          <w:color w:val="000000" w:themeColor="text1"/>
          <w:sz w:val="22"/>
          <w:szCs w:val="22"/>
        </w:rPr>
      </w:pPr>
    </w:p>
    <w:p w14:paraId="37C9D0E1" w14:textId="77777777" w:rsidR="006B4C6D" w:rsidRPr="003D2471" w:rsidRDefault="006B4C6D" w:rsidP="003A6901">
      <w:pPr>
        <w:pStyle w:val="whitespace-normal"/>
        <w:rPr>
          <w:rFonts w:ascii="Arial" w:hAnsi="Arial" w:cs="Arial"/>
          <w:b/>
          <w:bCs/>
          <w:color w:val="000000" w:themeColor="text1"/>
          <w:sz w:val="22"/>
          <w:szCs w:val="22"/>
        </w:rPr>
      </w:pPr>
    </w:p>
    <w:p w14:paraId="61B76F81" w14:textId="77777777" w:rsidR="006B4C6D" w:rsidRPr="003D2471" w:rsidRDefault="006B4C6D" w:rsidP="003A6901">
      <w:pPr>
        <w:pStyle w:val="whitespace-normal"/>
        <w:rPr>
          <w:rFonts w:ascii="Arial" w:hAnsi="Arial" w:cs="Arial"/>
          <w:b/>
          <w:bCs/>
          <w:color w:val="000000" w:themeColor="text1"/>
          <w:sz w:val="22"/>
          <w:szCs w:val="22"/>
        </w:rPr>
      </w:pPr>
    </w:p>
    <w:p w14:paraId="350FD7C5" w14:textId="77777777" w:rsidR="006B4C6D" w:rsidRPr="003D2471" w:rsidRDefault="006B4C6D" w:rsidP="003A6901">
      <w:pPr>
        <w:pStyle w:val="whitespace-normal"/>
        <w:rPr>
          <w:rFonts w:ascii="Arial" w:hAnsi="Arial" w:cs="Arial"/>
          <w:b/>
          <w:bCs/>
          <w:color w:val="000000" w:themeColor="text1"/>
          <w:sz w:val="22"/>
          <w:szCs w:val="22"/>
        </w:rPr>
      </w:pPr>
    </w:p>
    <w:p w14:paraId="04A0DDAB" w14:textId="77777777" w:rsidR="006B4C6D" w:rsidRPr="003D2471" w:rsidRDefault="006B4C6D" w:rsidP="003A6901">
      <w:pPr>
        <w:pStyle w:val="whitespace-normal"/>
        <w:rPr>
          <w:rFonts w:ascii="Arial" w:hAnsi="Arial" w:cs="Arial"/>
          <w:b/>
          <w:bCs/>
          <w:color w:val="000000" w:themeColor="text1"/>
          <w:sz w:val="22"/>
          <w:szCs w:val="22"/>
        </w:rPr>
      </w:pPr>
    </w:p>
    <w:p w14:paraId="713A26DB" w14:textId="77777777" w:rsidR="006B4C6D" w:rsidRPr="003D2471" w:rsidRDefault="006B4C6D" w:rsidP="003A6901">
      <w:pPr>
        <w:pStyle w:val="whitespace-normal"/>
        <w:rPr>
          <w:rFonts w:ascii="Arial" w:hAnsi="Arial" w:cs="Arial"/>
          <w:b/>
          <w:bCs/>
          <w:color w:val="000000" w:themeColor="text1"/>
          <w:sz w:val="22"/>
          <w:szCs w:val="22"/>
        </w:rPr>
      </w:pPr>
    </w:p>
    <w:p w14:paraId="72B9798E" w14:textId="77777777" w:rsidR="006B4C6D" w:rsidRPr="003D2471" w:rsidRDefault="006B4C6D" w:rsidP="003A6901">
      <w:pPr>
        <w:pStyle w:val="whitespace-normal"/>
        <w:rPr>
          <w:rFonts w:ascii="Arial" w:hAnsi="Arial" w:cs="Arial"/>
          <w:b/>
          <w:bCs/>
          <w:color w:val="000000" w:themeColor="text1"/>
          <w:sz w:val="22"/>
          <w:szCs w:val="22"/>
        </w:rPr>
      </w:pPr>
    </w:p>
    <w:p w14:paraId="545A975C" w14:textId="77777777" w:rsidR="006B4C6D" w:rsidRPr="003D2471" w:rsidRDefault="006B4C6D" w:rsidP="003A6901">
      <w:pPr>
        <w:pStyle w:val="whitespace-normal"/>
        <w:rPr>
          <w:rFonts w:ascii="Arial" w:hAnsi="Arial" w:cs="Arial"/>
          <w:b/>
          <w:bCs/>
          <w:color w:val="000000" w:themeColor="text1"/>
          <w:sz w:val="22"/>
          <w:szCs w:val="22"/>
        </w:rPr>
      </w:pPr>
    </w:p>
    <w:p w14:paraId="2CBA0BB6" w14:textId="77777777" w:rsidR="006B4C6D" w:rsidRPr="003D2471" w:rsidRDefault="006B4C6D" w:rsidP="003A6901">
      <w:pPr>
        <w:pStyle w:val="whitespace-normal"/>
        <w:rPr>
          <w:rFonts w:ascii="Arial" w:hAnsi="Arial" w:cs="Arial"/>
          <w:b/>
          <w:bCs/>
          <w:color w:val="000000" w:themeColor="text1"/>
          <w:sz w:val="22"/>
          <w:szCs w:val="22"/>
        </w:rPr>
      </w:pPr>
    </w:p>
    <w:p w14:paraId="1AD28BB4" w14:textId="77777777" w:rsidR="006B4C6D" w:rsidRPr="003D2471" w:rsidRDefault="006B4C6D" w:rsidP="003A6901">
      <w:pPr>
        <w:pStyle w:val="whitespace-normal"/>
        <w:rPr>
          <w:rFonts w:ascii="Arial" w:hAnsi="Arial" w:cs="Arial"/>
          <w:b/>
          <w:bCs/>
          <w:color w:val="000000" w:themeColor="text1"/>
          <w:sz w:val="22"/>
          <w:szCs w:val="22"/>
        </w:rPr>
      </w:pPr>
    </w:p>
    <w:p w14:paraId="140A52EC" w14:textId="77777777" w:rsidR="006B4C6D" w:rsidRPr="003D2471" w:rsidRDefault="006B4C6D" w:rsidP="003A6901">
      <w:pPr>
        <w:pStyle w:val="whitespace-normal"/>
        <w:rPr>
          <w:rFonts w:ascii="Arial" w:hAnsi="Arial" w:cs="Arial"/>
          <w:b/>
          <w:bCs/>
          <w:color w:val="000000" w:themeColor="text1"/>
          <w:sz w:val="22"/>
          <w:szCs w:val="22"/>
        </w:rPr>
      </w:pPr>
    </w:p>
    <w:p w14:paraId="23CEC018" w14:textId="77777777" w:rsidR="00AB1F18" w:rsidRPr="003D2471" w:rsidRDefault="00AB1F18" w:rsidP="003A6901">
      <w:pPr>
        <w:pStyle w:val="whitespace-normal"/>
        <w:rPr>
          <w:rFonts w:ascii="Arial" w:hAnsi="Arial" w:cs="Arial"/>
          <w:b/>
          <w:bCs/>
          <w:color w:val="000000" w:themeColor="text1"/>
          <w:sz w:val="22"/>
          <w:szCs w:val="22"/>
        </w:rPr>
      </w:pPr>
    </w:p>
    <w:p w14:paraId="3B04F718"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b/>
          <w:color w:val="000000" w:themeColor="text1"/>
          <w:sz w:val="22"/>
          <w:szCs w:val="22"/>
        </w:rPr>
        <w:lastRenderedPageBreak/>
        <w:t>Table S4. Linear Dose-Trend Analysis Across All Reported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79"/>
        <w:gridCol w:w="1639"/>
        <w:gridCol w:w="2421"/>
        <w:gridCol w:w="657"/>
      </w:tblGrid>
      <w:tr w:rsidR="003D2471" w:rsidRPr="003D2471" w14:paraId="3419B862" w14:textId="77777777" w:rsidTr="00472D66">
        <w:trPr>
          <w:tblHeader/>
          <w:jc w:val="center"/>
        </w:trPr>
        <w:tc>
          <w:tcPr>
            <w:tcW w:w="0" w:type="auto"/>
            <w:vAlign w:val="center"/>
          </w:tcPr>
          <w:p w14:paraId="488825C4"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b/>
                <w:color w:val="000000" w:themeColor="text1"/>
                <w:sz w:val="22"/>
                <w:szCs w:val="22"/>
              </w:rPr>
              <w:t>Domain</w:t>
            </w:r>
          </w:p>
        </w:tc>
        <w:tc>
          <w:tcPr>
            <w:tcW w:w="0" w:type="auto"/>
            <w:vAlign w:val="center"/>
          </w:tcPr>
          <w:p w14:paraId="2A1DA613"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b/>
                <w:color w:val="000000" w:themeColor="text1"/>
                <w:sz w:val="22"/>
                <w:szCs w:val="22"/>
              </w:rPr>
              <w:t>Outcome</w:t>
            </w:r>
          </w:p>
        </w:tc>
        <w:tc>
          <w:tcPr>
            <w:tcW w:w="0" w:type="auto"/>
            <w:vAlign w:val="center"/>
          </w:tcPr>
          <w:p w14:paraId="4E78E086"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b/>
                <w:color w:val="000000" w:themeColor="text1"/>
                <w:sz w:val="22"/>
                <w:szCs w:val="22"/>
              </w:rPr>
              <w:t>Timepoint</w:t>
            </w:r>
          </w:p>
        </w:tc>
        <w:tc>
          <w:tcPr>
            <w:tcW w:w="0" w:type="auto"/>
            <w:vAlign w:val="center"/>
          </w:tcPr>
          <w:p w14:paraId="034CCB23"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b/>
                <w:color w:val="000000" w:themeColor="text1"/>
                <w:sz w:val="22"/>
                <w:szCs w:val="22"/>
              </w:rPr>
              <w:t>p</w:t>
            </w:r>
          </w:p>
        </w:tc>
      </w:tr>
      <w:tr w:rsidR="003D2471" w:rsidRPr="003D2471" w14:paraId="40F2FEC9" w14:textId="77777777" w:rsidTr="00472D66">
        <w:trPr>
          <w:jc w:val="center"/>
        </w:trPr>
        <w:tc>
          <w:tcPr>
            <w:tcW w:w="0" w:type="auto"/>
            <w:vAlign w:val="center"/>
          </w:tcPr>
          <w:p w14:paraId="59C36A0F"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QST (Pre-OAT)</w:t>
            </w:r>
          </w:p>
        </w:tc>
        <w:tc>
          <w:tcPr>
            <w:tcW w:w="0" w:type="auto"/>
            <w:vAlign w:val="center"/>
          </w:tcPr>
          <w:p w14:paraId="38C8A5DB"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CPM</w:t>
            </w:r>
          </w:p>
        </w:tc>
        <w:tc>
          <w:tcPr>
            <w:tcW w:w="0" w:type="auto"/>
            <w:vAlign w:val="center"/>
          </w:tcPr>
          <w:p w14:paraId="048F8553"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Peak Pre-OAT (120 min)</w:t>
            </w:r>
          </w:p>
        </w:tc>
        <w:tc>
          <w:tcPr>
            <w:tcW w:w="0" w:type="auto"/>
            <w:vAlign w:val="center"/>
          </w:tcPr>
          <w:p w14:paraId="25762841"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b/>
                <w:color w:val="000000" w:themeColor="text1"/>
                <w:sz w:val="22"/>
                <w:szCs w:val="22"/>
              </w:rPr>
              <w:t>0.034*</w:t>
            </w:r>
          </w:p>
        </w:tc>
      </w:tr>
      <w:tr w:rsidR="003D2471" w:rsidRPr="003D2471" w14:paraId="72255109" w14:textId="77777777" w:rsidTr="00472D66">
        <w:trPr>
          <w:jc w:val="center"/>
        </w:trPr>
        <w:tc>
          <w:tcPr>
            <w:tcW w:w="0" w:type="auto"/>
            <w:vAlign w:val="center"/>
          </w:tcPr>
          <w:p w14:paraId="45252F33"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QST (Pre-OAT)</w:t>
            </w:r>
          </w:p>
        </w:tc>
        <w:tc>
          <w:tcPr>
            <w:tcW w:w="0" w:type="auto"/>
            <w:vAlign w:val="center"/>
          </w:tcPr>
          <w:p w14:paraId="3E908AA0"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TSP</w:t>
            </w:r>
          </w:p>
        </w:tc>
        <w:tc>
          <w:tcPr>
            <w:tcW w:w="0" w:type="auto"/>
            <w:vAlign w:val="center"/>
          </w:tcPr>
          <w:p w14:paraId="4A22E076"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Peak Pre-OAT (120 min)</w:t>
            </w:r>
          </w:p>
        </w:tc>
        <w:tc>
          <w:tcPr>
            <w:tcW w:w="0" w:type="auto"/>
            <w:vAlign w:val="center"/>
          </w:tcPr>
          <w:p w14:paraId="66980C86"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0.684</w:t>
            </w:r>
          </w:p>
        </w:tc>
      </w:tr>
      <w:tr w:rsidR="003D2471" w:rsidRPr="003D2471" w14:paraId="20F9850E" w14:textId="77777777" w:rsidTr="00472D66">
        <w:trPr>
          <w:jc w:val="center"/>
        </w:trPr>
        <w:tc>
          <w:tcPr>
            <w:tcW w:w="0" w:type="auto"/>
            <w:vAlign w:val="center"/>
          </w:tcPr>
          <w:p w14:paraId="1CA2B6BD"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QST (Pre-OAT)</w:t>
            </w:r>
          </w:p>
        </w:tc>
        <w:tc>
          <w:tcPr>
            <w:tcW w:w="0" w:type="auto"/>
            <w:vAlign w:val="center"/>
          </w:tcPr>
          <w:p w14:paraId="29493CDD"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Threshold</w:t>
            </w:r>
          </w:p>
        </w:tc>
        <w:tc>
          <w:tcPr>
            <w:tcW w:w="0" w:type="auto"/>
            <w:vAlign w:val="center"/>
          </w:tcPr>
          <w:p w14:paraId="79B0B9B5"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Pre-OAT (180 min)</w:t>
            </w:r>
          </w:p>
        </w:tc>
        <w:tc>
          <w:tcPr>
            <w:tcW w:w="0" w:type="auto"/>
            <w:vAlign w:val="center"/>
          </w:tcPr>
          <w:p w14:paraId="7794C293"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0.492</w:t>
            </w:r>
          </w:p>
        </w:tc>
      </w:tr>
      <w:tr w:rsidR="003D2471" w:rsidRPr="003D2471" w14:paraId="2FF3C8CD" w14:textId="77777777" w:rsidTr="00472D66">
        <w:trPr>
          <w:jc w:val="center"/>
        </w:trPr>
        <w:tc>
          <w:tcPr>
            <w:tcW w:w="0" w:type="auto"/>
            <w:vAlign w:val="center"/>
          </w:tcPr>
          <w:p w14:paraId="1F722EA6"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QST (Pre-OAT)</w:t>
            </w:r>
          </w:p>
        </w:tc>
        <w:tc>
          <w:tcPr>
            <w:tcW w:w="0" w:type="auto"/>
            <w:vAlign w:val="center"/>
          </w:tcPr>
          <w:p w14:paraId="7A74517F"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Tolerance</w:t>
            </w:r>
          </w:p>
        </w:tc>
        <w:tc>
          <w:tcPr>
            <w:tcW w:w="0" w:type="auto"/>
            <w:vAlign w:val="center"/>
          </w:tcPr>
          <w:p w14:paraId="5B676202"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Pre-OAT (180 min)</w:t>
            </w:r>
          </w:p>
        </w:tc>
        <w:tc>
          <w:tcPr>
            <w:tcW w:w="0" w:type="auto"/>
            <w:vAlign w:val="center"/>
          </w:tcPr>
          <w:p w14:paraId="5E02E40E"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0.271</w:t>
            </w:r>
          </w:p>
        </w:tc>
      </w:tr>
      <w:tr w:rsidR="003D2471" w:rsidRPr="003D2471" w14:paraId="59A92648" w14:textId="77777777" w:rsidTr="00472D66">
        <w:trPr>
          <w:jc w:val="center"/>
        </w:trPr>
        <w:tc>
          <w:tcPr>
            <w:tcW w:w="0" w:type="auto"/>
            <w:vAlign w:val="center"/>
          </w:tcPr>
          <w:p w14:paraId="366B208A"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CBD-OAT Interaction</w:t>
            </w:r>
          </w:p>
        </w:tc>
        <w:tc>
          <w:tcPr>
            <w:tcW w:w="0" w:type="auto"/>
            <w:vAlign w:val="center"/>
          </w:tcPr>
          <w:p w14:paraId="46CC0D39"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CPM</w:t>
            </w:r>
          </w:p>
        </w:tc>
        <w:tc>
          <w:tcPr>
            <w:tcW w:w="0" w:type="auto"/>
            <w:vAlign w:val="center"/>
          </w:tcPr>
          <w:p w14:paraId="1D241B4D"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Post-OAT (240 min)</w:t>
            </w:r>
          </w:p>
        </w:tc>
        <w:tc>
          <w:tcPr>
            <w:tcW w:w="0" w:type="auto"/>
            <w:vAlign w:val="center"/>
          </w:tcPr>
          <w:p w14:paraId="02AA486D"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0.517</w:t>
            </w:r>
          </w:p>
        </w:tc>
      </w:tr>
      <w:tr w:rsidR="003D2471" w:rsidRPr="003D2471" w14:paraId="6818EDE2" w14:textId="77777777" w:rsidTr="00472D66">
        <w:trPr>
          <w:jc w:val="center"/>
        </w:trPr>
        <w:tc>
          <w:tcPr>
            <w:tcW w:w="0" w:type="auto"/>
            <w:vAlign w:val="center"/>
          </w:tcPr>
          <w:p w14:paraId="492E8A33"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CBD-OAT Interaction</w:t>
            </w:r>
          </w:p>
        </w:tc>
        <w:tc>
          <w:tcPr>
            <w:tcW w:w="0" w:type="auto"/>
            <w:vAlign w:val="center"/>
          </w:tcPr>
          <w:p w14:paraId="1978A28B"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TSP</w:t>
            </w:r>
          </w:p>
        </w:tc>
        <w:tc>
          <w:tcPr>
            <w:tcW w:w="0" w:type="auto"/>
            <w:vAlign w:val="center"/>
          </w:tcPr>
          <w:p w14:paraId="44006412"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Post-OAT (240 min)</w:t>
            </w:r>
          </w:p>
        </w:tc>
        <w:tc>
          <w:tcPr>
            <w:tcW w:w="0" w:type="auto"/>
            <w:vAlign w:val="center"/>
          </w:tcPr>
          <w:p w14:paraId="5516D5E7"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0.245</w:t>
            </w:r>
          </w:p>
        </w:tc>
      </w:tr>
      <w:tr w:rsidR="003D2471" w:rsidRPr="003D2471" w14:paraId="56E89978" w14:textId="77777777" w:rsidTr="00472D66">
        <w:trPr>
          <w:jc w:val="center"/>
        </w:trPr>
        <w:tc>
          <w:tcPr>
            <w:tcW w:w="0" w:type="auto"/>
            <w:vAlign w:val="center"/>
          </w:tcPr>
          <w:p w14:paraId="1F6AF7AE"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CBD-OAT Interaction</w:t>
            </w:r>
          </w:p>
        </w:tc>
        <w:tc>
          <w:tcPr>
            <w:tcW w:w="0" w:type="auto"/>
            <w:vAlign w:val="center"/>
          </w:tcPr>
          <w:p w14:paraId="65AC9C5C"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Threshold</w:t>
            </w:r>
          </w:p>
        </w:tc>
        <w:tc>
          <w:tcPr>
            <w:tcW w:w="0" w:type="auto"/>
            <w:vAlign w:val="center"/>
          </w:tcPr>
          <w:p w14:paraId="29F76092"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Post-OAT (240 min)</w:t>
            </w:r>
          </w:p>
        </w:tc>
        <w:tc>
          <w:tcPr>
            <w:tcW w:w="0" w:type="auto"/>
            <w:vAlign w:val="center"/>
          </w:tcPr>
          <w:p w14:paraId="0C55E96C"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0.325</w:t>
            </w:r>
          </w:p>
        </w:tc>
      </w:tr>
      <w:tr w:rsidR="003D2471" w:rsidRPr="003D2471" w14:paraId="040AF538" w14:textId="77777777" w:rsidTr="00472D66">
        <w:trPr>
          <w:jc w:val="center"/>
        </w:trPr>
        <w:tc>
          <w:tcPr>
            <w:tcW w:w="0" w:type="auto"/>
            <w:vAlign w:val="center"/>
          </w:tcPr>
          <w:p w14:paraId="34546424"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CBD-OAT Interaction</w:t>
            </w:r>
          </w:p>
        </w:tc>
        <w:tc>
          <w:tcPr>
            <w:tcW w:w="0" w:type="auto"/>
            <w:vAlign w:val="center"/>
          </w:tcPr>
          <w:p w14:paraId="249280DD"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Tolerance</w:t>
            </w:r>
          </w:p>
        </w:tc>
        <w:tc>
          <w:tcPr>
            <w:tcW w:w="0" w:type="auto"/>
            <w:vAlign w:val="center"/>
          </w:tcPr>
          <w:p w14:paraId="23665236"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Post-OAT (240 min)</w:t>
            </w:r>
          </w:p>
        </w:tc>
        <w:tc>
          <w:tcPr>
            <w:tcW w:w="0" w:type="auto"/>
            <w:vAlign w:val="center"/>
          </w:tcPr>
          <w:p w14:paraId="0F106BF9"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0.059</w:t>
            </w:r>
          </w:p>
        </w:tc>
      </w:tr>
      <w:tr w:rsidR="003D2471" w:rsidRPr="003D2471" w14:paraId="7630EF5F" w14:textId="77777777" w:rsidTr="00472D66">
        <w:trPr>
          <w:jc w:val="center"/>
        </w:trPr>
        <w:tc>
          <w:tcPr>
            <w:tcW w:w="0" w:type="auto"/>
            <w:vAlign w:val="center"/>
          </w:tcPr>
          <w:p w14:paraId="336E1CF1"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Craving</w:t>
            </w:r>
          </w:p>
        </w:tc>
        <w:tc>
          <w:tcPr>
            <w:tcW w:w="0" w:type="auto"/>
            <w:vAlign w:val="center"/>
          </w:tcPr>
          <w:p w14:paraId="22591ADA"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HCQ-14</w:t>
            </w:r>
          </w:p>
        </w:tc>
        <w:tc>
          <w:tcPr>
            <w:tcW w:w="0" w:type="auto"/>
            <w:vAlign w:val="center"/>
          </w:tcPr>
          <w:p w14:paraId="4F67D3BE"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Post-OAT (240 min)</w:t>
            </w:r>
          </w:p>
        </w:tc>
        <w:tc>
          <w:tcPr>
            <w:tcW w:w="0" w:type="auto"/>
            <w:vAlign w:val="center"/>
          </w:tcPr>
          <w:p w14:paraId="36FF2B67"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0.808</w:t>
            </w:r>
          </w:p>
        </w:tc>
      </w:tr>
      <w:tr w:rsidR="003D2471" w:rsidRPr="003D2471" w14:paraId="65DD7B10" w14:textId="77777777" w:rsidTr="00472D66">
        <w:trPr>
          <w:jc w:val="center"/>
        </w:trPr>
        <w:tc>
          <w:tcPr>
            <w:tcW w:w="0" w:type="auto"/>
            <w:vAlign w:val="center"/>
          </w:tcPr>
          <w:p w14:paraId="4E5C115D"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Cognitive</w:t>
            </w:r>
          </w:p>
        </w:tc>
        <w:tc>
          <w:tcPr>
            <w:tcW w:w="0" w:type="auto"/>
            <w:vAlign w:val="center"/>
          </w:tcPr>
          <w:p w14:paraId="3D12EE62"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CPT Throughput</w:t>
            </w:r>
          </w:p>
        </w:tc>
        <w:tc>
          <w:tcPr>
            <w:tcW w:w="0" w:type="auto"/>
            <w:vAlign w:val="center"/>
          </w:tcPr>
          <w:p w14:paraId="1A4FF806"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Pre-OAT (210 min)</w:t>
            </w:r>
          </w:p>
        </w:tc>
        <w:tc>
          <w:tcPr>
            <w:tcW w:w="0" w:type="auto"/>
            <w:vAlign w:val="center"/>
          </w:tcPr>
          <w:p w14:paraId="49448CE1" w14:textId="13B8186B"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0.176</w:t>
            </w:r>
          </w:p>
        </w:tc>
      </w:tr>
      <w:tr w:rsidR="003D2471" w:rsidRPr="003D2471" w14:paraId="36AF7E94" w14:textId="77777777" w:rsidTr="00472D66">
        <w:trPr>
          <w:jc w:val="center"/>
        </w:trPr>
        <w:tc>
          <w:tcPr>
            <w:tcW w:w="0" w:type="auto"/>
            <w:vAlign w:val="center"/>
          </w:tcPr>
          <w:p w14:paraId="7CC70128"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Cognitive</w:t>
            </w:r>
          </w:p>
        </w:tc>
        <w:tc>
          <w:tcPr>
            <w:tcW w:w="0" w:type="auto"/>
            <w:vAlign w:val="center"/>
          </w:tcPr>
          <w:p w14:paraId="79844E65"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HVLT-Total</w:t>
            </w:r>
          </w:p>
        </w:tc>
        <w:tc>
          <w:tcPr>
            <w:tcW w:w="0" w:type="auto"/>
            <w:vAlign w:val="center"/>
          </w:tcPr>
          <w:p w14:paraId="63C06410"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Pre-OAT (210 min)</w:t>
            </w:r>
          </w:p>
        </w:tc>
        <w:tc>
          <w:tcPr>
            <w:tcW w:w="0" w:type="auto"/>
            <w:vAlign w:val="center"/>
          </w:tcPr>
          <w:p w14:paraId="478E3C63"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0.848</w:t>
            </w:r>
          </w:p>
        </w:tc>
      </w:tr>
      <w:tr w:rsidR="003D2471" w:rsidRPr="003D2471" w14:paraId="4C6EA5DA" w14:textId="77777777" w:rsidTr="00472D66">
        <w:trPr>
          <w:jc w:val="center"/>
        </w:trPr>
        <w:tc>
          <w:tcPr>
            <w:tcW w:w="0" w:type="auto"/>
            <w:vAlign w:val="center"/>
          </w:tcPr>
          <w:p w14:paraId="0597BABA"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Cognitive</w:t>
            </w:r>
          </w:p>
        </w:tc>
        <w:tc>
          <w:tcPr>
            <w:tcW w:w="0" w:type="auto"/>
            <w:vAlign w:val="center"/>
          </w:tcPr>
          <w:p w14:paraId="28E32593"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HVLT-Delay</w:t>
            </w:r>
          </w:p>
        </w:tc>
        <w:tc>
          <w:tcPr>
            <w:tcW w:w="0" w:type="auto"/>
            <w:vAlign w:val="center"/>
          </w:tcPr>
          <w:p w14:paraId="2D252E21"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Pre-OAT (210 min)</w:t>
            </w:r>
          </w:p>
        </w:tc>
        <w:tc>
          <w:tcPr>
            <w:tcW w:w="0" w:type="auto"/>
            <w:vAlign w:val="center"/>
          </w:tcPr>
          <w:p w14:paraId="64E8A77F" w14:textId="77777777" w:rsidR="008D74A2" w:rsidRPr="003D2471" w:rsidRDefault="008D74A2" w:rsidP="00472D66">
            <w:pPr>
              <w:jc w:val="center"/>
              <w:rPr>
                <w:rFonts w:ascii="Arial" w:hAnsi="Arial" w:cs="Arial"/>
                <w:color w:val="000000" w:themeColor="text1"/>
                <w:sz w:val="22"/>
                <w:szCs w:val="22"/>
              </w:rPr>
            </w:pPr>
            <w:r w:rsidRPr="003D2471">
              <w:rPr>
                <w:rFonts w:ascii="Arial" w:hAnsi="Arial" w:cs="Arial"/>
                <w:color w:val="000000" w:themeColor="text1"/>
                <w:sz w:val="22"/>
                <w:szCs w:val="22"/>
              </w:rPr>
              <w:t>0.192</w:t>
            </w:r>
          </w:p>
        </w:tc>
      </w:tr>
    </w:tbl>
    <w:p w14:paraId="0A8D22DE" w14:textId="49BA5389" w:rsidR="008D74A2" w:rsidRPr="003D2471" w:rsidRDefault="008D74A2" w:rsidP="00472D66">
      <w:pPr>
        <w:spacing w:before="120"/>
        <w:jc w:val="center"/>
        <w:rPr>
          <w:rFonts w:ascii="Arial" w:hAnsi="Arial" w:cs="Arial"/>
          <w:color w:val="000000" w:themeColor="text1"/>
          <w:sz w:val="22"/>
          <w:szCs w:val="22"/>
        </w:rPr>
      </w:pPr>
      <w:r w:rsidRPr="003D2471">
        <w:rPr>
          <w:rFonts w:ascii="Arial" w:hAnsi="Arial" w:cs="Arial"/>
          <w:iCs/>
          <w:color w:val="000000" w:themeColor="text1"/>
          <w:sz w:val="22"/>
          <w:szCs w:val="22"/>
        </w:rPr>
        <w:t>L</w:t>
      </w:r>
      <w:r w:rsidRPr="003D2471">
        <w:rPr>
          <w:rFonts w:ascii="Arial" w:hAnsi="Arial" w:cs="Arial"/>
          <w:color w:val="000000" w:themeColor="text1"/>
          <w:sz w:val="22"/>
          <w:szCs w:val="22"/>
        </w:rPr>
        <w:t>inear contrasts were computed on the same linear mixed models used for pairwise comparisons. A positive estimate indicates increasing effect with higher CBD dose (Placebo &lt; 400 mg &lt; 800 mg &lt; 1200 mg). QST outcomes are baseline-corrected change scores; TSP values are in units of 1000. CBD-OAT Interaction reflects the difference-in-differences (Post-OAT minus Pre-OAT) linear trend.</w:t>
      </w:r>
      <w:r w:rsidRPr="003D2471">
        <w:rPr>
          <w:rFonts w:ascii="Arial" w:hAnsi="Arial" w:cs="Arial"/>
          <w:i/>
          <w:color w:val="000000" w:themeColor="text1"/>
          <w:sz w:val="22"/>
          <w:szCs w:val="22"/>
        </w:rPr>
        <w:t xml:space="preserve"> *p &lt; .05.</w:t>
      </w:r>
    </w:p>
    <w:p w14:paraId="2916DCE0" w14:textId="0E0B534D" w:rsidR="006B4C6D" w:rsidRPr="003D2471" w:rsidRDefault="006B4C6D" w:rsidP="003A6901">
      <w:pPr>
        <w:pStyle w:val="whitespace-normal"/>
        <w:rPr>
          <w:rFonts w:ascii="Arial" w:hAnsi="Arial" w:cs="Arial"/>
          <w:b/>
          <w:bCs/>
          <w:color w:val="000000" w:themeColor="text1"/>
          <w:sz w:val="22"/>
          <w:szCs w:val="22"/>
        </w:rPr>
      </w:pPr>
    </w:p>
    <w:p w14:paraId="4CEB9B6F" w14:textId="77777777" w:rsidR="008D74A2" w:rsidRPr="003D2471" w:rsidRDefault="008D74A2" w:rsidP="003A6901">
      <w:pPr>
        <w:pStyle w:val="whitespace-normal"/>
        <w:rPr>
          <w:rFonts w:ascii="Arial" w:hAnsi="Arial" w:cs="Arial"/>
          <w:b/>
          <w:bCs/>
          <w:color w:val="000000" w:themeColor="text1"/>
          <w:sz w:val="22"/>
          <w:szCs w:val="22"/>
        </w:rPr>
      </w:pPr>
    </w:p>
    <w:p w14:paraId="5E6167B6" w14:textId="77777777" w:rsidR="008D74A2" w:rsidRPr="003D2471" w:rsidRDefault="008D74A2" w:rsidP="003A6901">
      <w:pPr>
        <w:pStyle w:val="whitespace-normal"/>
        <w:rPr>
          <w:rFonts w:ascii="Arial" w:hAnsi="Arial" w:cs="Arial"/>
          <w:b/>
          <w:bCs/>
          <w:color w:val="000000" w:themeColor="text1"/>
          <w:sz w:val="22"/>
          <w:szCs w:val="22"/>
        </w:rPr>
      </w:pPr>
    </w:p>
    <w:p w14:paraId="4D676232" w14:textId="77777777" w:rsidR="008D74A2" w:rsidRPr="003D2471" w:rsidRDefault="008D74A2" w:rsidP="003A6901">
      <w:pPr>
        <w:pStyle w:val="whitespace-normal"/>
        <w:rPr>
          <w:rFonts w:ascii="Arial" w:hAnsi="Arial" w:cs="Arial"/>
          <w:b/>
          <w:bCs/>
          <w:color w:val="000000" w:themeColor="text1"/>
          <w:sz w:val="22"/>
          <w:szCs w:val="22"/>
        </w:rPr>
      </w:pPr>
    </w:p>
    <w:p w14:paraId="302069DA" w14:textId="77777777" w:rsidR="008D74A2" w:rsidRPr="003D2471" w:rsidRDefault="008D74A2" w:rsidP="003A6901">
      <w:pPr>
        <w:pStyle w:val="whitespace-normal"/>
        <w:rPr>
          <w:rFonts w:ascii="Arial" w:hAnsi="Arial" w:cs="Arial"/>
          <w:b/>
          <w:bCs/>
          <w:color w:val="000000" w:themeColor="text1"/>
          <w:sz w:val="22"/>
          <w:szCs w:val="22"/>
        </w:rPr>
      </w:pPr>
    </w:p>
    <w:p w14:paraId="21AF1EA5" w14:textId="77777777" w:rsidR="006B4C6D" w:rsidRPr="003D2471" w:rsidRDefault="006B4C6D" w:rsidP="003A6901">
      <w:pPr>
        <w:pStyle w:val="whitespace-normal"/>
        <w:rPr>
          <w:rFonts w:ascii="Arial" w:hAnsi="Arial" w:cs="Arial"/>
          <w:b/>
          <w:bCs/>
          <w:color w:val="000000" w:themeColor="text1"/>
          <w:sz w:val="22"/>
          <w:szCs w:val="22"/>
        </w:rPr>
      </w:pPr>
    </w:p>
    <w:p w14:paraId="7D1777B6" w14:textId="77777777" w:rsidR="00AB1868" w:rsidRPr="003D2471" w:rsidRDefault="00AB1868" w:rsidP="003A6901">
      <w:pPr>
        <w:pStyle w:val="whitespace-normal"/>
        <w:rPr>
          <w:rFonts w:ascii="Arial" w:hAnsi="Arial" w:cs="Arial"/>
          <w:b/>
          <w:bCs/>
          <w:color w:val="000000" w:themeColor="text1"/>
          <w:sz w:val="22"/>
          <w:szCs w:val="22"/>
        </w:rPr>
      </w:pPr>
    </w:p>
    <w:p w14:paraId="479C6A92" w14:textId="77777777" w:rsidR="00AB1868" w:rsidRPr="003D2471" w:rsidRDefault="00AB1868" w:rsidP="003A6901">
      <w:pPr>
        <w:pStyle w:val="whitespace-normal"/>
        <w:rPr>
          <w:rFonts w:ascii="Arial" w:hAnsi="Arial" w:cs="Arial"/>
          <w:b/>
          <w:bCs/>
          <w:color w:val="000000" w:themeColor="text1"/>
          <w:sz w:val="22"/>
          <w:szCs w:val="22"/>
        </w:rPr>
      </w:pPr>
    </w:p>
    <w:p w14:paraId="69E05F59" w14:textId="77777777" w:rsidR="00AB1F18" w:rsidRPr="003D2471" w:rsidRDefault="00AB1F18" w:rsidP="00AB1F18">
      <w:pPr>
        <w:pStyle w:val="whitespace-normal"/>
        <w:rPr>
          <w:rFonts w:ascii="Arial" w:hAnsi="Arial" w:cs="Arial"/>
          <w:b/>
          <w:bCs/>
          <w:color w:val="000000" w:themeColor="text1"/>
          <w:sz w:val="22"/>
          <w:szCs w:val="22"/>
        </w:rPr>
      </w:pPr>
    </w:p>
    <w:p w14:paraId="728D94D3" w14:textId="11BD2EC7" w:rsidR="00AB1F18" w:rsidRPr="003D2471" w:rsidRDefault="007D6F97" w:rsidP="00AB1F18">
      <w:pPr>
        <w:pStyle w:val="whitespace-normal"/>
        <w:rPr>
          <w:rFonts w:ascii="Arial" w:hAnsi="Arial" w:cs="Arial"/>
          <w:color w:val="000000" w:themeColor="text1"/>
          <w:sz w:val="22"/>
          <w:szCs w:val="22"/>
        </w:rPr>
      </w:pPr>
      <w:r w:rsidRPr="003D2471">
        <w:rPr>
          <w:rStyle w:val="Strong"/>
          <w:rFonts w:ascii="Arial" w:eastAsiaTheme="majorEastAsia" w:hAnsi="Arial" w:cs="Arial"/>
          <w:color w:val="000000" w:themeColor="text1"/>
          <w:sz w:val="22"/>
          <w:szCs w:val="22"/>
        </w:rPr>
        <w:lastRenderedPageBreak/>
        <w:t>S10. Subjective Opioid Withdrawal Symptoms</w:t>
      </w:r>
    </w:p>
    <w:p w14:paraId="3C93493B" w14:textId="77777777" w:rsidR="00AB1F18" w:rsidRPr="003D2471" w:rsidRDefault="00AB1F18" w:rsidP="00AB1F18">
      <w:pPr>
        <w:pStyle w:val="whitespace-normal"/>
        <w:rPr>
          <w:rFonts w:ascii="Arial" w:hAnsi="Arial" w:cs="Arial"/>
          <w:color w:val="000000" w:themeColor="text1"/>
          <w:sz w:val="22"/>
          <w:szCs w:val="22"/>
        </w:rPr>
      </w:pPr>
      <w:r w:rsidRPr="003D2471">
        <w:rPr>
          <w:rStyle w:val="Strong"/>
          <w:rFonts w:ascii="Arial" w:eastAsiaTheme="majorEastAsia" w:hAnsi="Arial" w:cs="Arial"/>
          <w:color w:val="000000" w:themeColor="text1"/>
          <w:sz w:val="22"/>
          <w:szCs w:val="22"/>
        </w:rPr>
        <w:t>Assessment Method</w:t>
      </w:r>
      <w:r w:rsidRPr="003D2471">
        <w:rPr>
          <w:rFonts w:ascii="Arial" w:hAnsi="Arial" w:cs="Arial"/>
          <w:color w:val="000000" w:themeColor="text1"/>
          <w:sz w:val="22"/>
          <w:szCs w:val="22"/>
        </w:rPr>
        <w:br/>
        <w:t>Subjective opioid withdrawal symptoms were assessed using the Subjective Opioid Withdrawal Scale (SOWS), with a 22-item self-report instrument measuring the intensity of common opioid withdrawal symptoms. Each item (e.g., "I feel anxious," "I have stomach cramps," "My muscles ache") is rated on a 5-point Likert scale from 0 (not at all) to 4 (extremely), yielding total scores ranging from 0 to 88. The SOWS was administered at baseline and at 60, 120, 180, and 210 minutes post-CBD administration to monitor for potential withdrawal-related discomfort.</w:t>
      </w:r>
    </w:p>
    <w:p w14:paraId="796D2988" w14:textId="77777777" w:rsidR="00AB1F18" w:rsidRPr="003D2471" w:rsidRDefault="00AB1F18" w:rsidP="00AB1F18">
      <w:pPr>
        <w:pStyle w:val="whitespace-normal"/>
        <w:rPr>
          <w:rFonts w:ascii="Arial" w:hAnsi="Arial" w:cs="Arial"/>
          <w:color w:val="000000" w:themeColor="text1"/>
          <w:sz w:val="22"/>
          <w:szCs w:val="22"/>
        </w:rPr>
      </w:pPr>
      <w:r w:rsidRPr="003D2471">
        <w:rPr>
          <w:rStyle w:val="Strong"/>
          <w:rFonts w:ascii="Arial" w:eastAsiaTheme="majorEastAsia" w:hAnsi="Arial" w:cs="Arial"/>
          <w:color w:val="000000" w:themeColor="text1"/>
          <w:sz w:val="22"/>
          <w:szCs w:val="22"/>
        </w:rPr>
        <w:t>Results</w:t>
      </w:r>
      <w:r w:rsidRPr="003D2471">
        <w:rPr>
          <w:rFonts w:ascii="Arial" w:hAnsi="Arial" w:cs="Arial"/>
          <w:color w:val="000000" w:themeColor="text1"/>
          <w:sz w:val="22"/>
          <w:szCs w:val="22"/>
        </w:rPr>
        <w:br/>
        <w:t>There was a significant dose x time interaction (p = 0.030). The main effect of dose was not significant (p = 0.101), while a significant main effect of time was observed (p &lt; 0.001), reflecting temporal fluctuations in symptom reporting across the pre-methadone assessment period.</w:t>
      </w:r>
    </w:p>
    <w:p w14:paraId="6BDF4316" w14:textId="18997983" w:rsidR="00AB1F18" w:rsidRPr="003D2471" w:rsidRDefault="00AB1F18" w:rsidP="00AB1F18">
      <w:pPr>
        <w:pStyle w:val="whitespace-normal"/>
        <w:rPr>
          <w:rFonts w:ascii="Arial" w:hAnsi="Arial" w:cs="Arial"/>
          <w:color w:val="000000" w:themeColor="text1"/>
          <w:sz w:val="22"/>
          <w:szCs w:val="22"/>
        </w:rPr>
      </w:pPr>
      <w:r w:rsidRPr="003D2471">
        <w:rPr>
          <w:rFonts w:ascii="Arial" w:hAnsi="Arial" w:cs="Arial"/>
          <w:color w:val="000000" w:themeColor="text1"/>
          <w:sz w:val="22"/>
          <w:szCs w:val="22"/>
        </w:rPr>
        <w:t>CBD administration was associated with statistically significant increases in SOWS scores at the 120- and 180-minute timepoints, with effect sizes in the small-to-moderate range (d' = 0.54–0.79). However, the absolute magnitude of change was modest, with mean differences ranging from 2.89 to 4.29 points on a 88-point scale. Additionally, no participant exhibited objective signs of opioid withdrawal on physical examination, and no participant requested additional medication or early session termination due to discomfort.</w:t>
      </w:r>
    </w:p>
    <w:p w14:paraId="27DF843F" w14:textId="77777777" w:rsidR="00BA20FF" w:rsidRPr="003D2471" w:rsidRDefault="00BA20FF" w:rsidP="00AB1F18">
      <w:pPr>
        <w:pStyle w:val="whitespace-normal"/>
        <w:rPr>
          <w:rFonts w:ascii="Arial" w:hAnsi="Arial" w:cs="Arial"/>
          <w:color w:val="000000" w:themeColor="text1"/>
          <w:sz w:val="22"/>
          <w:szCs w:val="22"/>
        </w:rPr>
      </w:pPr>
    </w:p>
    <w:p w14:paraId="187C2C3A" w14:textId="77777777" w:rsidR="00BA20FF" w:rsidRPr="003D2471" w:rsidRDefault="00BA20FF" w:rsidP="00AB1F18">
      <w:pPr>
        <w:pStyle w:val="whitespace-normal"/>
        <w:rPr>
          <w:rFonts w:ascii="Arial" w:hAnsi="Arial" w:cs="Arial"/>
          <w:color w:val="000000" w:themeColor="text1"/>
          <w:sz w:val="22"/>
          <w:szCs w:val="22"/>
        </w:rPr>
      </w:pPr>
    </w:p>
    <w:p w14:paraId="5BB08A63" w14:textId="77777777" w:rsidR="00BA20FF" w:rsidRPr="003D2471" w:rsidRDefault="00BA20FF" w:rsidP="00AB1F18">
      <w:pPr>
        <w:pStyle w:val="whitespace-normal"/>
        <w:rPr>
          <w:rFonts w:ascii="Arial" w:hAnsi="Arial" w:cs="Arial"/>
          <w:color w:val="000000" w:themeColor="text1"/>
          <w:sz w:val="22"/>
          <w:szCs w:val="22"/>
        </w:rPr>
      </w:pPr>
    </w:p>
    <w:p w14:paraId="5D5033DD" w14:textId="77777777" w:rsidR="00BA20FF" w:rsidRPr="003D2471" w:rsidRDefault="00BA20FF" w:rsidP="00AB1F18">
      <w:pPr>
        <w:pStyle w:val="whitespace-normal"/>
        <w:rPr>
          <w:rFonts w:ascii="Arial" w:hAnsi="Arial" w:cs="Arial"/>
          <w:color w:val="000000" w:themeColor="text1"/>
          <w:sz w:val="22"/>
          <w:szCs w:val="22"/>
        </w:rPr>
      </w:pPr>
    </w:p>
    <w:p w14:paraId="567E25EA" w14:textId="77777777" w:rsidR="00BA20FF" w:rsidRPr="003D2471" w:rsidRDefault="00BA20FF" w:rsidP="00AB1F18">
      <w:pPr>
        <w:pStyle w:val="whitespace-normal"/>
        <w:rPr>
          <w:rFonts w:ascii="Arial" w:hAnsi="Arial" w:cs="Arial"/>
          <w:color w:val="000000" w:themeColor="text1"/>
          <w:sz w:val="22"/>
          <w:szCs w:val="22"/>
        </w:rPr>
      </w:pPr>
    </w:p>
    <w:p w14:paraId="3E1AA097" w14:textId="77777777" w:rsidR="00BA20FF" w:rsidRPr="003D2471" w:rsidRDefault="00BA20FF" w:rsidP="00AB1F18">
      <w:pPr>
        <w:pStyle w:val="whitespace-normal"/>
        <w:rPr>
          <w:rFonts w:ascii="Arial" w:hAnsi="Arial" w:cs="Arial"/>
          <w:color w:val="000000" w:themeColor="text1"/>
          <w:sz w:val="22"/>
          <w:szCs w:val="22"/>
        </w:rPr>
      </w:pPr>
    </w:p>
    <w:p w14:paraId="05A4768C" w14:textId="77777777" w:rsidR="00BA20FF" w:rsidRPr="003D2471" w:rsidRDefault="00BA20FF" w:rsidP="00AB1F18">
      <w:pPr>
        <w:pStyle w:val="whitespace-normal"/>
        <w:rPr>
          <w:rFonts w:ascii="Arial" w:hAnsi="Arial" w:cs="Arial"/>
          <w:color w:val="000000" w:themeColor="text1"/>
          <w:sz w:val="22"/>
          <w:szCs w:val="22"/>
        </w:rPr>
      </w:pPr>
    </w:p>
    <w:p w14:paraId="5A3D4758" w14:textId="77777777" w:rsidR="00BA20FF" w:rsidRPr="003D2471" w:rsidRDefault="00BA20FF" w:rsidP="00AB1F18">
      <w:pPr>
        <w:pStyle w:val="whitespace-normal"/>
        <w:rPr>
          <w:rFonts w:ascii="Arial" w:hAnsi="Arial" w:cs="Arial"/>
          <w:color w:val="000000" w:themeColor="text1"/>
          <w:sz w:val="22"/>
          <w:szCs w:val="22"/>
        </w:rPr>
      </w:pPr>
    </w:p>
    <w:p w14:paraId="61B85848" w14:textId="77777777" w:rsidR="00BA20FF" w:rsidRPr="003D2471" w:rsidRDefault="00BA20FF" w:rsidP="00AB1F18">
      <w:pPr>
        <w:pStyle w:val="whitespace-normal"/>
        <w:rPr>
          <w:rFonts w:ascii="Arial" w:hAnsi="Arial" w:cs="Arial"/>
          <w:color w:val="000000" w:themeColor="text1"/>
          <w:sz w:val="22"/>
          <w:szCs w:val="22"/>
        </w:rPr>
      </w:pPr>
    </w:p>
    <w:p w14:paraId="74845FB2" w14:textId="77777777" w:rsidR="00BA20FF" w:rsidRPr="003D2471" w:rsidRDefault="00BA20FF" w:rsidP="00AB1F18">
      <w:pPr>
        <w:pStyle w:val="whitespace-normal"/>
        <w:rPr>
          <w:rFonts w:ascii="Arial" w:hAnsi="Arial" w:cs="Arial"/>
          <w:color w:val="000000" w:themeColor="text1"/>
          <w:sz w:val="22"/>
          <w:szCs w:val="22"/>
        </w:rPr>
      </w:pPr>
    </w:p>
    <w:p w14:paraId="720636D8" w14:textId="77777777" w:rsidR="00BA20FF" w:rsidRPr="003D2471" w:rsidRDefault="00BA20FF" w:rsidP="00AB1F18">
      <w:pPr>
        <w:pStyle w:val="whitespace-normal"/>
        <w:rPr>
          <w:rFonts w:ascii="Arial" w:hAnsi="Arial" w:cs="Arial"/>
          <w:color w:val="000000" w:themeColor="text1"/>
          <w:sz w:val="22"/>
          <w:szCs w:val="22"/>
        </w:rPr>
      </w:pPr>
    </w:p>
    <w:p w14:paraId="198B6FBE" w14:textId="77777777" w:rsidR="00BA20FF" w:rsidRPr="003D2471" w:rsidRDefault="00BA20FF" w:rsidP="00AB1F18">
      <w:pPr>
        <w:pStyle w:val="whitespace-normal"/>
        <w:rPr>
          <w:rFonts w:ascii="Arial" w:hAnsi="Arial" w:cs="Arial"/>
          <w:color w:val="000000" w:themeColor="text1"/>
          <w:sz w:val="22"/>
          <w:szCs w:val="22"/>
        </w:rPr>
      </w:pPr>
    </w:p>
    <w:p w14:paraId="6723D67F" w14:textId="77777777" w:rsidR="00BA20FF" w:rsidRPr="003D2471" w:rsidRDefault="00BA20FF" w:rsidP="00AB1F18">
      <w:pPr>
        <w:pStyle w:val="whitespace-normal"/>
        <w:rPr>
          <w:rFonts w:ascii="Arial" w:hAnsi="Arial" w:cs="Arial"/>
          <w:color w:val="000000" w:themeColor="text1"/>
          <w:sz w:val="22"/>
          <w:szCs w:val="22"/>
        </w:rPr>
      </w:pPr>
    </w:p>
    <w:p w14:paraId="270408C6" w14:textId="04DC9BEE" w:rsidR="00BA20FF" w:rsidRPr="003D2471" w:rsidRDefault="00BA20FF" w:rsidP="00BA20FF">
      <w:pPr>
        <w:pStyle w:val="whitespace-normal"/>
        <w:rPr>
          <w:rFonts w:ascii="Arial" w:hAnsi="Arial" w:cs="Arial"/>
          <w:b/>
          <w:bCs/>
          <w:color w:val="000000" w:themeColor="text1"/>
          <w:sz w:val="22"/>
          <w:szCs w:val="22"/>
        </w:rPr>
      </w:pPr>
      <w:r w:rsidRPr="003D2471">
        <w:rPr>
          <w:rFonts w:ascii="Arial" w:hAnsi="Arial" w:cs="Arial"/>
          <w:b/>
          <w:bCs/>
          <w:color w:val="000000" w:themeColor="text1"/>
          <w:sz w:val="22"/>
          <w:szCs w:val="22"/>
        </w:rPr>
        <w:lastRenderedPageBreak/>
        <w:t>Figure S2. Subjective Opioid Withdrawal Symptoms Across Dose Conditions Over the Pre-Methadone Assessment Period.</w:t>
      </w:r>
    </w:p>
    <w:p w14:paraId="6F1D866B" w14:textId="77777777" w:rsidR="00AB1F18" w:rsidRPr="003D2471" w:rsidRDefault="00AB1F18" w:rsidP="00AB1F18">
      <w:pPr>
        <w:pStyle w:val="whitespace-normal"/>
        <w:rPr>
          <w:rFonts w:ascii="Arial" w:hAnsi="Arial" w:cs="Arial"/>
          <w:b/>
          <w:bCs/>
          <w:color w:val="000000" w:themeColor="text1"/>
          <w:sz w:val="22"/>
          <w:szCs w:val="22"/>
        </w:rPr>
      </w:pPr>
      <w:r w:rsidRPr="003D2471">
        <w:rPr>
          <w:rFonts w:ascii="Arial" w:hAnsi="Arial" w:cs="Arial"/>
          <w:b/>
          <w:bCs/>
          <w:noProof/>
          <w:color w:val="000000" w:themeColor="text1"/>
          <w:sz w:val="22"/>
          <w:szCs w:val="22"/>
          <w14:ligatures w14:val="standardContextual"/>
        </w:rPr>
        <w:drawing>
          <wp:inline distT="0" distB="0" distL="0" distR="0" wp14:anchorId="4847A310" wp14:editId="03E17B1E">
            <wp:extent cx="5943600" cy="3858895"/>
            <wp:effectExtent l="0" t="0" r="0" b="1905"/>
            <wp:docPr id="316188303" name="Picture 1" descr="A graph of different colored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88303" name="Picture 1" descr="A graph of different colored lines  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943600" cy="3858895"/>
                    </a:xfrm>
                    <a:prstGeom prst="rect">
                      <a:avLst/>
                    </a:prstGeom>
                  </pic:spPr>
                </pic:pic>
              </a:graphicData>
            </a:graphic>
          </wp:inline>
        </w:drawing>
      </w:r>
    </w:p>
    <w:p w14:paraId="0A2CBFCA" w14:textId="6B311BDE" w:rsidR="000E35C1" w:rsidRPr="003D2471" w:rsidRDefault="000E35C1" w:rsidP="00AB1F18">
      <w:pPr>
        <w:pStyle w:val="whitespace-normal"/>
        <w:rPr>
          <w:rFonts w:ascii="Arial" w:hAnsi="Arial" w:cs="Arial"/>
          <w:color w:val="000000" w:themeColor="text1"/>
          <w:sz w:val="22"/>
          <w:szCs w:val="22"/>
        </w:rPr>
      </w:pPr>
    </w:p>
    <w:p w14:paraId="23CCFA02" w14:textId="77777777" w:rsidR="00F9143D" w:rsidRPr="003D2471" w:rsidRDefault="00F9143D" w:rsidP="00AB1F18">
      <w:pPr>
        <w:pStyle w:val="whitespace-normal"/>
        <w:rPr>
          <w:rFonts w:ascii="Arial" w:hAnsi="Arial" w:cs="Arial"/>
          <w:color w:val="000000" w:themeColor="text1"/>
          <w:sz w:val="22"/>
          <w:szCs w:val="22"/>
        </w:rPr>
      </w:pPr>
    </w:p>
    <w:p w14:paraId="5769175B" w14:textId="77777777" w:rsidR="00F9143D" w:rsidRPr="003D2471" w:rsidRDefault="00F9143D" w:rsidP="00AB1F18">
      <w:pPr>
        <w:pStyle w:val="whitespace-normal"/>
        <w:rPr>
          <w:rFonts w:ascii="Arial" w:hAnsi="Arial" w:cs="Arial"/>
          <w:color w:val="000000" w:themeColor="text1"/>
          <w:sz w:val="22"/>
          <w:szCs w:val="22"/>
        </w:rPr>
      </w:pPr>
    </w:p>
    <w:p w14:paraId="472F50A0" w14:textId="77777777" w:rsidR="00F9143D" w:rsidRPr="003D2471" w:rsidRDefault="00F9143D" w:rsidP="00AB1F18">
      <w:pPr>
        <w:pStyle w:val="whitespace-normal"/>
        <w:rPr>
          <w:rFonts w:ascii="Arial" w:hAnsi="Arial" w:cs="Arial"/>
          <w:color w:val="000000" w:themeColor="text1"/>
          <w:sz w:val="22"/>
          <w:szCs w:val="22"/>
        </w:rPr>
      </w:pPr>
    </w:p>
    <w:p w14:paraId="71D803DD" w14:textId="77777777" w:rsidR="00F9143D" w:rsidRPr="003D2471" w:rsidRDefault="00F9143D" w:rsidP="00AB1F18">
      <w:pPr>
        <w:pStyle w:val="whitespace-normal"/>
        <w:rPr>
          <w:rFonts w:ascii="Arial" w:hAnsi="Arial" w:cs="Arial"/>
          <w:color w:val="000000" w:themeColor="text1"/>
          <w:sz w:val="22"/>
          <w:szCs w:val="22"/>
        </w:rPr>
      </w:pPr>
    </w:p>
    <w:p w14:paraId="6C9054E1" w14:textId="77777777" w:rsidR="00F9143D" w:rsidRPr="003D2471" w:rsidRDefault="00F9143D" w:rsidP="00AB1F18">
      <w:pPr>
        <w:pStyle w:val="whitespace-normal"/>
        <w:rPr>
          <w:rFonts w:ascii="Arial" w:hAnsi="Arial" w:cs="Arial"/>
          <w:color w:val="000000" w:themeColor="text1"/>
          <w:sz w:val="22"/>
          <w:szCs w:val="22"/>
        </w:rPr>
      </w:pPr>
    </w:p>
    <w:p w14:paraId="60420E89" w14:textId="77777777" w:rsidR="00F9143D" w:rsidRPr="003D2471" w:rsidRDefault="00F9143D" w:rsidP="00AB1F18">
      <w:pPr>
        <w:pStyle w:val="whitespace-normal"/>
        <w:rPr>
          <w:rFonts w:ascii="Arial" w:hAnsi="Arial" w:cs="Arial"/>
          <w:color w:val="000000" w:themeColor="text1"/>
          <w:sz w:val="22"/>
          <w:szCs w:val="22"/>
        </w:rPr>
      </w:pPr>
    </w:p>
    <w:p w14:paraId="395B399D" w14:textId="77777777" w:rsidR="00F9143D" w:rsidRPr="003D2471" w:rsidRDefault="00F9143D" w:rsidP="00AB1F18">
      <w:pPr>
        <w:pStyle w:val="whitespace-normal"/>
        <w:rPr>
          <w:rFonts w:ascii="Arial" w:hAnsi="Arial" w:cs="Arial"/>
          <w:color w:val="000000" w:themeColor="text1"/>
          <w:sz w:val="22"/>
          <w:szCs w:val="22"/>
        </w:rPr>
      </w:pPr>
    </w:p>
    <w:p w14:paraId="4676C2C1" w14:textId="77777777" w:rsidR="00F9143D" w:rsidRPr="003D2471" w:rsidRDefault="00F9143D" w:rsidP="00AB1F18">
      <w:pPr>
        <w:pStyle w:val="whitespace-normal"/>
        <w:rPr>
          <w:rFonts w:ascii="Arial" w:hAnsi="Arial" w:cs="Arial"/>
          <w:color w:val="000000" w:themeColor="text1"/>
          <w:sz w:val="22"/>
          <w:szCs w:val="22"/>
        </w:rPr>
      </w:pPr>
    </w:p>
    <w:p w14:paraId="6A95CB00" w14:textId="77777777" w:rsidR="00F9143D" w:rsidRPr="003D2471" w:rsidRDefault="00F9143D" w:rsidP="00AB1F18">
      <w:pPr>
        <w:pStyle w:val="whitespace-normal"/>
        <w:rPr>
          <w:rFonts w:ascii="Arial" w:hAnsi="Arial" w:cs="Arial"/>
          <w:color w:val="000000" w:themeColor="text1"/>
          <w:sz w:val="22"/>
          <w:szCs w:val="22"/>
        </w:rPr>
      </w:pPr>
    </w:p>
    <w:p w14:paraId="16A55272" w14:textId="77777777" w:rsidR="00F9143D" w:rsidRPr="003D2471" w:rsidRDefault="00F9143D" w:rsidP="00AB1F18">
      <w:pPr>
        <w:pStyle w:val="whitespace-normal"/>
        <w:rPr>
          <w:rFonts w:ascii="Arial" w:hAnsi="Arial" w:cs="Arial"/>
          <w:color w:val="000000" w:themeColor="text1"/>
          <w:sz w:val="22"/>
          <w:szCs w:val="22"/>
        </w:rPr>
      </w:pPr>
    </w:p>
    <w:p w14:paraId="1E624660" w14:textId="5359614A" w:rsidR="008A7DAC" w:rsidRPr="003D2471" w:rsidRDefault="008A7DAC" w:rsidP="008A7DAC">
      <w:pPr>
        <w:rPr>
          <w:color w:val="000000" w:themeColor="text1"/>
        </w:rPr>
      </w:pPr>
      <w:r w:rsidRPr="003D2471">
        <w:rPr>
          <w:rFonts w:ascii="Arial"/>
          <w:b/>
          <w:color w:val="000000" w:themeColor="text1"/>
          <w:sz w:val="22"/>
        </w:rPr>
        <w:lastRenderedPageBreak/>
        <w:t>S11. Vital Signs Across Conditions</w:t>
      </w:r>
    </w:p>
    <w:p w14:paraId="3B329A75" w14:textId="77777777" w:rsidR="008A7DAC" w:rsidRPr="003D2471" w:rsidRDefault="008A7DAC" w:rsidP="008A7DAC">
      <w:pPr>
        <w:spacing w:after="120"/>
        <w:rPr>
          <w:rFonts w:ascii="Arial"/>
          <w:color w:val="000000" w:themeColor="text1"/>
          <w:sz w:val="22"/>
        </w:rPr>
      </w:pPr>
      <w:r w:rsidRPr="003D2471">
        <w:rPr>
          <w:rFonts w:ascii="Arial"/>
          <w:color w:val="000000" w:themeColor="text1"/>
          <w:sz w:val="22"/>
        </w:rPr>
        <w:t>Vital signs (SBP, DBP, HR) were analyzed using linear mixed-effects models with fixed effects for dose, time, and their interaction, adjusting for methadone dose and including random intercepts for participant and session. CBD dose had no significant main effect on any vital sign (SBP: p = 0.473; DBP: p = 0.779; HR: p = 0.387), and no Dose x Time interactions were detected (all p &gt; 0.61), indicating that CBD did not differentially affect vital signs relative to placebo at any timepoint. A significant main effect of time was observed for all three measures (all p &lt; 0.001), consistent with expected physiological changes associated with methadone administration and session duration.</w:t>
      </w:r>
    </w:p>
    <w:p w14:paraId="16875DD8" w14:textId="00714B21" w:rsidR="008A7DAC" w:rsidRPr="003D2471" w:rsidRDefault="008A7DAC" w:rsidP="008A7DAC">
      <w:pPr>
        <w:spacing w:after="120"/>
        <w:rPr>
          <w:color w:val="000000" w:themeColor="text1"/>
        </w:rPr>
      </w:pPr>
      <w:r w:rsidRPr="003D2471">
        <w:rPr>
          <w:rFonts w:ascii="Arial"/>
          <w:b/>
          <w:color w:val="000000" w:themeColor="text1"/>
          <w:sz w:val="22"/>
        </w:rPr>
        <w:t>Figure S3. Vital Signs Across Conditions and Timepoints</w:t>
      </w:r>
      <w:r w:rsidRPr="003D2471">
        <w:rPr>
          <w:noProof/>
          <w:color w:val="000000" w:themeColor="text1"/>
        </w:rPr>
        <w:drawing>
          <wp:inline distT="0" distB="0" distL="0" distR="0" wp14:anchorId="136AC008" wp14:editId="2DEC9FD2">
            <wp:extent cx="5943600" cy="5943600"/>
            <wp:effectExtent l="0" t="0" r="0" b="0"/>
            <wp:docPr id="12698133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518C8047" w14:textId="4ED471E7" w:rsidR="00F9143D" w:rsidRPr="003D2471" w:rsidRDefault="00F9143D" w:rsidP="008A7DAC">
      <w:pPr>
        <w:spacing w:after="120"/>
        <w:rPr>
          <w:color w:val="000000" w:themeColor="text1"/>
        </w:rPr>
      </w:pPr>
      <w:r w:rsidRPr="003D2471">
        <w:rPr>
          <w:rFonts w:ascii="Arial"/>
          <w:b/>
          <w:color w:val="000000" w:themeColor="text1"/>
          <w:sz w:val="22"/>
        </w:rPr>
        <w:lastRenderedPageBreak/>
        <w:t>S12. Effect of Methadone Administration on QST Outcomes</w:t>
      </w:r>
    </w:p>
    <w:p w14:paraId="1621FFCF" w14:textId="0A79121D" w:rsidR="00F9143D" w:rsidRPr="003D2471" w:rsidRDefault="00F9143D" w:rsidP="00F9143D">
      <w:pPr>
        <w:spacing w:after="200"/>
        <w:rPr>
          <w:color w:val="000000" w:themeColor="text1"/>
        </w:rPr>
      </w:pPr>
      <w:r w:rsidRPr="003D2471">
        <w:rPr>
          <w:rFonts w:ascii="Arial"/>
          <w:color w:val="000000" w:themeColor="text1"/>
          <w:sz w:val="22"/>
        </w:rPr>
        <w:t>To examine whether methadone administration alone influenced pain sensitivity, we compared QST values obtained before (Pre-OAT) and after (Post-OAT) methadone dosing within the placebo condition, using paired t-tests. This within-subject comparison isolates the pharmacological effect of methadone on experimental pain measures, independent of any CBD intervention. For descending pain inhibition (CPM), there was a small, non-significant numerical improvement following methadone administration (MD = 3.94 Co-VAS score, d</w:t>
      </w:r>
      <w:r w:rsidRPr="003D2471">
        <w:rPr>
          <w:rFonts w:ascii="Arial"/>
          <w:color w:val="000000" w:themeColor="text1"/>
          <w:sz w:val="22"/>
        </w:rPr>
        <w:t>’</w:t>
      </w:r>
      <w:r w:rsidRPr="003D2471">
        <w:rPr>
          <w:rFonts w:ascii="Arial"/>
          <w:color w:val="000000" w:themeColor="text1"/>
          <w:sz w:val="22"/>
        </w:rPr>
        <w:t xml:space="preserve"> = 0.26, p = 0.322). Ascending pain facilitation (TSP) remained essentially unchanged (MD = 8.52 AUC Co-VAS score, d</w:t>
      </w:r>
      <w:r w:rsidRPr="003D2471">
        <w:rPr>
          <w:rFonts w:ascii="Arial"/>
          <w:color w:val="000000" w:themeColor="text1"/>
          <w:sz w:val="22"/>
        </w:rPr>
        <w:t>’</w:t>
      </w:r>
      <w:r w:rsidRPr="003D2471">
        <w:rPr>
          <w:rFonts w:ascii="Arial"/>
          <w:color w:val="000000" w:themeColor="text1"/>
          <w:sz w:val="22"/>
        </w:rPr>
        <w:t xml:space="preserve"> = 0.08, p = 0.724). Heat pain threshold showed a small non-significant increase (MD = 0.29 </w:t>
      </w:r>
      <w:r w:rsidRPr="003D2471">
        <w:rPr>
          <w:rFonts w:ascii="Arial"/>
          <w:color w:val="000000" w:themeColor="text1"/>
          <w:sz w:val="22"/>
        </w:rPr>
        <w:t>°</w:t>
      </w:r>
      <w:r w:rsidRPr="003D2471">
        <w:rPr>
          <w:rFonts w:ascii="Arial"/>
          <w:color w:val="000000" w:themeColor="text1"/>
          <w:sz w:val="22"/>
        </w:rPr>
        <w:t>C, d</w:t>
      </w:r>
      <w:r w:rsidRPr="003D2471">
        <w:rPr>
          <w:rFonts w:ascii="Arial"/>
          <w:color w:val="000000" w:themeColor="text1"/>
          <w:sz w:val="22"/>
        </w:rPr>
        <w:t>’</w:t>
      </w:r>
      <w:r w:rsidRPr="003D2471">
        <w:rPr>
          <w:rFonts w:ascii="Arial"/>
          <w:color w:val="000000" w:themeColor="text1"/>
          <w:sz w:val="22"/>
        </w:rPr>
        <w:t xml:space="preserve"> = 0.22, p = 0.313), while heat pain tolerance was virtually unchanged (MD = </w:t>
      </w:r>
      <w:r w:rsidRPr="003D2471">
        <w:rPr>
          <w:rFonts w:ascii="Arial"/>
          <w:color w:val="000000" w:themeColor="text1"/>
          <w:sz w:val="22"/>
        </w:rPr>
        <w:t>−</w:t>
      </w:r>
      <w:r w:rsidRPr="003D2471">
        <w:rPr>
          <w:rFonts w:ascii="Arial"/>
          <w:color w:val="000000" w:themeColor="text1"/>
          <w:sz w:val="22"/>
        </w:rPr>
        <w:t xml:space="preserve">0.04 </w:t>
      </w:r>
      <w:r w:rsidRPr="003D2471">
        <w:rPr>
          <w:rFonts w:ascii="Arial"/>
          <w:color w:val="000000" w:themeColor="text1"/>
          <w:sz w:val="22"/>
        </w:rPr>
        <w:t>°</w:t>
      </w:r>
      <w:r w:rsidRPr="003D2471">
        <w:rPr>
          <w:rFonts w:ascii="Arial"/>
          <w:color w:val="000000" w:themeColor="text1"/>
          <w:sz w:val="22"/>
        </w:rPr>
        <w:t>C, d</w:t>
      </w:r>
      <w:r w:rsidRPr="003D2471">
        <w:rPr>
          <w:rFonts w:ascii="Arial"/>
          <w:color w:val="000000" w:themeColor="text1"/>
          <w:sz w:val="22"/>
        </w:rPr>
        <w:t>’</w:t>
      </w:r>
      <w:r w:rsidRPr="003D2471">
        <w:rPr>
          <w:rFonts w:ascii="Arial"/>
          <w:color w:val="000000" w:themeColor="text1"/>
          <w:sz w:val="22"/>
        </w:rPr>
        <w:t xml:space="preserve"> = </w:t>
      </w:r>
      <w:r w:rsidRPr="003D2471">
        <w:rPr>
          <w:rFonts w:ascii="Arial"/>
          <w:color w:val="000000" w:themeColor="text1"/>
          <w:sz w:val="22"/>
        </w:rPr>
        <w:t>−</w:t>
      </w:r>
      <w:r w:rsidRPr="003D2471">
        <w:rPr>
          <w:rFonts w:ascii="Arial"/>
          <w:color w:val="000000" w:themeColor="text1"/>
          <w:sz w:val="22"/>
        </w:rPr>
        <w:t>0.04, p = 0.862). These findings indicate that methadone administration, at the doses and timing used in this protocol, did not significantly modulate experimental pain sensitivity in the placebo condition.</w:t>
      </w:r>
    </w:p>
    <w:p w14:paraId="315F5DC6" w14:textId="6C230827" w:rsidR="00F9143D" w:rsidRPr="003D2471" w:rsidRDefault="00F9143D" w:rsidP="00F9143D">
      <w:pPr>
        <w:spacing w:after="120"/>
        <w:rPr>
          <w:color w:val="000000" w:themeColor="text1"/>
        </w:rPr>
      </w:pPr>
      <w:r w:rsidRPr="003D2471">
        <w:rPr>
          <w:rFonts w:ascii="Arial"/>
          <w:b/>
          <w:color w:val="000000" w:themeColor="text1"/>
          <w:sz w:val="22"/>
        </w:rPr>
        <w:t xml:space="preserve">Table S5. </w:t>
      </w:r>
      <w:r w:rsidRPr="003D2471">
        <w:rPr>
          <w:rFonts w:ascii="Arial"/>
          <w:color w:val="000000" w:themeColor="text1"/>
          <w:sz w:val="22"/>
        </w:rPr>
        <w:t>Effect of Methadone Administration on QST Outcomes (Placebo Condition)</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55"/>
        <w:gridCol w:w="1984"/>
        <w:gridCol w:w="2004"/>
        <w:gridCol w:w="449"/>
      </w:tblGrid>
      <w:tr w:rsidR="003D2471" w:rsidRPr="003D2471" w14:paraId="41BC318C" w14:textId="77777777" w:rsidTr="00F9143D">
        <w:trPr>
          <w:tblHeader/>
        </w:trPr>
        <w:tc>
          <w:tcPr>
            <w:tcW w:w="0" w:type="auto"/>
            <w:vAlign w:val="center"/>
          </w:tcPr>
          <w:p w14:paraId="329D49E6"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b/>
                <w:color w:val="000000" w:themeColor="text1"/>
                <w:sz w:val="22"/>
                <w:szCs w:val="22"/>
              </w:rPr>
              <w:t>QST Outcome</w:t>
            </w:r>
          </w:p>
        </w:tc>
        <w:tc>
          <w:tcPr>
            <w:tcW w:w="0" w:type="auto"/>
            <w:vAlign w:val="center"/>
          </w:tcPr>
          <w:p w14:paraId="5728D5A5"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b/>
                <w:color w:val="000000" w:themeColor="text1"/>
                <w:sz w:val="22"/>
                <w:szCs w:val="22"/>
              </w:rPr>
              <w:t>MD [95% CI]</w:t>
            </w:r>
          </w:p>
        </w:tc>
        <w:tc>
          <w:tcPr>
            <w:tcW w:w="0" w:type="auto"/>
            <w:vAlign w:val="center"/>
          </w:tcPr>
          <w:p w14:paraId="5498F3A8"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b/>
                <w:color w:val="000000" w:themeColor="text1"/>
                <w:sz w:val="22"/>
                <w:szCs w:val="22"/>
              </w:rPr>
              <w:t>Cohen's d [95% CI]</w:t>
            </w:r>
          </w:p>
        </w:tc>
        <w:tc>
          <w:tcPr>
            <w:tcW w:w="0" w:type="auto"/>
            <w:vAlign w:val="center"/>
          </w:tcPr>
          <w:p w14:paraId="0AC85046"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b/>
                <w:i/>
                <w:color w:val="000000" w:themeColor="text1"/>
                <w:sz w:val="22"/>
                <w:szCs w:val="22"/>
              </w:rPr>
              <w:t>p</w:t>
            </w:r>
          </w:p>
        </w:tc>
      </w:tr>
      <w:tr w:rsidR="003D2471" w:rsidRPr="003D2471" w14:paraId="041AD81F" w14:textId="77777777" w:rsidTr="00F9143D">
        <w:tc>
          <w:tcPr>
            <w:tcW w:w="0" w:type="auto"/>
            <w:vAlign w:val="center"/>
          </w:tcPr>
          <w:p w14:paraId="6BC59076"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CPM (Co-VAS score)</w:t>
            </w:r>
          </w:p>
        </w:tc>
        <w:tc>
          <w:tcPr>
            <w:tcW w:w="0" w:type="auto"/>
            <w:vAlign w:val="center"/>
          </w:tcPr>
          <w:p w14:paraId="1543FF72"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3.94 [−4.26, 12.13]</w:t>
            </w:r>
          </w:p>
        </w:tc>
        <w:tc>
          <w:tcPr>
            <w:tcW w:w="0" w:type="auto"/>
            <w:vAlign w:val="center"/>
          </w:tcPr>
          <w:p w14:paraId="6CAB8690"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0.26 [−0.25, 0.75]</w:t>
            </w:r>
          </w:p>
        </w:tc>
        <w:tc>
          <w:tcPr>
            <w:tcW w:w="0" w:type="auto"/>
            <w:vAlign w:val="center"/>
          </w:tcPr>
          <w:p w14:paraId="0B562D77"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.322</w:t>
            </w:r>
          </w:p>
        </w:tc>
      </w:tr>
      <w:tr w:rsidR="003D2471" w:rsidRPr="003D2471" w14:paraId="12E4618D" w14:textId="77777777" w:rsidTr="00F9143D">
        <w:tc>
          <w:tcPr>
            <w:tcW w:w="0" w:type="auto"/>
            <w:vAlign w:val="center"/>
          </w:tcPr>
          <w:p w14:paraId="14E1BEFB"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TSP (AUC Co-VAS score)</w:t>
            </w:r>
          </w:p>
        </w:tc>
        <w:tc>
          <w:tcPr>
            <w:tcW w:w="0" w:type="auto"/>
            <w:vAlign w:val="center"/>
          </w:tcPr>
          <w:p w14:paraId="336872FC"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8.52 [−41.56, 58.59]</w:t>
            </w:r>
          </w:p>
        </w:tc>
        <w:tc>
          <w:tcPr>
            <w:tcW w:w="0" w:type="auto"/>
            <w:vAlign w:val="center"/>
          </w:tcPr>
          <w:p w14:paraId="490FF22E"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0.08 [−0.38, 0.55]</w:t>
            </w:r>
          </w:p>
        </w:tc>
        <w:tc>
          <w:tcPr>
            <w:tcW w:w="0" w:type="auto"/>
            <w:vAlign w:val="center"/>
          </w:tcPr>
          <w:p w14:paraId="03CAB73D"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.724</w:t>
            </w:r>
          </w:p>
        </w:tc>
      </w:tr>
      <w:tr w:rsidR="003D2471" w:rsidRPr="003D2471" w14:paraId="5CB42C4A" w14:textId="77777777" w:rsidTr="00F9143D">
        <w:tc>
          <w:tcPr>
            <w:tcW w:w="0" w:type="auto"/>
            <w:vAlign w:val="center"/>
          </w:tcPr>
          <w:p w14:paraId="5E7F0F26"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Heat Pain Threshold (°C)</w:t>
            </w:r>
          </w:p>
        </w:tc>
        <w:tc>
          <w:tcPr>
            <w:tcW w:w="0" w:type="auto"/>
            <w:vAlign w:val="center"/>
          </w:tcPr>
          <w:p w14:paraId="4B751619"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0.29 [−0.30, 0.89]</w:t>
            </w:r>
          </w:p>
        </w:tc>
        <w:tc>
          <w:tcPr>
            <w:tcW w:w="0" w:type="auto"/>
            <w:vAlign w:val="center"/>
          </w:tcPr>
          <w:p w14:paraId="65DD8922"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0.22 [−0.21, 0.64]</w:t>
            </w:r>
          </w:p>
        </w:tc>
        <w:tc>
          <w:tcPr>
            <w:tcW w:w="0" w:type="auto"/>
            <w:vAlign w:val="center"/>
          </w:tcPr>
          <w:p w14:paraId="7EE2C533"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.313</w:t>
            </w:r>
          </w:p>
        </w:tc>
      </w:tr>
      <w:tr w:rsidR="003D2471" w:rsidRPr="003D2471" w14:paraId="6C0CF048" w14:textId="77777777" w:rsidTr="00F9143D">
        <w:tc>
          <w:tcPr>
            <w:tcW w:w="0" w:type="auto"/>
            <w:vAlign w:val="center"/>
          </w:tcPr>
          <w:p w14:paraId="0713E8FB"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Heat Pain Tolerance (°C)</w:t>
            </w:r>
          </w:p>
        </w:tc>
        <w:tc>
          <w:tcPr>
            <w:tcW w:w="0" w:type="auto"/>
            <w:vAlign w:val="center"/>
          </w:tcPr>
          <w:p w14:paraId="21DD8D59"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−0.04 [−0.48, 0.41]</w:t>
            </w:r>
          </w:p>
        </w:tc>
        <w:tc>
          <w:tcPr>
            <w:tcW w:w="0" w:type="auto"/>
            <w:vAlign w:val="center"/>
          </w:tcPr>
          <w:p w14:paraId="4B845098"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−0.04 [−0.45, 0.38]</w:t>
            </w:r>
          </w:p>
        </w:tc>
        <w:tc>
          <w:tcPr>
            <w:tcW w:w="0" w:type="auto"/>
            <w:vAlign w:val="center"/>
          </w:tcPr>
          <w:p w14:paraId="2E14B914" w14:textId="77777777" w:rsidR="00F9143D" w:rsidRPr="003D2471" w:rsidRDefault="00F9143D" w:rsidP="00F9143D">
            <w:pPr>
              <w:jc w:val="center"/>
              <w:rPr>
                <w:rFonts w:ascii="Arial" w:hAnsi="Arial" w:cs="Arial"/>
                <w:color w:val="000000" w:themeColor="text1"/>
                <w:sz w:val="22"/>
                <w:szCs w:val="22"/>
              </w:rPr>
            </w:pPr>
            <w:r w:rsidRPr="003D2471">
              <w:rPr>
                <w:rFonts w:ascii="Arial" w:hAnsi="Arial" w:cs="Arial"/>
                <w:color w:val="000000" w:themeColor="text1"/>
                <w:sz w:val="22"/>
                <w:szCs w:val="22"/>
              </w:rPr>
              <w:t>.862</w:t>
            </w:r>
          </w:p>
        </w:tc>
      </w:tr>
    </w:tbl>
    <w:p w14:paraId="476AE6F4" w14:textId="77777777" w:rsidR="00F9143D" w:rsidRPr="003D2471" w:rsidRDefault="00F9143D" w:rsidP="00F9143D">
      <w:pPr>
        <w:spacing w:before="80"/>
        <w:rPr>
          <w:i/>
          <w:iCs/>
          <w:color w:val="000000" w:themeColor="text1"/>
        </w:rPr>
      </w:pPr>
      <w:r w:rsidRPr="003D2471">
        <w:rPr>
          <w:rFonts w:ascii="Arial"/>
          <w:i/>
          <w:iCs/>
          <w:color w:val="000000" w:themeColor="text1"/>
          <w:sz w:val="18"/>
        </w:rPr>
        <w:t>Within-subject paired comparisons of raw QST values obtained before (Pre-OAT) and after (Post-OAT) methadone administration in the placebo condition. Pre-OAT timepoints: t = 120 min for CPM and TSP; t = 180 min for Threshold and Tolerance. Post-OAT timepoint: t = 240 min for all outcomes. MD = mean difference (Post-OAT minus Pre-OAT); CI = confidence interval; CPM = conditioned pain modulation; TSP = temporal summation of pain; Co-VAS = computerized visual analog scale; AUC = area under the curve.</w:t>
      </w:r>
    </w:p>
    <w:p w14:paraId="67E4DA02" w14:textId="77777777" w:rsidR="00F9143D" w:rsidRPr="003D2471" w:rsidRDefault="00F9143D" w:rsidP="00AB1F18">
      <w:pPr>
        <w:pStyle w:val="whitespace-normal"/>
        <w:rPr>
          <w:rFonts w:ascii="Arial" w:hAnsi="Arial" w:cs="Arial"/>
          <w:color w:val="000000" w:themeColor="text1"/>
          <w:sz w:val="22"/>
          <w:szCs w:val="22"/>
        </w:rPr>
      </w:pPr>
    </w:p>
    <w:sectPr w:rsidR="00F9143D" w:rsidRPr="003D24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34A03BF0"/>
    <w:lvl w:ilvl="0">
      <w:start w:val="1"/>
      <w:numFmt w:val="decimal"/>
      <w:pStyle w:val="ListNumber"/>
      <w:lvlText w:val="%1."/>
      <w:lvlJc w:val="left"/>
      <w:pPr>
        <w:tabs>
          <w:tab w:val="num" w:pos="360"/>
        </w:tabs>
        <w:ind w:left="360" w:hanging="360"/>
      </w:pPr>
    </w:lvl>
  </w:abstractNum>
  <w:abstractNum w:abstractNumId="1" w15:restartNumberingAfterBreak="0">
    <w:nsid w:val="011F325F"/>
    <w:multiLevelType w:val="multilevel"/>
    <w:tmpl w:val="65D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14DC6"/>
    <w:multiLevelType w:val="multilevel"/>
    <w:tmpl w:val="C9E63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32A97"/>
    <w:multiLevelType w:val="multilevel"/>
    <w:tmpl w:val="27D6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F0D36"/>
    <w:multiLevelType w:val="multilevel"/>
    <w:tmpl w:val="E4A2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223DE"/>
    <w:multiLevelType w:val="multilevel"/>
    <w:tmpl w:val="4BF8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D756E"/>
    <w:multiLevelType w:val="multilevel"/>
    <w:tmpl w:val="A1E8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3206E9"/>
    <w:multiLevelType w:val="multilevel"/>
    <w:tmpl w:val="7C5A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E47F44"/>
    <w:multiLevelType w:val="multilevel"/>
    <w:tmpl w:val="5AF4B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476434"/>
    <w:multiLevelType w:val="multilevel"/>
    <w:tmpl w:val="EDCE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825414"/>
    <w:multiLevelType w:val="multilevel"/>
    <w:tmpl w:val="B3623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BC50F5"/>
    <w:multiLevelType w:val="multilevel"/>
    <w:tmpl w:val="0CB60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3567922">
    <w:abstractNumId w:val="0"/>
  </w:num>
  <w:num w:numId="2" w16cid:durableId="921989536">
    <w:abstractNumId w:val="4"/>
  </w:num>
  <w:num w:numId="3" w16cid:durableId="1438018938">
    <w:abstractNumId w:val="9"/>
  </w:num>
  <w:num w:numId="4" w16cid:durableId="1095637352">
    <w:abstractNumId w:val="3"/>
  </w:num>
  <w:num w:numId="5" w16cid:durableId="1994217941">
    <w:abstractNumId w:val="8"/>
  </w:num>
  <w:num w:numId="6" w16cid:durableId="1536382325">
    <w:abstractNumId w:val="1"/>
  </w:num>
  <w:num w:numId="7" w16cid:durableId="764106885">
    <w:abstractNumId w:val="2"/>
  </w:num>
  <w:num w:numId="8" w16cid:durableId="2046369731">
    <w:abstractNumId w:val="7"/>
  </w:num>
  <w:num w:numId="9" w16cid:durableId="1903757850">
    <w:abstractNumId w:val="6"/>
  </w:num>
  <w:num w:numId="10" w16cid:durableId="1048067800">
    <w:abstractNumId w:val="5"/>
  </w:num>
  <w:num w:numId="11" w16cid:durableId="1721439946">
    <w:abstractNumId w:val="11"/>
  </w:num>
  <w:num w:numId="12" w16cid:durableId="19461591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3CA"/>
    <w:rsid w:val="00021B57"/>
    <w:rsid w:val="00030DB3"/>
    <w:rsid w:val="000412CE"/>
    <w:rsid w:val="0005445D"/>
    <w:rsid w:val="00060376"/>
    <w:rsid w:val="00064D67"/>
    <w:rsid w:val="0008334A"/>
    <w:rsid w:val="00090F1F"/>
    <w:rsid w:val="000A3478"/>
    <w:rsid w:val="000B4D7B"/>
    <w:rsid w:val="000E35C1"/>
    <w:rsid w:val="000F09C4"/>
    <w:rsid w:val="000F4AFB"/>
    <w:rsid w:val="00100BAD"/>
    <w:rsid w:val="0014713B"/>
    <w:rsid w:val="00162650"/>
    <w:rsid w:val="001677CF"/>
    <w:rsid w:val="00177097"/>
    <w:rsid w:val="0019627E"/>
    <w:rsid w:val="001C75B3"/>
    <w:rsid w:val="001F6103"/>
    <w:rsid w:val="00200CC2"/>
    <w:rsid w:val="00222BF4"/>
    <w:rsid w:val="0022361B"/>
    <w:rsid w:val="00233A76"/>
    <w:rsid w:val="00246CAB"/>
    <w:rsid w:val="002703D1"/>
    <w:rsid w:val="002724A3"/>
    <w:rsid w:val="00285AE0"/>
    <w:rsid w:val="00293932"/>
    <w:rsid w:val="002A2E50"/>
    <w:rsid w:val="002A4191"/>
    <w:rsid w:val="002A6963"/>
    <w:rsid w:val="002A697D"/>
    <w:rsid w:val="002B5BE6"/>
    <w:rsid w:val="002E3382"/>
    <w:rsid w:val="002F0A41"/>
    <w:rsid w:val="00300170"/>
    <w:rsid w:val="00312FBE"/>
    <w:rsid w:val="00321D34"/>
    <w:rsid w:val="00324D0C"/>
    <w:rsid w:val="00350191"/>
    <w:rsid w:val="003542FE"/>
    <w:rsid w:val="0035734B"/>
    <w:rsid w:val="00380C69"/>
    <w:rsid w:val="003900A8"/>
    <w:rsid w:val="00393ED1"/>
    <w:rsid w:val="003947A9"/>
    <w:rsid w:val="00395B09"/>
    <w:rsid w:val="00396843"/>
    <w:rsid w:val="003A39E7"/>
    <w:rsid w:val="003A5FE5"/>
    <w:rsid w:val="003A6901"/>
    <w:rsid w:val="003D2471"/>
    <w:rsid w:val="003F0B35"/>
    <w:rsid w:val="003F1B01"/>
    <w:rsid w:val="003F5D84"/>
    <w:rsid w:val="00424DBD"/>
    <w:rsid w:val="00430E3A"/>
    <w:rsid w:val="00440FDB"/>
    <w:rsid w:val="004628E3"/>
    <w:rsid w:val="00470C93"/>
    <w:rsid w:val="00472D66"/>
    <w:rsid w:val="00492400"/>
    <w:rsid w:val="004D1371"/>
    <w:rsid w:val="004E74D7"/>
    <w:rsid w:val="004F684D"/>
    <w:rsid w:val="005205AC"/>
    <w:rsid w:val="00544882"/>
    <w:rsid w:val="0057102D"/>
    <w:rsid w:val="00573C9A"/>
    <w:rsid w:val="0058697F"/>
    <w:rsid w:val="005B4BB3"/>
    <w:rsid w:val="005B5DF5"/>
    <w:rsid w:val="005C27CC"/>
    <w:rsid w:val="005F0C8F"/>
    <w:rsid w:val="005F4BCD"/>
    <w:rsid w:val="005F5D39"/>
    <w:rsid w:val="006038C3"/>
    <w:rsid w:val="00611739"/>
    <w:rsid w:val="00613617"/>
    <w:rsid w:val="00620531"/>
    <w:rsid w:val="00622080"/>
    <w:rsid w:val="006529BB"/>
    <w:rsid w:val="00655EF6"/>
    <w:rsid w:val="00670085"/>
    <w:rsid w:val="0069020A"/>
    <w:rsid w:val="006B4C6D"/>
    <w:rsid w:val="006B63CA"/>
    <w:rsid w:val="006D281A"/>
    <w:rsid w:val="006F4B5C"/>
    <w:rsid w:val="00705A88"/>
    <w:rsid w:val="00716104"/>
    <w:rsid w:val="00717E04"/>
    <w:rsid w:val="00736C2E"/>
    <w:rsid w:val="00754B29"/>
    <w:rsid w:val="00785E82"/>
    <w:rsid w:val="007A1367"/>
    <w:rsid w:val="007A1479"/>
    <w:rsid w:val="007A15DF"/>
    <w:rsid w:val="007D6F97"/>
    <w:rsid w:val="007E0079"/>
    <w:rsid w:val="007E2BB6"/>
    <w:rsid w:val="007E37CD"/>
    <w:rsid w:val="0080232E"/>
    <w:rsid w:val="00815CD2"/>
    <w:rsid w:val="008201A6"/>
    <w:rsid w:val="0082282C"/>
    <w:rsid w:val="0082491E"/>
    <w:rsid w:val="00856C61"/>
    <w:rsid w:val="00871E9B"/>
    <w:rsid w:val="00873596"/>
    <w:rsid w:val="008A7DAC"/>
    <w:rsid w:val="008C2E23"/>
    <w:rsid w:val="008D74A2"/>
    <w:rsid w:val="008E321F"/>
    <w:rsid w:val="00907C3A"/>
    <w:rsid w:val="009138DA"/>
    <w:rsid w:val="00914BF5"/>
    <w:rsid w:val="00960EEF"/>
    <w:rsid w:val="00970922"/>
    <w:rsid w:val="0097302E"/>
    <w:rsid w:val="00973889"/>
    <w:rsid w:val="00982730"/>
    <w:rsid w:val="0099100A"/>
    <w:rsid w:val="009938B4"/>
    <w:rsid w:val="00997923"/>
    <w:rsid w:val="009B4CF5"/>
    <w:rsid w:val="009C28CD"/>
    <w:rsid w:val="009E0252"/>
    <w:rsid w:val="00A115C9"/>
    <w:rsid w:val="00A11970"/>
    <w:rsid w:val="00A13DF1"/>
    <w:rsid w:val="00A4676A"/>
    <w:rsid w:val="00A8356D"/>
    <w:rsid w:val="00A91C1A"/>
    <w:rsid w:val="00A95246"/>
    <w:rsid w:val="00A96641"/>
    <w:rsid w:val="00AB1868"/>
    <w:rsid w:val="00AB1F18"/>
    <w:rsid w:val="00AD2835"/>
    <w:rsid w:val="00AD6628"/>
    <w:rsid w:val="00B10A6A"/>
    <w:rsid w:val="00B141FA"/>
    <w:rsid w:val="00B231A6"/>
    <w:rsid w:val="00B32690"/>
    <w:rsid w:val="00B32CFB"/>
    <w:rsid w:val="00B6300E"/>
    <w:rsid w:val="00B736B9"/>
    <w:rsid w:val="00B83545"/>
    <w:rsid w:val="00B9547E"/>
    <w:rsid w:val="00B974B0"/>
    <w:rsid w:val="00BA1530"/>
    <w:rsid w:val="00BA20FF"/>
    <w:rsid w:val="00BA338B"/>
    <w:rsid w:val="00BC3C3D"/>
    <w:rsid w:val="00BE44D1"/>
    <w:rsid w:val="00BE4F72"/>
    <w:rsid w:val="00C13E29"/>
    <w:rsid w:val="00C15CE1"/>
    <w:rsid w:val="00C21120"/>
    <w:rsid w:val="00C26580"/>
    <w:rsid w:val="00C2665D"/>
    <w:rsid w:val="00C26FA3"/>
    <w:rsid w:val="00C3490D"/>
    <w:rsid w:val="00C90AD3"/>
    <w:rsid w:val="00C93AE7"/>
    <w:rsid w:val="00CA361C"/>
    <w:rsid w:val="00CC2C76"/>
    <w:rsid w:val="00CD414E"/>
    <w:rsid w:val="00CE06F9"/>
    <w:rsid w:val="00CE6BF2"/>
    <w:rsid w:val="00D01A30"/>
    <w:rsid w:val="00D1192F"/>
    <w:rsid w:val="00D22FDD"/>
    <w:rsid w:val="00D32FE3"/>
    <w:rsid w:val="00D40F9B"/>
    <w:rsid w:val="00D60406"/>
    <w:rsid w:val="00D74627"/>
    <w:rsid w:val="00D9327B"/>
    <w:rsid w:val="00D96E5D"/>
    <w:rsid w:val="00DF4581"/>
    <w:rsid w:val="00E132F6"/>
    <w:rsid w:val="00E16BCF"/>
    <w:rsid w:val="00E23562"/>
    <w:rsid w:val="00E54479"/>
    <w:rsid w:val="00E56E9C"/>
    <w:rsid w:val="00E57970"/>
    <w:rsid w:val="00E6383F"/>
    <w:rsid w:val="00E70334"/>
    <w:rsid w:val="00E72443"/>
    <w:rsid w:val="00E94AAC"/>
    <w:rsid w:val="00E954F1"/>
    <w:rsid w:val="00EA38D2"/>
    <w:rsid w:val="00EC2F58"/>
    <w:rsid w:val="00ED55D7"/>
    <w:rsid w:val="00EE0897"/>
    <w:rsid w:val="00F01C7C"/>
    <w:rsid w:val="00F073FC"/>
    <w:rsid w:val="00F10481"/>
    <w:rsid w:val="00F17008"/>
    <w:rsid w:val="00F21306"/>
    <w:rsid w:val="00F248AF"/>
    <w:rsid w:val="00F56018"/>
    <w:rsid w:val="00F67A37"/>
    <w:rsid w:val="00F900DC"/>
    <w:rsid w:val="00F9143D"/>
    <w:rsid w:val="00FC26A8"/>
    <w:rsid w:val="00FE221F"/>
    <w:rsid w:val="00FE4ED4"/>
    <w:rsid w:val="00FE5BB2"/>
    <w:rsid w:val="00FF7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F32CF"/>
  <w14:defaultImageDpi w14:val="32767"/>
  <w15:chartTrackingRefBased/>
  <w15:docId w15:val="{57418E92-5945-45E1-A371-C2398A0A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CD2"/>
  </w:style>
  <w:style w:type="paragraph" w:styleId="Heading1">
    <w:name w:val="heading 1"/>
    <w:basedOn w:val="Normal"/>
    <w:next w:val="Normal"/>
    <w:link w:val="Heading1Char"/>
    <w:uiPriority w:val="9"/>
    <w:qFormat/>
    <w:rsid w:val="006B63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3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B63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3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3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3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3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3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3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3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3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B63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3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3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3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3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3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3CA"/>
    <w:rPr>
      <w:rFonts w:eastAsiaTheme="majorEastAsia" w:cstheme="majorBidi"/>
      <w:color w:val="272727" w:themeColor="text1" w:themeTint="D8"/>
    </w:rPr>
  </w:style>
  <w:style w:type="paragraph" w:styleId="Title">
    <w:name w:val="Title"/>
    <w:basedOn w:val="Normal"/>
    <w:next w:val="Normal"/>
    <w:link w:val="TitleChar"/>
    <w:uiPriority w:val="10"/>
    <w:qFormat/>
    <w:rsid w:val="006B63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3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3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3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3CA"/>
    <w:pPr>
      <w:spacing w:before="160"/>
      <w:jc w:val="center"/>
    </w:pPr>
    <w:rPr>
      <w:i/>
      <w:iCs/>
      <w:color w:val="404040" w:themeColor="text1" w:themeTint="BF"/>
    </w:rPr>
  </w:style>
  <w:style w:type="character" w:customStyle="1" w:styleId="QuoteChar">
    <w:name w:val="Quote Char"/>
    <w:basedOn w:val="DefaultParagraphFont"/>
    <w:link w:val="Quote"/>
    <w:uiPriority w:val="29"/>
    <w:rsid w:val="006B63CA"/>
    <w:rPr>
      <w:i/>
      <w:iCs/>
      <w:color w:val="404040" w:themeColor="text1" w:themeTint="BF"/>
    </w:rPr>
  </w:style>
  <w:style w:type="paragraph" w:styleId="ListParagraph">
    <w:name w:val="List Paragraph"/>
    <w:basedOn w:val="Normal"/>
    <w:uiPriority w:val="34"/>
    <w:qFormat/>
    <w:rsid w:val="006B63CA"/>
    <w:pPr>
      <w:ind w:left="720"/>
      <w:contextualSpacing/>
    </w:pPr>
  </w:style>
  <w:style w:type="character" w:styleId="IntenseEmphasis">
    <w:name w:val="Intense Emphasis"/>
    <w:basedOn w:val="DefaultParagraphFont"/>
    <w:uiPriority w:val="21"/>
    <w:qFormat/>
    <w:rsid w:val="006B63CA"/>
    <w:rPr>
      <w:i/>
      <w:iCs/>
      <w:color w:val="0F4761" w:themeColor="accent1" w:themeShade="BF"/>
    </w:rPr>
  </w:style>
  <w:style w:type="paragraph" w:styleId="IntenseQuote">
    <w:name w:val="Intense Quote"/>
    <w:basedOn w:val="Normal"/>
    <w:next w:val="Normal"/>
    <w:link w:val="IntenseQuoteChar"/>
    <w:uiPriority w:val="30"/>
    <w:qFormat/>
    <w:rsid w:val="006B63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3CA"/>
    <w:rPr>
      <w:i/>
      <w:iCs/>
      <w:color w:val="0F4761" w:themeColor="accent1" w:themeShade="BF"/>
    </w:rPr>
  </w:style>
  <w:style w:type="character" w:styleId="IntenseReference">
    <w:name w:val="Intense Reference"/>
    <w:basedOn w:val="DefaultParagraphFont"/>
    <w:uiPriority w:val="32"/>
    <w:qFormat/>
    <w:rsid w:val="006B63CA"/>
    <w:rPr>
      <w:b/>
      <w:bCs/>
      <w:smallCaps/>
      <w:color w:val="0F4761" w:themeColor="accent1" w:themeShade="BF"/>
      <w:spacing w:val="5"/>
    </w:rPr>
  </w:style>
  <w:style w:type="paragraph" w:styleId="NormalWeb">
    <w:name w:val="Normal (Web)"/>
    <w:basedOn w:val="Normal"/>
    <w:uiPriority w:val="99"/>
    <w:semiHidden/>
    <w:unhideWhenUsed/>
    <w:rsid w:val="0097302E"/>
    <w:rPr>
      <w:rFonts w:ascii="Times New Roman" w:hAnsi="Times New Roman" w:cs="Times New Roman"/>
    </w:rPr>
  </w:style>
  <w:style w:type="paragraph" w:styleId="ListNumber">
    <w:name w:val="List Number"/>
    <w:basedOn w:val="Normal"/>
    <w:uiPriority w:val="99"/>
    <w:unhideWhenUsed/>
    <w:rsid w:val="00B974B0"/>
    <w:pPr>
      <w:numPr>
        <w:numId w:val="1"/>
      </w:numPr>
      <w:tabs>
        <w:tab w:val="clear" w:pos="360"/>
      </w:tabs>
      <w:spacing w:after="200" w:line="276" w:lineRule="auto"/>
      <w:ind w:left="0" w:firstLine="0"/>
      <w:contextualSpacing/>
    </w:pPr>
    <w:rPr>
      <w:rFonts w:eastAsiaTheme="minorEastAsia"/>
      <w:kern w:val="0"/>
      <w:sz w:val="22"/>
      <w:szCs w:val="22"/>
      <w14:ligatures w14:val="none"/>
    </w:rPr>
  </w:style>
  <w:style w:type="paragraph" w:customStyle="1" w:styleId="whitespace-normal">
    <w:name w:val="whitespace-normal"/>
    <w:basedOn w:val="Normal"/>
    <w:rsid w:val="00871E9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71E9B"/>
    <w:rPr>
      <w:b/>
      <w:bCs/>
    </w:rPr>
  </w:style>
  <w:style w:type="character" w:styleId="CommentReference">
    <w:name w:val="annotation reference"/>
    <w:basedOn w:val="DefaultParagraphFont"/>
    <w:uiPriority w:val="99"/>
    <w:semiHidden/>
    <w:unhideWhenUsed/>
    <w:rsid w:val="00873596"/>
    <w:rPr>
      <w:sz w:val="16"/>
      <w:szCs w:val="16"/>
    </w:rPr>
  </w:style>
  <w:style w:type="paragraph" w:styleId="CommentText">
    <w:name w:val="annotation text"/>
    <w:basedOn w:val="Normal"/>
    <w:link w:val="CommentTextChar"/>
    <w:uiPriority w:val="99"/>
    <w:unhideWhenUsed/>
    <w:rsid w:val="00873596"/>
    <w:pPr>
      <w:spacing w:line="240" w:lineRule="auto"/>
    </w:pPr>
    <w:rPr>
      <w:sz w:val="20"/>
      <w:szCs w:val="20"/>
    </w:rPr>
  </w:style>
  <w:style w:type="character" w:customStyle="1" w:styleId="CommentTextChar">
    <w:name w:val="Comment Text Char"/>
    <w:basedOn w:val="DefaultParagraphFont"/>
    <w:link w:val="CommentText"/>
    <w:uiPriority w:val="99"/>
    <w:rsid w:val="00873596"/>
    <w:rPr>
      <w:sz w:val="20"/>
      <w:szCs w:val="20"/>
    </w:rPr>
  </w:style>
  <w:style w:type="paragraph" w:styleId="CommentSubject">
    <w:name w:val="annotation subject"/>
    <w:basedOn w:val="CommentText"/>
    <w:next w:val="CommentText"/>
    <w:link w:val="CommentSubjectChar"/>
    <w:uiPriority w:val="99"/>
    <w:semiHidden/>
    <w:unhideWhenUsed/>
    <w:rsid w:val="00873596"/>
    <w:rPr>
      <w:b/>
      <w:bCs/>
    </w:rPr>
  </w:style>
  <w:style w:type="character" w:customStyle="1" w:styleId="CommentSubjectChar">
    <w:name w:val="Comment Subject Char"/>
    <w:basedOn w:val="CommentTextChar"/>
    <w:link w:val="CommentSubject"/>
    <w:uiPriority w:val="99"/>
    <w:semiHidden/>
    <w:rsid w:val="00873596"/>
    <w:rPr>
      <w:b/>
      <w:bCs/>
      <w:sz w:val="20"/>
      <w:szCs w:val="20"/>
    </w:rPr>
  </w:style>
  <w:style w:type="paragraph" w:customStyle="1" w:styleId="TableCaption">
    <w:name w:val="Table Caption"/>
    <w:basedOn w:val="Normal"/>
    <w:qFormat/>
    <w:rsid w:val="00100BAD"/>
    <w:pPr>
      <w:spacing w:after="0" w:line="240" w:lineRule="auto"/>
      <w:jc w:val="center"/>
    </w:pPr>
    <w:rPr>
      <w:rFonts w:eastAsiaTheme="minorEastAsia"/>
      <w:b/>
      <w:i/>
      <w:kern w:val="0"/>
      <w14:ligatures w14:val="none"/>
    </w:rPr>
  </w:style>
  <w:style w:type="paragraph" w:styleId="Revision">
    <w:name w:val="Revision"/>
    <w:hidden/>
    <w:uiPriority w:val="99"/>
    <w:semiHidden/>
    <w:rsid w:val="001F61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347733">
      <w:bodyDiv w:val="1"/>
      <w:marLeft w:val="0"/>
      <w:marRight w:val="0"/>
      <w:marTop w:val="0"/>
      <w:marBottom w:val="0"/>
      <w:divBdr>
        <w:top w:val="none" w:sz="0" w:space="0" w:color="auto"/>
        <w:left w:val="none" w:sz="0" w:space="0" w:color="auto"/>
        <w:bottom w:val="none" w:sz="0" w:space="0" w:color="auto"/>
        <w:right w:val="none" w:sz="0" w:space="0" w:color="auto"/>
      </w:divBdr>
    </w:div>
    <w:div w:id="167722608">
      <w:bodyDiv w:val="1"/>
      <w:marLeft w:val="0"/>
      <w:marRight w:val="0"/>
      <w:marTop w:val="0"/>
      <w:marBottom w:val="0"/>
      <w:divBdr>
        <w:top w:val="none" w:sz="0" w:space="0" w:color="auto"/>
        <w:left w:val="none" w:sz="0" w:space="0" w:color="auto"/>
        <w:bottom w:val="none" w:sz="0" w:space="0" w:color="auto"/>
        <w:right w:val="none" w:sz="0" w:space="0" w:color="auto"/>
      </w:divBdr>
    </w:div>
    <w:div w:id="272639073">
      <w:bodyDiv w:val="1"/>
      <w:marLeft w:val="0"/>
      <w:marRight w:val="0"/>
      <w:marTop w:val="0"/>
      <w:marBottom w:val="0"/>
      <w:divBdr>
        <w:top w:val="none" w:sz="0" w:space="0" w:color="auto"/>
        <w:left w:val="none" w:sz="0" w:space="0" w:color="auto"/>
        <w:bottom w:val="none" w:sz="0" w:space="0" w:color="auto"/>
        <w:right w:val="none" w:sz="0" w:space="0" w:color="auto"/>
      </w:divBdr>
    </w:div>
    <w:div w:id="446394268">
      <w:bodyDiv w:val="1"/>
      <w:marLeft w:val="0"/>
      <w:marRight w:val="0"/>
      <w:marTop w:val="0"/>
      <w:marBottom w:val="0"/>
      <w:divBdr>
        <w:top w:val="none" w:sz="0" w:space="0" w:color="auto"/>
        <w:left w:val="none" w:sz="0" w:space="0" w:color="auto"/>
        <w:bottom w:val="none" w:sz="0" w:space="0" w:color="auto"/>
        <w:right w:val="none" w:sz="0" w:space="0" w:color="auto"/>
      </w:divBdr>
    </w:div>
    <w:div w:id="153184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42</TotalTime>
  <Pages>19</Pages>
  <Words>4560</Words>
  <Characters>25998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 Gabriel</dc:creator>
  <cp:keywords/>
  <dc:description/>
  <cp:lastModifiedBy>De Aquino, Joao</cp:lastModifiedBy>
  <cp:revision>57</cp:revision>
  <dcterms:created xsi:type="dcterms:W3CDTF">2026-01-22T20:45:00Z</dcterms:created>
  <dcterms:modified xsi:type="dcterms:W3CDTF">2026-03-30T17:39:00Z</dcterms:modified>
</cp:coreProperties>
</file>