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699226" w14:textId="1A4F876B" w:rsidR="00D5497C" w:rsidRPr="00FC459C" w:rsidRDefault="009B3D2E">
      <w:pPr>
        <w:rPr>
          <w:rFonts w:cs="Times New Roman"/>
          <w:b/>
          <w:bCs/>
        </w:rPr>
      </w:pPr>
      <w:r w:rsidRPr="00FC459C">
        <w:rPr>
          <w:rFonts w:cs="Times New Roman"/>
          <w:b/>
          <w:bCs/>
        </w:rPr>
        <w:t xml:space="preserve">Supplementary Materials </w:t>
      </w:r>
    </w:p>
    <w:p w14:paraId="52D8D89F" w14:textId="14B34103" w:rsidR="00FC459C" w:rsidRPr="00FC459C" w:rsidRDefault="00FC459C" w:rsidP="00FC459C">
      <w:pPr>
        <w:pStyle w:val="ListParagraph"/>
        <w:numPr>
          <w:ilvl w:val="0"/>
          <w:numId w:val="1"/>
        </w:numPr>
        <w:rPr>
          <w:rFonts w:cs="Times New Roman"/>
        </w:rPr>
      </w:pPr>
      <w:r w:rsidRPr="00FC459C">
        <w:rPr>
          <w:rFonts w:cs="Times New Roman"/>
        </w:rPr>
        <w:t xml:space="preserve">MRS Quality Control </w:t>
      </w:r>
    </w:p>
    <w:p w14:paraId="6D80D2C2" w14:textId="43ACC612" w:rsidR="004C254C" w:rsidRPr="00FC459C" w:rsidRDefault="004C254C">
      <w:pPr>
        <w:rPr>
          <w:rFonts w:cs="Times New Roman"/>
        </w:rPr>
      </w:pPr>
      <w:r w:rsidRPr="00FC459C">
        <w:rPr>
          <w:rFonts w:cs="Times New Roman"/>
        </w:rPr>
        <w:t>The 3T Tesla MRI scanner underwent a software upgrade between November 2022 and December 2022. To evaluate potential effects on spectral data quality, pre- and post- upgrade scans were performed</w:t>
      </w:r>
      <w:r w:rsidR="00FC459C">
        <w:rPr>
          <w:rFonts w:cs="Times New Roman"/>
        </w:rPr>
        <w:t xml:space="preserve"> on a research assistant using the 32-channel head coil employed in prior study sessions</w:t>
      </w:r>
      <w:r w:rsidRPr="00FC459C">
        <w:rPr>
          <w:rFonts w:cs="Times New Roman"/>
        </w:rPr>
        <w:t xml:space="preserve">. No significant issues were identified in the spectral data following the upgrade. Signal-to-noise ratio (SNR) increased from 18 (pre-upgrade) to 36 (post-upgrade), and full width at half maximum (FWHM) values increased from 4.9 Hz (pre-upgrade) to 5.5 Hz (post-upgrade). Cramer-Rao lower bounds (CRLB) for both glutamate and glutamine dropped following the upgrade, with glutamate going from 6% to 4%, and glutamine going from 26% to 12%, respectively.  The combination of glutamate and glutamine, </w:t>
      </w:r>
      <w:proofErr w:type="spellStart"/>
      <w:r w:rsidRPr="00FC459C">
        <w:rPr>
          <w:rFonts w:cs="Times New Roman"/>
        </w:rPr>
        <w:t>Glx</w:t>
      </w:r>
      <w:proofErr w:type="spellEnd"/>
      <w:r w:rsidRPr="00FC459C">
        <w:rPr>
          <w:rFonts w:cs="Times New Roman"/>
        </w:rPr>
        <w:t xml:space="preserve">, saw CRLB </w:t>
      </w:r>
      <w:r w:rsidR="00FC459C">
        <w:rPr>
          <w:rFonts w:cs="Times New Roman"/>
        </w:rPr>
        <w:t>stay</w:t>
      </w:r>
      <w:r w:rsidRPr="00FC459C">
        <w:rPr>
          <w:rFonts w:cs="Times New Roman"/>
        </w:rPr>
        <w:t xml:space="preserve"> consistent across the upgrade, remaining at 5%. </w:t>
      </w:r>
      <w:r w:rsidR="00FC459C" w:rsidRPr="00FC459C">
        <w:rPr>
          <w:rFonts w:cs="Times New Roman"/>
        </w:rPr>
        <w:t xml:space="preserve">Upon completion of the upgrade, the same 32-channel head coil was used for all subsequent acquisitions to maintain consistency. In total, 26 participants were scanned prior to the upgrade, and 20 were scanned after the upgrade. </w:t>
      </w:r>
    </w:p>
    <w:sectPr w:rsidR="004C254C" w:rsidRPr="00FC45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D178EE"/>
    <w:multiLevelType w:val="hybridMultilevel"/>
    <w:tmpl w:val="6F48A3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46726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D2E"/>
    <w:rsid w:val="004C254C"/>
    <w:rsid w:val="00650F3E"/>
    <w:rsid w:val="009B3D2E"/>
    <w:rsid w:val="00D5497C"/>
    <w:rsid w:val="00FC4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54177C"/>
  <w15:chartTrackingRefBased/>
  <w15:docId w15:val="{186479D8-70F8-4FE3-8C33-474C30728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B3D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3D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3D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3D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3D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3D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3D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3D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3D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3D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3D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3D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3D2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3D2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3D2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3D2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3D2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3D2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B3D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3D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3D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B3D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B3D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B3D2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B3D2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B3D2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3D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3D2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B3D2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464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NSHealth and IWK</Company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Puiras, Esther</dc:creator>
  <cp:keywords/>
  <dc:description/>
  <cp:lastModifiedBy>Puiras, Esther</cp:lastModifiedBy>
  <cp:revision>1</cp:revision>
  <dcterms:created xsi:type="dcterms:W3CDTF">2025-10-28T14:58:00Z</dcterms:created>
  <dcterms:modified xsi:type="dcterms:W3CDTF">2025-10-28T17:15:00Z</dcterms:modified>
</cp:coreProperties>
</file>