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6E345" w14:textId="77777777" w:rsidR="000E4712" w:rsidRPr="003665CF" w:rsidRDefault="000E4712" w:rsidP="000E4712">
      <w:pPr>
        <w:rPr>
          <w:b/>
          <w:bCs/>
        </w:rPr>
      </w:pPr>
      <w:proofErr w:type="spellStart"/>
      <w:r w:rsidRPr="003665CF">
        <w:rPr>
          <w:b/>
          <w:bCs/>
        </w:rPr>
        <w:t>eTable</w:t>
      </w:r>
      <w:proofErr w:type="spellEnd"/>
      <w:r w:rsidRPr="003665CF">
        <w:rPr>
          <w:b/>
          <w:bCs/>
        </w:rPr>
        <w:t xml:space="preserve"> 1. GRADE Evaluation</w:t>
      </w:r>
    </w:p>
    <w:tbl>
      <w:tblPr>
        <w:tblW w:w="8260" w:type="dxa"/>
        <w:tblInd w:w="108" w:type="dxa"/>
        <w:tblLook w:val="04A0" w:firstRow="1" w:lastRow="0" w:firstColumn="1" w:lastColumn="0" w:noHBand="0" w:noVBand="1"/>
      </w:tblPr>
      <w:tblGrid>
        <w:gridCol w:w="2475"/>
        <w:gridCol w:w="746"/>
        <w:gridCol w:w="958"/>
        <w:gridCol w:w="1551"/>
        <w:gridCol w:w="1573"/>
        <w:gridCol w:w="957"/>
      </w:tblGrid>
      <w:tr w:rsidR="000E4712" w:rsidRPr="003665CF" w14:paraId="484EB9D0" w14:textId="77777777" w:rsidTr="008D706A">
        <w:trPr>
          <w:trHeight w:val="336"/>
        </w:trPr>
        <w:tc>
          <w:tcPr>
            <w:tcW w:w="2475" w:type="dxa"/>
            <w:vMerge w:val="restart"/>
            <w:tcBorders>
              <w:top w:val="single" w:sz="4" w:space="0" w:color="auto"/>
              <w:left w:val="nil"/>
              <w:bottom w:val="single" w:sz="4" w:space="0" w:color="000000"/>
              <w:right w:val="nil"/>
            </w:tcBorders>
            <w:shd w:val="clear" w:color="auto" w:fill="auto"/>
            <w:vAlign w:val="center"/>
            <w:hideMark/>
          </w:tcPr>
          <w:p w14:paraId="4749C175"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Outcome</w:t>
            </w:r>
          </w:p>
        </w:tc>
        <w:tc>
          <w:tcPr>
            <w:tcW w:w="746" w:type="dxa"/>
            <w:vMerge w:val="restart"/>
            <w:tcBorders>
              <w:top w:val="single" w:sz="4" w:space="0" w:color="auto"/>
              <w:left w:val="nil"/>
              <w:bottom w:val="single" w:sz="4" w:space="0" w:color="000000"/>
              <w:right w:val="nil"/>
            </w:tcBorders>
            <w:shd w:val="clear" w:color="auto" w:fill="auto"/>
            <w:vAlign w:val="center"/>
            <w:hideMark/>
          </w:tcPr>
          <w:p w14:paraId="738F74DA"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Period (W)</w:t>
            </w:r>
          </w:p>
        </w:tc>
        <w:tc>
          <w:tcPr>
            <w:tcW w:w="958" w:type="dxa"/>
            <w:vMerge w:val="restart"/>
            <w:tcBorders>
              <w:top w:val="single" w:sz="4" w:space="0" w:color="auto"/>
              <w:left w:val="nil"/>
              <w:bottom w:val="single" w:sz="4" w:space="0" w:color="000000"/>
              <w:right w:val="nil"/>
            </w:tcBorders>
            <w:shd w:val="clear" w:color="auto" w:fill="auto"/>
            <w:vAlign w:val="center"/>
            <w:hideMark/>
          </w:tcPr>
          <w:p w14:paraId="6182B6BF"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Starting grade</w:t>
            </w:r>
          </w:p>
        </w:tc>
        <w:tc>
          <w:tcPr>
            <w:tcW w:w="3124" w:type="dxa"/>
            <w:gridSpan w:val="2"/>
            <w:tcBorders>
              <w:top w:val="single" w:sz="4" w:space="0" w:color="auto"/>
              <w:left w:val="nil"/>
              <w:bottom w:val="single" w:sz="4" w:space="0" w:color="auto"/>
              <w:right w:val="nil"/>
            </w:tcBorders>
            <w:shd w:val="clear" w:color="auto" w:fill="auto"/>
            <w:vAlign w:val="center"/>
            <w:hideMark/>
          </w:tcPr>
          <w:p w14:paraId="6EA9986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Reason</w:t>
            </w:r>
          </w:p>
        </w:tc>
        <w:tc>
          <w:tcPr>
            <w:tcW w:w="957" w:type="dxa"/>
            <w:vMerge w:val="restart"/>
            <w:tcBorders>
              <w:top w:val="single" w:sz="4" w:space="0" w:color="auto"/>
              <w:left w:val="nil"/>
              <w:bottom w:val="single" w:sz="4" w:space="0" w:color="000000"/>
              <w:right w:val="nil"/>
            </w:tcBorders>
            <w:shd w:val="clear" w:color="auto" w:fill="auto"/>
            <w:vAlign w:val="center"/>
            <w:hideMark/>
          </w:tcPr>
          <w:p w14:paraId="7B495BA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GRADE</w:t>
            </w:r>
          </w:p>
        </w:tc>
      </w:tr>
      <w:tr w:rsidR="000E4712" w:rsidRPr="003665CF" w14:paraId="0FF2CDE2" w14:textId="77777777" w:rsidTr="008D706A">
        <w:trPr>
          <w:trHeight w:val="276"/>
        </w:trPr>
        <w:tc>
          <w:tcPr>
            <w:tcW w:w="2475" w:type="dxa"/>
            <w:vMerge/>
            <w:tcBorders>
              <w:top w:val="single" w:sz="4" w:space="0" w:color="auto"/>
              <w:left w:val="nil"/>
              <w:bottom w:val="single" w:sz="4" w:space="0" w:color="000000"/>
              <w:right w:val="nil"/>
            </w:tcBorders>
            <w:vAlign w:val="center"/>
            <w:hideMark/>
          </w:tcPr>
          <w:p w14:paraId="0F3B42CC"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vMerge/>
            <w:tcBorders>
              <w:top w:val="single" w:sz="4" w:space="0" w:color="auto"/>
              <w:left w:val="nil"/>
              <w:bottom w:val="single" w:sz="4" w:space="0" w:color="000000"/>
              <w:right w:val="nil"/>
            </w:tcBorders>
            <w:vAlign w:val="center"/>
            <w:hideMark/>
          </w:tcPr>
          <w:p w14:paraId="6F7E449A" w14:textId="77777777" w:rsidR="000E4712" w:rsidRPr="003665CF" w:rsidRDefault="000E4712" w:rsidP="008D706A">
            <w:pPr>
              <w:widowControl/>
              <w:jc w:val="left"/>
              <w:rPr>
                <w:rFonts w:ascii="Calibri" w:eastAsia="等线" w:hAnsi="Calibri" w:cs="Calibri"/>
                <w:color w:val="000000"/>
                <w:kern w:val="0"/>
                <w:sz w:val="20"/>
                <w:szCs w:val="20"/>
              </w:rPr>
            </w:pPr>
          </w:p>
        </w:tc>
        <w:tc>
          <w:tcPr>
            <w:tcW w:w="958" w:type="dxa"/>
            <w:vMerge/>
            <w:tcBorders>
              <w:top w:val="single" w:sz="4" w:space="0" w:color="auto"/>
              <w:left w:val="nil"/>
              <w:bottom w:val="single" w:sz="4" w:space="0" w:color="000000"/>
              <w:right w:val="nil"/>
            </w:tcBorders>
            <w:vAlign w:val="center"/>
            <w:hideMark/>
          </w:tcPr>
          <w:p w14:paraId="5A1AC67F" w14:textId="77777777" w:rsidR="000E4712" w:rsidRPr="003665CF" w:rsidRDefault="000E4712" w:rsidP="008D706A">
            <w:pPr>
              <w:widowControl/>
              <w:jc w:val="left"/>
              <w:rPr>
                <w:rFonts w:ascii="Calibri" w:eastAsia="等线" w:hAnsi="Calibri" w:cs="Calibri"/>
                <w:color w:val="000000"/>
                <w:kern w:val="0"/>
                <w:sz w:val="20"/>
                <w:szCs w:val="20"/>
              </w:rPr>
            </w:pPr>
          </w:p>
        </w:tc>
        <w:tc>
          <w:tcPr>
            <w:tcW w:w="1551" w:type="dxa"/>
            <w:tcBorders>
              <w:top w:val="nil"/>
              <w:left w:val="nil"/>
              <w:bottom w:val="single" w:sz="4" w:space="0" w:color="auto"/>
              <w:right w:val="nil"/>
            </w:tcBorders>
            <w:shd w:val="clear" w:color="auto" w:fill="auto"/>
            <w:vAlign w:val="center"/>
            <w:hideMark/>
          </w:tcPr>
          <w:p w14:paraId="503DEE65"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Upgrading</w:t>
            </w:r>
          </w:p>
        </w:tc>
        <w:tc>
          <w:tcPr>
            <w:tcW w:w="1573" w:type="dxa"/>
            <w:tcBorders>
              <w:top w:val="nil"/>
              <w:left w:val="nil"/>
              <w:bottom w:val="single" w:sz="4" w:space="0" w:color="auto"/>
              <w:right w:val="nil"/>
            </w:tcBorders>
            <w:shd w:val="clear" w:color="auto" w:fill="auto"/>
            <w:vAlign w:val="center"/>
            <w:hideMark/>
          </w:tcPr>
          <w:p w14:paraId="72EF86F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Downgrade</w:t>
            </w:r>
          </w:p>
        </w:tc>
        <w:tc>
          <w:tcPr>
            <w:tcW w:w="957" w:type="dxa"/>
            <w:vMerge/>
            <w:tcBorders>
              <w:top w:val="single" w:sz="4" w:space="0" w:color="auto"/>
              <w:left w:val="nil"/>
              <w:bottom w:val="single" w:sz="4" w:space="0" w:color="000000"/>
              <w:right w:val="nil"/>
            </w:tcBorders>
            <w:vAlign w:val="center"/>
            <w:hideMark/>
          </w:tcPr>
          <w:p w14:paraId="6A1A59C5" w14:textId="77777777" w:rsidR="000E4712" w:rsidRPr="003665CF" w:rsidRDefault="000E4712" w:rsidP="008D706A">
            <w:pPr>
              <w:widowControl/>
              <w:jc w:val="left"/>
              <w:rPr>
                <w:rFonts w:ascii="Calibri" w:eastAsia="等线" w:hAnsi="Calibri" w:cs="Calibri"/>
                <w:color w:val="000000"/>
                <w:kern w:val="0"/>
                <w:sz w:val="20"/>
                <w:szCs w:val="20"/>
              </w:rPr>
            </w:pPr>
          </w:p>
        </w:tc>
      </w:tr>
      <w:tr w:rsidR="000E4712" w:rsidRPr="003665CF" w14:paraId="21F79350" w14:textId="77777777" w:rsidTr="008D706A">
        <w:trPr>
          <w:trHeight w:val="276"/>
        </w:trPr>
        <w:tc>
          <w:tcPr>
            <w:tcW w:w="2475" w:type="dxa"/>
            <w:vMerge w:val="restart"/>
            <w:tcBorders>
              <w:top w:val="nil"/>
              <w:left w:val="nil"/>
              <w:bottom w:val="nil"/>
              <w:right w:val="nil"/>
            </w:tcBorders>
            <w:shd w:val="clear" w:color="000000" w:fill="E7E6E6"/>
            <w:vAlign w:val="center"/>
            <w:hideMark/>
          </w:tcPr>
          <w:p w14:paraId="70D11F7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Responder rate</w:t>
            </w:r>
          </w:p>
        </w:tc>
        <w:tc>
          <w:tcPr>
            <w:tcW w:w="746" w:type="dxa"/>
            <w:tcBorders>
              <w:top w:val="nil"/>
              <w:left w:val="nil"/>
              <w:bottom w:val="nil"/>
              <w:right w:val="nil"/>
            </w:tcBorders>
            <w:shd w:val="clear" w:color="000000" w:fill="E7E6E6"/>
            <w:vAlign w:val="center"/>
            <w:hideMark/>
          </w:tcPr>
          <w:p w14:paraId="21B19D5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12</w:t>
            </w:r>
          </w:p>
        </w:tc>
        <w:tc>
          <w:tcPr>
            <w:tcW w:w="958" w:type="dxa"/>
            <w:tcBorders>
              <w:top w:val="nil"/>
              <w:left w:val="nil"/>
              <w:bottom w:val="nil"/>
              <w:right w:val="nil"/>
            </w:tcBorders>
            <w:shd w:val="clear" w:color="000000" w:fill="E7E6E6"/>
            <w:vAlign w:val="center"/>
            <w:hideMark/>
          </w:tcPr>
          <w:p w14:paraId="35EE86A6"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1AB058F0"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000000" w:fill="E7E6E6"/>
            <w:vAlign w:val="center"/>
            <w:hideMark/>
          </w:tcPr>
          <w:p w14:paraId="7A509F5D"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000000" w:fill="E7E6E6"/>
            <w:vAlign w:val="center"/>
            <w:hideMark/>
          </w:tcPr>
          <w:p w14:paraId="01FEAB20"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M</w:t>
            </w:r>
          </w:p>
        </w:tc>
      </w:tr>
      <w:tr w:rsidR="000E4712" w:rsidRPr="003665CF" w14:paraId="5DDB22E3" w14:textId="77777777" w:rsidTr="008D706A">
        <w:trPr>
          <w:trHeight w:val="276"/>
        </w:trPr>
        <w:tc>
          <w:tcPr>
            <w:tcW w:w="2475" w:type="dxa"/>
            <w:vMerge/>
            <w:tcBorders>
              <w:top w:val="nil"/>
              <w:left w:val="nil"/>
              <w:bottom w:val="nil"/>
              <w:right w:val="nil"/>
            </w:tcBorders>
            <w:vAlign w:val="center"/>
            <w:hideMark/>
          </w:tcPr>
          <w:p w14:paraId="31DB2FBE"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40C36809"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24</w:t>
            </w:r>
          </w:p>
        </w:tc>
        <w:tc>
          <w:tcPr>
            <w:tcW w:w="958" w:type="dxa"/>
            <w:tcBorders>
              <w:top w:val="nil"/>
              <w:left w:val="nil"/>
              <w:bottom w:val="nil"/>
              <w:right w:val="nil"/>
            </w:tcBorders>
            <w:shd w:val="clear" w:color="000000" w:fill="E7E6E6"/>
            <w:vAlign w:val="center"/>
            <w:hideMark/>
          </w:tcPr>
          <w:p w14:paraId="237AFD35"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4050AF39"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000000" w:fill="E7E6E6"/>
            <w:vAlign w:val="center"/>
            <w:hideMark/>
          </w:tcPr>
          <w:p w14:paraId="725EF6C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000000" w:fill="E7E6E6"/>
            <w:vAlign w:val="center"/>
            <w:hideMark/>
          </w:tcPr>
          <w:p w14:paraId="402EC8D3"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M</w:t>
            </w:r>
          </w:p>
        </w:tc>
      </w:tr>
      <w:tr w:rsidR="000E4712" w:rsidRPr="003665CF" w14:paraId="692CC12B" w14:textId="77777777" w:rsidTr="008D706A">
        <w:trPr>
          <w:trHeight w:val="276"/>
        </w:trPr>
        <w:tc>
          <w:tcPr>
            <w:tcW w:w="2475" w:type="dxa"/>
            <w:vMerge/>
            <w:tcBorders>
              <w:top w:val="nil"/>
              <w:left w:val="nil"/>
              <w:bottom w:val="nil"/>
              <w:right w:val="nil"/>
            </w:tcBorders>
            <w:vAlign w:val="center"/>
            <w:hideMark/>
          </w:tcPr>
          <w:p w14:paraId="3AD64F4F"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4AAD524E"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48</w:t>
            </w:r>
          </w:p>
        </w:tc>
        <w:tc>
          <w:tcPr>
            <w:tcW w:w="958" w:type="dxa"/>
            <w:tcBorders>
              <w:top w:val="nil"/>
              <w:left w:val="nil"/>
              <w:bottom w:val="nil"/>
              <w:right w:val="nil"/>
            </w:tcBorders>
            <w:shd w:val="clear" w:color="000000" w:fill="E7E6E6"/>
            <w:vAlign w:val="center"/>
            <w:hideMark/>
          </w:tcPr>
          <w:p w14:paraId="763B548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5D27735F"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000000" w:fill="E7E6E6"/>
            <w:vAlign w:val="center"/>
            <w:hideMark/>
          </w:tcPr>
          <w:p w14:paraId="4D81EEB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Publication bias</w:t>
            </w:r>
          </w:p>
        </w:tc>
        <w:tc>
          <w:tcPr>
            <w:tcW w:w="957" w:type="dxa"/>
            <w:tcBorders>
              <w:top w:val="nil"/>
              <w:left w:val="nil"/>
              <w:bottom w:val="nil"/>
              <w:right w:val="nil"/>
            </w:tcBorders>
            <w:shd w:val="clear" w:color="000000" w:fill="E7E6E6"/>
            <w:vAlign w:val="center"/>
            <w:hideMark/>
          </w:tcPr>
          <w:p w14:paraId="0CB0795E"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3B714F7D" w14:textId="77777777" w:rsidTr="008D706A">
        <w:trPr>
          <w:trHeight w:val="276"/>
        </w:trPr>
        <w:tc>
          <w:tcPr>
            <w:tcW w:w="2475" w:type="dxa"/>
            <w:vMerge/>
            <w:tcBorders>
              <w:top w:val="nil"/>
              <w:left w:val="nil"/>
              <w:bottom w:val="nil"/>
              <w:right w:val="nil"/>
            </w:tcBorders>
            <w:vAlign w:val="center"/>
            <w:hideMark/>
          </w:tcPr>
          <w:p w14:paraId="74FB8D66"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716C68C7"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72</w:t>
            </w:r>
          </w:p>
        </w:tc>
        <w:tc>
          <w:tcPr>
            <w:tcW w:w="958" w:type="dxa"/>
            <w:tcBorders>
              <w:top w:val="nil"/>
              <w:left w:val="nil"/>
              <w:bottom w:val="nil"/>
              <w:right w:val="nil"/>
            </w:tcBorders>
            <w:shd w:val="clear" w:color="000000" w:fill="E7E6E6"/>
            <w:vAlign w:val="center"/>
            <w:hideMark/>
          </w:tcPr>
          <w:p w14:paraId="66FC9BB1"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03EDC9D1"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000000" w:fill="E7E6E6"/>
            <w:vAlign w:val="center"/>
            <w:hideMark/>
          </w:tcPr>
          <w:p w14:paraId="54641BB6"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Publication bias</w:t>
            </w:r>
          </w:p>
        </w:tc>
        <w:tc>
          <w:tcPr>
            <w:tcW w:w="957" w:type="dxa"/>
            <w:tcBorders>
              <w:top w:val="nil"/>
              <w:left w:val="nil"/>
              <w:bottom w:val="nil"/>
              <w:right w:val="nil"/>
            </w:tcBorders>
            <w:shd w:val="clear" w:color="000000" w:fill="E7E6E6"/>
            <w:vAlign w:val="center"/>
            <w:hideMark/>
          </w:tcPr>
          <w:p w14:paraId="1F87E538"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56998B16" w14:textId="77777777" w:rsidTr="008D706A">
        <w:trPr>
          <w:trHeight w:val="276"/>
        </w:trPr>
        <w:tc>
          <w:tcPr>
            <w:tcW w:w="2475" w:type="dxa"/>
            <w:vMerge/>
            <w:tcBorders>
              <w:top w:val="nil"/>
              <w:left w:val="nil"/>
              <w:bottom w:val="nil"/>
              <w:right w:val="nil"/>
            </w:tcBorders>
            <w:vAlign w:val="center"/>
            <w:hideMark/>
          </w:tcPr>
          <w:p w14:paraId="05034674"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69B29406"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96</w:t>
            </w:r>
          </w:p>
        </w:tc>
        <w:tc>
          <w:tcPr>
            <w:tcW w:w="958" w:type="dxa"/>
            <w:tcBorders>
              <w:top w:val="nil"/>
              <w:left w:val="nil"/>
              <w:bottom w:val="nil"/>
              <w:right w:val="nil"/>
            </w:tcBorders>
            <w:shd w:val="clear" w:color="000000" w:fill="E7E6E6"/>
            <w:vAlign w:val="center"/>
            <w:hideMark/>
          </w:tcPr>
          <w:p w14:paraId="02E599C1"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3D481FF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000000" w:fill="E7E6E6"/>
            <w:vAlign w:val="center"/>
            <w:hideMark/>
          </w:tcPr>
          <w:p w14:paraId="12FFDA19"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Publication bias</w:t>
            </w:r>
          </w:p>
        </w:tc>
        <w:tc>
          <w:tcPr>
            <w:tcW w:w="957" w:type="dxa"/>
            <w:tcBorders>
              <w:top w:val="nil"/>
              <w:left w:val="nil"/>
              <w:bottom w:val="nil"/>
              <w:right w:val="nil"/>
            </w:tcBorders>
            <w:shd w:val="clear" w:color="000000" w:fill="E7E6E6"/>
            <w:vAlign w:val="center"/>
            <w:hideMark/>
          </w:tcPr>
          <w:p w14:paraId="7C5EA980"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4F132904" w14:textId="77777777" w:rsidTr="008D706A">
        <w:trPr>
          <w:trHeight w:val="276"/>
        </w:trPr>
        <w:tc>
          <w:tcPr>
            <w:tcW w:w="2475" w:type="dxa"/>
            <w:vMerge/>
            <w:tcBorders>
              <w:top w:val="nil"/>
              <w:left w:val="nil"/>
              <w:bottom w:val="nil"/>
              <w:right w:val="nil"/>
            </w:tcBorders>
            <w:vAlign w:val="center"/>
            <w:hideMark/>
          </w:tcPr>
          <w:p w14:paraId="5B79A0EF"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641FD7C6"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144</w:t>
            </w:r>
          </w:p>
        </w:tc>
        <w:tc>
          <w:tcPr>
            <w:tcW w:w="958" w:type="dxa"/>
            <w:tcBorders>
              <w:top w:val="nil"/>
              <w:left w:val="nil"/>
              <w:bottom w:val="nil"/>
              <w:right w:val="nil"/>
            </w:tcBorders>
            <w:shd w:val="clear" w:color="000000" w:fill="E7E6E6"/>
            <w:vAlign w:val="center"/>
            <w:hideMark/>
          </w:tcPr>
          <w:p w14:paraId="34A5B6C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54629137"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000000" w:fill="E7E6E6"/>
            <w:vAlign w:val="center"/>
            <w:hideMark/>
          </w:tcPr>
          <w:p w14:paraId="6469D467"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Imprecision</w:t>
            </w:r>
          </w:p>
        </w:tc>
        <w:tc>
          <w:tcPr>
            <w:tcW w:w="957" w:type="dxa"/>
            <w:tcBorders>
              <w:top w:val="nil"/>
              <w:left w:val="nil"/>
              <w:bottom w:val="nil"/>
              <w:right w:val="nil"/>
            </w:tcBorders>
            <w:shd w:val="clear" w:color="000000" w:fill="E7E6E6"/>
            <w:vAlign w:val="center"/>
            <w:hideMark/>
          </w:tcPr>
          <w:p w14:paraId="4B066310"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6802ABFD" w14:textId="77777777" w:rsidTr="008D706A">
        <w:trPr>
          <w:trHeight w:val="276"/>
        </w:trPr>
        <w:tc>
          <w:tcPr>
            <w:tcW w:w="2475" w:type="dxa"/>
            <w:vMerge w:val="restart"/>
            <w:tcBorders>
              <w:top w:val="nil"/>
              <w:left w:val="nil"/>
              <w:bottom w:val="nil"/>
              <w:right w:val="nil"/>
            </w:tcBorders>
            <w:shd w:val="clear" w:color="auto" w:fill="auto"/>
            <w:vAlign w:val="center"/>
            <w:hideMark/>
          </w:tcPr>
          <w:p w14:paraId="2D194DE1"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Free seizure rate</w:t>
            </w:r>
          </w:p>
        </w:tc>
        <w:tc>
          <w:tcPr>
            <w:tcW w:w="746" w:type="dxa"/>
            <w:tcBorders>
              <w:top w:val="nil"/>
              <w:left w:val="nil"/>
              <w:bottom w:val="nil"/>
              <w:right w:val="nil"/>
            </w:tcBorders>
            <w:shd w:val="clear" w:color="auto" w:fill="auto"/>
            <w:vAlign w:val="center"/>
            <w:hideMark/>
          </w:tcPr>
          <w:p w14:paraId="3ECD78E5"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12</w:t>
            </w:r>
          </w:p>
        </w:tc>
        <w:tc>
          <w:tcPr>
            <w:tcW w:w="958" w:type="dxa"/>
            <w:tcBorders>
              <w:top w:val="nil"/>
              <w:left w:val="nil"/>
              <w:bottom w:val="nil"/>
              <w:right w:val="nil"/>
            </w:tcBorders>
            <w:shd w:val="clear" w:color="auto" w:fill="auto"/>
            <w:vAlign w:val="center"/>
            <w:hideMark/>
          </w:tcPr>
          <w:p w14:paraId="6BA3BFF5"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040800E2"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auto" w:fill="auto"/>
            <w:vAlign w:val="center"/>
            <w:hideMark/>
          </w:tcPr>
          <w:p w14:paraId="4216A0B7"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Publication bias</w:t>
            </w:r>
          </w:p>
        </w:tc>
        <w:tc>
          <w:tcPr>
            <w:tcW w:w="957" w:type="dxa"/>
            <w:tcBorders>
              <w:top w:val="nil"/>
              <w:left w:val="nil"/>
              <w:bottom w:val="nil"/>
              <w:right w:val="nil"/>
            </w:tcBorders>
            <w:shd w:val="clear" w:color="auto" w:fill="auto"/>
            <w:vAlign w:val="center"/>
            <w:hideMark/>
          </w:tcPr>
          <w:p w14:paraId="7920524F"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04736248" w14:textId="77777777" w:rsidTr="008D706A">
        <w:trPr>
          <w:trHeight w:val="276"/>
        </w:trPr>
        <w:tc>
          <w:tcPr>
            <w:tcW w:w="2475" w:type="dxa"/>
            <w:vMerge/>
            <w:tcBorders>
              <w:top w:val="nil"/>
              <w:left w:val="nil"/>
              <w:bottom w:val="nil"/>
              <w:right w:val="nil"/>
            </w:tcBorders>
            <w:vAlign w:val="center"/>
            <w:hideMark/>
          </w:tcPr>
          <w:p w14:paraId="498CFC86"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auto" w:fill="auto"/>
            <w:vAlign w:val="center"/>
            <w:hideMark/>
          </w:tcPr>
          <w:p w14:paraId="40C084EF"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24</w:t>
            </w:r>
          </w:p>
        </w:tc>
        <w:tc>
          <w:tcPr>
            <w:tcW w:w="958" w:type="dxa"/>
            <w:tcBorders>
              <w:top w:val="nil"/>
              <w:left w:val="nil"/>
              <w:bottom w:val="nil"/>
              <w:right w:val="nil"/>
            </w:tcBorders>
            <w:shd w:val="clear" w:color="auto" w:fill="auto"/>
            <w:vAlign w:val="center"/>
            <w:hideMark/>
          </w:tcPr>
          <w:p w14:paraId="34B8A003"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29DF6F1A"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auto" w:fill="auto"/>
            <w:vAlign w:val="center"/>
            <w:hideMark/>
          </w:tcPr>
          <w:p w14:paraId="7BB61461"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Publication bias</w:t>
            </w:r>
          </w:p>
        </w:tc>
        <w:tc>
          <w:tcPr>
            <w:tcW w:w="957" w:type="dxa"/>
            <w:tcBorders>
              <w:top w:val="nil"/>
              <w:left w:val="nil"/>
              <w:bottom w:val="nil"/>
              <w:right w:val="nil"/>
            </w:tcBorders>
            <w:shd w:val="clear" w:color="auto" w:fill="auto"/>
            <w:vAlign w:val="center"/>
            <w:hideMark/>
          </w:tcPr>
          <w:p w14:paraId="1338C893"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775FC9C6" w14:textId="77777777" w:rsidTr="008D706A">
        <w:trPr>
          <w:trHeight w:val="276"/>
        </w:trPr>
        <w:tc>
          <w:tcPr>
            <w:tcW w:w="2475" w:type="dxa"/>
            <w:vMerge/>
            <w:tcBorders>
              <w:top w:val="nil"/>
              <w:left w:val="nil"/>
              <w:bottom w:val="nil"/>
              <w:right w:val="nil"/>
            </w:tcBorders>
            <w:vAlign w:val="center"/>
            <w:hideMark/>
          </w:tcPr>
          <w:p w14:paraId="598E2472"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auto" w:fill="auto"/>
            <w:vAlign w:val="center"/>
            <w:hideMark/>
          </w:tcPr>
          <w:p w14:paraId="3D18FD69"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48</w:t>
            </w:r>
          </w:p>
        </w:tc>
        <w:tc>
          <w:tcPr>
            <w:tcW w:w="958" w:type="dxa"/>
            <w:tcBorders>
              <w:top w:val="nil"/>
              <w:left w:val="nil"/>
              <w:bottom w:val="nil"/>
              <w:right w:val="nil"/>
            </w:tcBorders>
            <w:shd w:val="clear" w:color="auto" w:fill="auto"/>
            <w:vAlign w:val="center"/>
            <w:hideMark/>
          </w:tcPr>
          <w:p w14:paraId="02BE7060"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5EE9D470"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auto" w:fill="auto"/>
            <w:vAlign w:val="center"/>
            <w:hideMark/>
          </w:tcPr>
          <w:p w14:paraId="4B87A40E"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Publication bias</w:t>
            </w:r>
          </w:p>
        </w:tc>
        <w:tc>
          <w:tcPr>
            <w:tcW w:w="957" w:type="dxa"/>
            <w:tcBorders>
              <w:top w:val="nil"/>
              <w:left w:val="nil"/>
              <w:bottom w:val="nil"/>
              <w:right w:val="nil"/>
            </w:tcBorders>
            <w:shd w:val="clear" w:color="auto" w:fill="auto"/>
            <w:vAlign w:val="center"/>
            <w:hideMark/>
          </w:tcPr>
          <w:p w14:paraId="2DAD95FD"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4D6CF48B" w14:textId="77777777" w:rsidTr="008D706A">
        <w:trPr>
          <w:trHeight w:val="276"/>
        </w:trPr>
        <w:tc>
          <w:tcPr>
            <w:tcW w:w="2475" w:type="dxa"/>
            <w:vMerge/>
            <w:tcBorders>
              <w:top w:val="nil"/>
              <w:left w:val="nil"/>
              <w:bottom w:val="nil"/>
              <w:right w:val="nil"/>
            </w:tcBorders>
            <w:vAlign w:val="center"/>
            <w:hideMark/>
          </w:tcPr>
          <w:p w14:paraId="30CC99FB"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auto" w:fill="auto"/>
            <w:vAlign w:val="center"/>
            <w:hideMark/>
          </w:tcPr>
          <w:p w14:paraId="343BFF23"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72</w:t>
            </w:r>
          </w:p>
        </w:tc>
        <w:tc>
          <w:tcPr>
            <w:tcW w:w="958" w:type="dxa"/>
            <w:tcBorders>
              <w:top w:val="nil"/>
              <w:left w:val="nil"/>
              <w:bottom w:val="nil"/>
              <w:right w:val="nil"/>
            </w:tcBorders>
            <w:shd w:val="clear" w:color="auto" w:fill="auto"/>
            <w:vAlign w:val="center"/>
            <w:hideMark/>
          </w:tcPr>
          <w:p w14:paraId="7CB7AA18"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2D054664"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auto" w:fill="auto"/>
            <w:vAlign w:val="center"/>
            <w:hideMark/>
          </w:tcPr>
          <w:p w14:paraId="3E6A44E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auto" w:fill="auto"/>
            <w:vAlign w:val="center"/>
            <w:hideMark/>
          </w:tcPr>
          <w:p w14:paraId="0DE2B601"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M</w:t>
            </w:r>
          </w:p>
        </w:tc>
      </w:tr>
      <w:tr w:rsidR="000E4712" w:rsidRPr="003665CF" w14:paraId="482A226D" w14:textId="77777777" w:rsidTr="008D706A">
        <w:trPr>
          <w:trHeight w:val="276"/>
        </w:trPr>
        <w:tc>
          <w:tcPr>
            <w:tcW w:w="2475" w:type="dxa"/>
            <w:vMerge/>
            <w:tcBorders>
              <w:top w:val="nil"/>
              <w:left w:val="nil"/>
              <w:bottom w:val="nil"/>
              <w:right w:val="nil"/>
            </w:tcBorders>
            <w:vAlign w:val="center"/>
            <w:hideMark/>
          </w:tcPr>
          <w:p w14:paraId="67EE4A77"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auto" w:fill="auto"/>
            <w:vAlign w:val="center"/>
            <w:hideMark/>
          </w:tcPr>
          <w:p w14:paraId="3BABAC7E"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96</w:t>
            </w:r>
          </w:p>
        </w:tc>
        <w:tc>
          <w:tcPr>
            <w:tcW w:w="958" w:type="dxa"/>
            <w:tcBorders>
              <w:top w:val="nil"/>
              <w:left w:val="nil"/>
              <w:bottom w:val="nil"/>
              <w:right w:val="nil"/>
            </w:tcBorders>
            <w:shd w:val="clear" w:color="auto" w:fill="auto"/>
            <w:vAlign w:val="center"/>
            <w:hideMark/>
          </w:tcPr>
          <w:p w14:paraId="440541E1"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18BD21FE"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auto" w:fill="auto"/>
            <w:vAlign w:val="center"/>
            <w:hideMark/>
          </w:tcPr>
          <w:p w14:paraId="2ACDCB2A"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Publication bias</w:t>
            </w:r>
          </w:p>
        </w:tc>
        <w:tc>
          <w:tcPr>
            <w:tcW w:w="957" w:type="dxa"/>
            <w:tcBorders>
              <w:top w:val="nil"/>
              <w:left w:val="nil"/>
              <w:bottom w:val="nil"/>
              <w:right w:val="nil"/>
            </w:tcBorders>
            <w:shd w:val="clear" w:color="auto" w:fill="auto"/>
            <w:vAlign w:val="center"/>
            <w:hideMark/>
          </w:tcPr>
          <w:p w14:paraId="33F7E572"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52EBC8B6" w14:textId="77777777" w:rsidTr="008D706A">
        <w:trPr>
          <w:trHeight w:val="276"/>
        </w:trPr>
        <w:tc>
          <w:tcPr>
            <w:tcW w:w="2475" w:type="dxa"/>
            <w:vMerge/>
            <w:tcBorders>
              <w:top w:val="nil"/>
              <w:left w:val="nil"/>
              <w:bottom w:val="nil"/>
              <w:right w:val="nil"/>
            </w:tcBorders>
            <w:vAlign w:val="center"/>
            <w:hideMark/>
          </w:tcPr>
          <w:p w14:paraId="13778B8A"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auto" w:fill="auto"/>
            <w:vAlign w:val="center"/>
            <w:hideMark/>
          </w:tcPr>
          <w:p w14:paraId="6C30DBB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144</w:t>
            </w:r>
          </w:p>
        </w:tc>
        <w:tc>
          <w:tcPr>
            <w:tcW w:w="958" w:type="dxa"/>
            <w:tcBorders>
              <w:top w:val="nil"/>
              <w:left w:val="nil"/>
              <w:bottom w:val="nil"/>
              <w:right w:val="nil"/>
            </w:tcBorders>
            <w:shd w:val="clear" w:color="auto" w:fill="auto"/>
            <w:vAlign w:val="center"/>
            <w:hideMark/>
          </w:tcPr>
          <w:p w14:paraId="296ABAC0"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7E8B3089"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Negative bias</w:t>
            </w:r>
          </w:p>
        </w:tc>
        <w:tc>
          <w:tcPr>
            <w:tcW w:w="1573" w:type="dxa"/>
            <w:tcBorders>
              <w:top w:val="nil"/>
              <w:left w:val="nil"/>
              <w:bottom w:val="nil"/>
              <w:right w:val="nil"/>
            </w:tcBorders>
            <w:shd w:val="clear" w:color="auto" w:fill="auto"/>
            <w:vAlign w:val="center"/>
            <w:hideMark/>
          </w:tcPr>
          <w:p w14:paraId="3CD20157"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Imprecision</w:t>
            </w:r>
          </w:p>
        </w:tc>
        <w:tc>
          <w:tcPr>
            <w:tcW w:w="957" w:type="dxa"/>
            <w:tcBorders>
              <w:top w:val="nil"/>
              <w:left w:val="nil"/>
              <w:bottom w:val="nil"/>
              <w:right w:val="nil"/>
            </w:tcBorders>
            <w:shd w:val="clear" w:color="auto" w:fill="auto"/>
            <w:vAlign w:val="center"/>
            <w:hideMark/>
          </w:tcPr>
          <w:p w14:paraId="5F8A2CF6"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7E32EC76" w14:textId="77777777" w:rsidTr="008D706A">
        <w:trPr>
          <w:trHeight w:val="276"/>
        </w:trPr>
        <w:tc>
          <w:tcPr>
            <w:tcW w:w="2475" w:type="dxa"/>
            <w:vMerge w:val="restart"/>
            <w:tcBorders>
              <w:top w:val="nil"/>
              <w:left w:val="nil"/>
              <w:bottom w:val="nil"/>
              <w:right w:val="nil"/>
            </w:tcBorders>
            <w:shd w:val="clear" w:color="000000" w:fill="E7E6E6"/>
            <w:vAlign w:val="center"/>
            <w:hideMark/>
          </w:tcPr>
          <w:p w14:paraId="3A7FC4CF"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Adverse events rate</w:t>
            </w:r>
          </w:p>
        </w:tc>
        <w:tc>
          <w:tcPr>
            <w:tcW w:w="746" w:type="dxa"/>
            <w:tcBorders>
              <w:top w:val="nil"/>
              <w:left w:val="nil"/>
              <w:bottom w:val="nil"/>
              <w:right w:val="nil"/>
            </w:tcBorders>
            <w:shd w:val="clear" w:color="000000" w:fill="E7E6E6"/>
            <w:vAlign w:val="center"/>
            <w:hideMark/>
          </w:tcPr>
          <w:p w14:paraId="52AE191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12</w:t>
            </w:r>
          </w:p>
        </w:tc>
        <w:tc>
          <w:tcPr>
            <w:tcW w:w="958" w:type="dxa"/>
            <w:tcBorders>
              <w:top w:val="nil"/>
              <w:left w:val="nil"/>
              <w:bottom w:val="nil"/>
              <w:right w:val="nil"/>
            </w:tcBorders>
            <w:shd w:val="clear" w:color="000000" w:fill="E7E6E6"/>
            <w:vAlign w:val="center"/>
            <w:hideMark/>
          </w:tcPr>
          <w:p w14:paraId="7C060DD3"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0F4D62DF"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000000" w:fill="E7E6E6"/>
            <w:vAlign w:val="center"/>
            <w:hideMark/>
          </w:tcPr>
          <w:p w14:paraId="26D6CB5F"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000000" w:fill="E7E6E6"/>
            <w:vAlign w:val="center"/>
            <w:hideMark/>
          </w:tcPr>
          <w:p w14:paraId="1944C47F"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038117EB" w14:textId="77777777" w:rsidTr="008D706A">
        <w:trPr>
          <w:trHeight w:val="276"/>
        </w:trPr>
        <w:tc>
          <w:tcPr>
            <w:tcW w:w="2475" w:type="dxa"/>
            <w:vMerge/>
            <w:tcBorders>
              <w:top w:val="nil"/>
              <w:left w:val="nil"/>
              <w:bottom w:val="nil"/>
              <w:right w:val="nil"/>
            </w:tcBorders>
            <w:vAlign w:val="center"/>
            <w:hideMark/>
          </w:tcPr>
          <w:p w14:paraId="02A67125"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464F38B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24</w:t>
            </w:r>
          </w:p>
        </w:tc>
        <w:tc>
          <w:tcPr>
            <w:tcW w:w="958" w:type="dxa"/>
            <w:tcBorders>
              <w:top w:val="nil"/>
              <w:left w:val="nil"/>
              <w:bottom w:val="nil"/>
              <w:right w:val="nil"/>
            </w:tcBorders>
            <w:shd w:val="clear" w:color="000000" w:fill="E7E6E6"/>
            <w:vAlign w:val="center"/>
            <w:hideMark/>
          </w:tcPr>
          <w:p w14:paraId="68406927"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0A0EDA62"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000000" w:fill="E7E6E6"/>
            <w:vAlign w:val="center"/>
            <w:hideMark/>
          </w:tcPr>
          <w:p w14:paraId="76DC9393"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000000" w:fill="E7E6E6"/>
            <w:vAlign w:val="center"/>
            <w:hideMark/>
          </w:tcPr>
          <w:p w14:paraId="07167487"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24265FC8" w14:textId="77777777" w:rsidTr="008D706A">
        <w:trPr>
          <w:trHeight w:val="276"/>
        </w:trPr>
        <w:tc>
          <w:tcPr>
            <w:tcW w:w="2475" w:type="dxa"/>
            <w:vMerge/>
            <w:tcBorders>
              <w:top w:val="nil"/>
              <w:left w:val="nil"/>
              <w:bottom w:val="nil"/>
              <w:right w:val="nil"/>
            </w:tcBorders>
            <w:vAlign w:val="center"/>
            <w:hideMark/>
          </w:tcPr>
          <w:p w14:paraId="0A7F40AE"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4EE1106D"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48</w:t>
            </w:r>
          </w:p>
        </w:tc>
        <w:tc>
          <w:tcPr>
            <w:tcW w:w="958" w:type="dxa"/>
            <w:tcBorders>
              <w:top w:val="nil"/>
              <w:left w:val="nil"/>
              <w:bottom w:val="nil"/>
              <w:right w:val="nil"/>
            </w:tcBorders>
            <w:shd w:val="clear" w:color="000000" w:fill="E7E6E6"/>
            <w:vAlign w:val="center"/>
            <w:hideMark/>
          </w:tcPr>
          <w:p w14:paraId="2B400EC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538482D9"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000000" w:fill="E7E6E6"/>
            <w:vAlign w:val="center"/>
            <w:hideMark/>
          </w:tcPr>
          <w:p w14:paraId="1D9C9766"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000000" w:fill="E7E6E6"/>
            <w:vAlign w:val="center"/>
            <w:hideMark/>
          </w:tcPr>
          <w:p w14:paraId="1B68F25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264826C8" w14:textId="77777777" w:rsidTr="008D706A">
        <w:trPr>
          <w:trHeight w:val="276"/>
        </w:trPr>
        <w:tc>
          <w:tcPr>
            <w:tcW w:w="2475" w:type="dxa"/>
            <w:vMerge/>
            <w:tcBorders>
              <w:top w:val="nil"/>
              <w:left w:val="nil"/>
              <w:bottom w:val="nil"/>
              <w:right w:val="nil"/>
            </w:tcBorders>
            <w:vAlign w:val="center"/>
            <w:hideMark/>
          </w:tcPr>
          <w:p w14:paraId="6F354383"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696BD9D8"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72</w:t>
            </w:r>
          </w:p>
        </w:tc>
        <w:tc>
          <w:tcPr>
            <w:tcW w:w="958" w:type="dxa"/>
            <w:tcBorders>
              <w:top w:val="nil"/>
              <w:left w:val="nil"/>
              <w:bottom w:val="nil"/>
              <w:right w:val="nil"/>
            </w:tcBorders>
            <w:shd w:val="clear" w:color="000000" w:fill="E7E6E6"/>
            <w:vAlign w:val="center"/>
            <w:hideMark/>
          </w:tcPr>
          <w:p w14:paraId="69912AFA"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012AAE2A"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000000" w:fill="E7E6E6"/>
            <w:vAlign w:val="center"/>
            <w:hideMark/>
          </w:tcPr>
          <w:p w14:paraId="5D681F9A"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Imprecision</w:t>
            </w:r>
          </w:p>
        </w:tc>
        <w:tc>
          <w:tcPr>
            <w:tcW w:w="957" w:type="dxa"/>
            <w:tcBorders>
              <w:top w:val="nil"/>
              <w:left w:val="nil"/>
              <w:bottom w:val="nil"/>
              <w:right w:val="nil"/>
            </w:tcBorders>
            <w:shd w:val="clear" w:color="000000" w:fill="E7E6E6"/>
            <w:vAlign w:val="center"/>
            <w:hideMark/>
          </w:tcPr>
          <w:p w14:paraId="7E914670"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VL</w:t>
            </w:r>
          </w:p>
        </w:tc>
      </w:tr>
      <w:tr w:rsidR="000E4712" w:rsidRPr="003665CF" w14:paraId="18B217BF" w14:textId="77777777" w:rsidTr="008D706A">
        <w:trPr>
          <w:trHeight w:val="276"/>
        </w:trPr>
        <w:tc>
          <w:tcPr>
            <w:tcW w:w="2475" w:type="dxa"/>
            <w:vMerge/>
            <w:tcBorders>
              <w:top w:val="nil"/>
              <w:left w:val="nil"/>
              <w:bottom w:val="nil"/>
              <w:right w:val="nil"/>
            </w:tcBorders>
            <w:vAlign w:val="center"/>
            <w:hideMark/>
          </w:tcPr>
          <w:p w14:paraId="3904964E"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00070B67"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96</w:t>
            </w:r>
          </w:p>
        </w:tc>
        <w:tc>
          <w:tcPr>
            <w:tcW w:w="958" w:type="dxa"/>
            <w:tcBorders>
              <w:top w:val="nil"/>
              <w:left w:val="nil"/>
              <w:bottom w:val="nil"/>
              <w:right w:val="nil"/>
            </w:tcBorders>
            <w:shd w:val="clear" w:color="000000" w:fill="E7E6E6"/>
            <w:vAlign w:val="center"/>
            <w:hideMark/>
          </w:tcPr>
          <w:p w14:paraId="294D1276"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0CC9FA82"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000000" w:fill="E7E6E6"/>
            <w:vAlign w:val="center"/>
            <w:hideMark/>
          </w:tcPr>
          <w:p w14:paraId="3B9C12D6"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000000" w:fill="E7E6E6"/>
            <w:vAlign w:val="center"/>
            <w:hideMark/>
          </w:tcPr>
          <w:p w14:paraId="6D8B6BC3"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61D1C605" w14:textId="77777777" w:rsidTr="008D706A">
        <w:trPr>
          <w:trHeight w:val="276"/>
        </w:trPr>
        <w:tc>
          <w:tcPr>
            <w:tcW w:w="2475" w:type="dxa"/>
            <w:vMerge/>
            <w:tcBorders>
              <w:top w:val="nil"/>
              <w:left w:val="nil"/>
              <w:bottom w:val="nil"/>
              <w:right w:val="nil"/>
            </w:tcBorders>
            <w:vAlign w:val="center"/>
            <w:hideMark/>
          </w:tcPr>
          <w:p w14:paraId="0345B044"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000000" w:fill="E7E6E6"/>
            <w:vAlign w:val="center"/>
            <w:hideMark/>
          </w:tcPr>
          <w:p w14:paraId="2387C4D2"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144</w:t>
            </w:r>
          </w:p>
        </w:tc>
        <w:tc>
          <w:tcPr>
            <w:tcW w:w="958" w:type="dxa"/>
            <w:tcBorders>
              <w:top w:val="nil"/>
              <w:left w:val="nil"/>
              <w:bottom w:val="nil"/>
              <w:right w:val="nil"/>
            </w:tcBorders>
            <w:shd w:val="clear" w:color="000000" w:fill="E7E6E6"/>
            <w:vAlign w:val="center"/>
            <w:hideMark/>
          </w:tcPr>
          <w:p w14:paraId="2A9674E6"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000000" w:fill="E7E6E6"/>
            <w:vAlign w:val="center"/>
            <w:hideMark/>
          </w:tcPr>
          <w:p w14:paraId="690F6668"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000000" w:fill="E7E6E6"/>
            <w:vAlign w:val="center"/>
            <w:hideMark/>
          </w:tcPr>
          <w:p w14:paraId="0ED88F3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000000" w:fill="E7E6E6"/>
            <w:vAlign w:val="center"/>
            <w:hideMark/>
          </w:tcPr>
          <w:p w14:paraId="24FB900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6746A6E7" w14:textId="77777777" w:rsidTr="008D706A">
        <w:trPr>
          <w:trHeight w:val="276"/>
        </w:trPr>
        <w:tc>
          <w:tcPr>
            <w:tcW w:w="2475" w:type="dxa"/>
            <w:vMerge w:val="restart"/>
            <w:tcBorders>
              <w:top w:val="nil"/>
              <w:left w:val="nil"/>
              <w:bottom w:val="single" w:sz="4" w:space="0" w:color="000000"/>
              <w:right w:val="nil"/>
            </w:tcBorders>
            <w:shd w:val="clear" w:color="auto" w:fill="auto"/>
            <w:vAlign w:val="center"/>
            <w:hideMark/>
          </w:tcPr>
          <w:p w14:paraId="47A6875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Serious adverse events rate</w:t>
            </w:r>
          </w:p>
        </w:tc>
        <w:tc>
          <w:tcPr>
            <w:tcW w:w="746" w:type="dxa"/>
            <w:tcBorders>
              <w:top w:val="nil"/>
              <w:left w:val="nil"/>
              <w:bottom w:val="nil"/>
              <w:right w:val="nil"/>
            </w:tcBorders>
            <w:shd w:val="clear" w:color="auto" w:fill="auto"/>
            <w:vAlign w:val="center"/>
            <w:hideMark/>
          </w:tcPr>
          <w:p w14:paraId="5AA38A38"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12</w:t>
            </w:r>
          </w:p>
        </w:tc>
        <w:tc>
          <w:tcPr>
            <w:tcW w:w="958" w:type="dxa"/>
            <w:tcBorders>
              <w:top w:val="nil"/>
              <w:left w:val="nil"/>
              <w:bottom w:val="nil"/>
              <w:right w:val="nil"/>
            </w:tcBorders>
            <w:shd w:val="clear" w:color="auto" w:fill="auto"/>
            <w:vAlign w:val="center"/>
            <w:hideMark/>
          </w:tcPr>
          <w:p w14:paraId="4EFA7038"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78AFE111"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auto" w:fill="auto"/>
            <w:vAlign w:val="center"/>
            <w:hideMark/>
          </w:tcPr>
          <w:p w14:paraId="0E5A4962"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auto" w:fill="auto"/>
            <w:vAlign w:val="center"/>
            <w:hideMark/>
          </w:tcPr>
          <w:p w14:paraId="38BDDFF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099A7A9F" w14:textId="77777777" w:rsidTr="008D706A">
        <w:trPr>
          <w:trHeight w:val="276"/>
        </w:trPr>
        <w:tc>
          <w:tcPr>
            <w:tcW w:w="2475" w:type="dxa"/>
            <w:vMerge/>
            <w:tcBorders>
              <w:top w:val="nil"/>
              <w:left w:val="nil"/>
              <w:bottom w:val="single" w:sz="4" w:space="0" w:color="000000"/>
              <w:right w:val="nil"/>
            </w:tcBorders>
            <w:vAlign w:val="center"/>
            <w:hideMark/>
          </w:tcPr>
          <w:p w14:paraId="1C7DDC63"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auto" w:fill="auto"/>
            <w:vAlign w:val="center"/>
            <w:hideMark/>
          </w:tcPr>
          <w:p w14:paraId="237C8E18"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24</w:t>
            </w:r>
          </w:p>
        </w:tc>
        <w:tc>
          <w:tcPr>
            <w:tcW w:w="958" w:type="dxa"/>
            <w:tcBorders>
              <w:top w:val="nil"/>
              <w:left w:val="nil"/>
              <w:bottom w:val="nil"/>
              <w:right w:val="nil"/>
            </w:tcBorders>
            <w:shd w:val="clear" w:color="auto" w:fill="auto"/>
            <w:vAlign w:val="center"/>
            <w:hideMark/>
          </w:tcPr>
          <w:p w14:paraId="7C63F72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220E45A0"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auto" w:fill="auto"/>
            <w:vAlign w:val="center"/>
            <w:hideMark/>
          </w:tcPr>
          <w:p w14:paraId="1891E1A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auto" w:fill="auto"/>
            <w:vAlign w:val="center"/>
            <w:hideMark/>
          </w:tcPr>
          <w:p w14:paraId="2F8B2F18"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519AB2A5" w14:textId="77777777" w:rsidTr="008D706A">
        <w:trPr>
          <w:trHeight w:val="276"/>
        </w:trPr>
        <w:tc>
          <w:tcPr>
            <w:tcW w:w="2475" w:type="dxa"/>
            <w:vMerge/>
            <w:tcBorders>
              <w:top w:val="nil"/>
              <w:left w:val="nil"/>
              <w:bottom w:val="single" w:sz="4" w:space="0" w:color="000000"/>
              <w:right w:val="nil"/>
            </w:tcBorders>
            <w:vAlign w:val="center"/>
            <w:hideMark/>
          </w:tcPr>
          <w:p w14:paraId="065EE382"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auto" w:fill="auto"/>
            <w:vAlign w:val="center"/>
            <w:hideMark/>
          </w:tcPr>
          <w:p w14:paraId="014A991E"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48</w:t>
            </w:r>
          </w:p>
        </w:tc>
        <w:tc>
          <w:tcPr>
            <w:tcW w:w="958" w:type="dxa"/>
            <w:tcBorders>
              <w:top w:val="nil"/>
              <w:left w:val="nil"/>
              <w:bottom w:val="nil"/>
              <w:right w:val="nil"/>
            </w:tcBorders>
            <w:shd w:val="clear" w:color="auto" w:fill="auto"/>
            <w:vAlign w:val="center"/>
            <w:hideMark/>
          </w:tcPr>
          <w:p w14:paraId="25E0D1CB"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3CDD0D92"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auto" w:fill="auto"/>
            <w:vAlign w:val="center"/>
            <w:hideMark/>
          </w:tcPr>
          <w:p w14:paraId="075E818E"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auto" w:fill="auto"/>
            <w:vAlign w:val="center"/>
            <w:hideMark/>
          </w:tcPr>
          <w:p w14:paraId="4F9CE8C5"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1C785368" w14:textId="77777777" w:rsidTr="008D706A">
        <w:trPr>
          <w:trHeight w:val="276"/>
        </w:trPr>
        <w:tc>
          <w:tcPr>
            <w:tcW w:w="2475" w:type="dxa"/>
            <w:vMerge/>
            <w:tcBorders>
              <w:top w:val="nil"/>
              <w:left w:val="nil"/>
              <w:bottom w:val="single" w:sz="4" w:space="0" w:color="000000"/>
              <w:right w:val="nil"/>
            </w:tcBorders>
            <w:vAlign w:val="center"/>
            <w:hideMark/>
          </w:tcPr>
          <w:p w14:paraId="36C43F0E"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nil"/>
              <w:right w:val="nil"/>
            </w:tcBorders>
            <w:shd w:val="clear" w:color="auto" w:fill="auto"/>
            <w:vAlign w:val="center"/>
            <w:hideMark/>
          </w:tcPr>
          <w:p w14:paraId="21B3D122"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96</w:t>
            </w:r>
          </w:p>
        </w:tc>
        <w:tc>
          <w:tcPr>
            <w:tcW w:w="958" w:type="dxa"/>
            <w:tcBorders>
              <w:top w:val="nil"/>
              <w:left w:val="nil"/>
              <w:bottom w:val="nil"/>
              <w:right w:val="nil"/>
            </w:tcBorders>
            <w:shd w:val="clear" w:color="auto" w:fill="auto"/>
            <w:vAlign w:val="center"/>
            <w:hideMark/>
          </w:tcPr>
          <w:p w14:paraId="0A6ABF0D"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nil"/>
              <w:right w:val="nil"/>
            </w:tcBorders>
            <w:shd w:val="clear" w:color="auto" w:fill="auto"/>
            <w:vAlign w:val="center"/>
            <w:hideMark/>
          </w:tcPr>
          <w:p w14:paraId="3C3003F4"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nil"/>
              <w:right w:val="nil"/>
            </w:tcBorders>
            <w:shd w:val="clear" w:color="auto" w:fill="auto"/>
            <w:vAlign w:val="center"/>
            <w:hideMark/>
          </w:tcPr>
          <w:p w14:paraId="19148441"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nil"/>
              <w:right w:val="nil"/>
            </w:tcBorders>
            <w:shd w:val="clear" w:color="auto" w:fill="auto"/>
            <w:vAlign w:val="center"/>
            <w:hideMark/>
          </w:tcPr>
          <w:p w14:paraId="43227892"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r w:rsidR="000E4712" w:rsidRPr="003665CF" w14:paraId="58502353" w14:textId="77777777" w:rsidTr="008D706A">
        <w:trPr>
          <w:trHeight w:val="276"/>
        </w:trPr>
        <w:tc>
          <w:tcPr>
            <w:tcW w:w="2475" w:type="dxa"/>
            <w:vMerge/>
            <w:tcBorders>
              <w:top w:val="nil"/>
              <w:left w:val="nil"/>
              <w:bottom w:val="single" w:sz="4" w:space="0" w:color="000000"/>
              <w:right w:val="nil"/>
            </w:tcBorders>
            <w:vAlign w:val="center"/>
            <w:hideMark/>
          </w:tcPr>
          <w:p w14:paraId="4F247281" w14:textId="77777777" w:rsidR="000E4712" w:rsidRPr="003665CF" w:rsidRDefault="000E4712" w:rsidP="008D706A">
            <w:pPr>
              <w:widowControl/>
              <w:jc w:val="left"/>
              <w:rPr>
                <w:rFonts w:ascii="Calibri" w:eastAsia="等线" w:hAnsi="Calibri" w:cs="Calibri"/>
                <w:color w:val="000000"/>
                <w:kern w:val="0"/>
                <w:sz w:val="20"/>
                <w:szCs w:val="20"/>
              </w:rPr>
            </w:pPr>
          </w:p>
        </w:tc>
        <w:tc>
          <w:tcPr>
            <w:tcW w:w="746" w:type="dxa"/>
            <w:tcBorders>
              <w:top w:val="nil"/>
              <w:left w:val="nil"/>
              <w:bottom w:val="single" w:sz="4" w:space="0" w:color="auto"/>
              <w:right w:val="nil"/>
            </w:tcBorders>
            <w:shd w:val="clear" w:color="auto" w:fill="auto"/>
            <w:vAlign w:val="center"/>
            <w:hideMark/>
          </w:tcPr>
          <w:p w14:paraId="4449A1C5"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144</w:t>
            </w:r>
          </w:p>
        </w:tc>
        <w:tc>
          <w:tcPr>
            <w:tcW w:w="958" w:type="dxa"/>
            <w:tcBorders>
              <w:top w:val="nil"/>
              <w:left w:val="nil"/>
              <w:bottom w:val="single" w:sz="4" w:space="0" w:color="auto"/>
              <w:right w:val="nil"/>
            </w:tcBorders>
            <w:shd w:val="clear" w:color="auto" w:fill="auto"/>
            <w:vAlign w:val="center"/>
            <w:hideMark/>
          </w:tcPr>
          <w:p w14:paraId="57CFD36A"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c>
          <w:tcPr>
            <w:tcW w:w="1551" w:type="dxa"/>
            <w:tcBorders>
              <w:top w:val="nil"/>
              <w:left w:val="nil"/>
              <w:bottom w:val="single" w:sz="4" w:space="0" w:color="auto"/>
              <w:right w:val="nil"/>
            </w:tcBorders>
            <w:shd w:val="clear" w:color="auto" w:fill="auto"/>
            <w:vAlign w:val="center"/>
            <w:hideMark/>
          </w:tcPr>
          <w:p w14:paraId="5AEE62F9"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1573" w:type="dxa"/>
            <w:tcBorders>
              <w:top w:val="nil"/>
              <w:left w:val="nil"/>
              <w:bottom w:val="single" w:sz="4" w:space="0" w:color="auto"/>
              <w:right w:val="nil"/>
            </w:tcBorders>
            <w:shd w:val="clear" w:color="auto" w:fill="auto"/>
            <w:vAlign w:val="center"/>
            <w:hideMark/>
          </w:tcPr>
          <w:p w14:paraId="0657BFA8"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w:t>
            </w:r>
          </w:p>
        </w:tc>
        <w:tc>
          <w:tcPr>
            <w:tcW w:w="957" w:type="dxa"/>
            <w:tcBorders>
              <w:top w:val="nil"/>
              <w:left w:val="nil"/>
              <w:bottom w:val="single" w:sz="4" w:space="0" w:color="auto"/>
              <w:right w:val="nil"/>
            </w:tcBorders>
            <w:shd w:val="clear" w:color="auto" w:fill="auto"/>
            <w:vAlign w:val="center"/>
            <w:hideMark/>
          </w:tcPr>
          <w:p w14:paraId="6F60314C" w14:textId="77777777" w:rsidR="000E4712" w:rsidRPr="003665CF" w:rsidRDefault="000E4712" w:rsidP="008D706A">
            <w:pPr>
              <w:widowControl/>
              <w:jc w:val="center"/>
              <w:rPr>
                <w:rFonts w:ascii="Calibri" w:eastAsia="等线" w:hAnsi="Calibri" w:cs="Calibri"/>
                <w:color w:val="000000"/>
                <w:kern w:val="0"/>
                <w:sz w:val="20"/>
                <w:szCs w:val="20"/>
              </w:rPr>
            </w:pPr>
            <w:r w:rsidRPr="003665CF">
              <w:rPr>
                <w:rFonts w:ascii="Calibri" w:eastAsia="等线" w:hAnsi="Calibri" w:cs="Calibri"/>
                <w:color w:val="000000"/>
                <w:kern w:val="0"/>
                <w:sz w:val="20"/>
                <w:szCs w:val="20"/>
              </w:rPr>
              <w:t>L</w:t>
            </w:r>
          </w:p>
        </w:tc>
      </w:tr>
    </w:tbl>
    <w:p w14:paraId="15680497" w14:textId="77777777" w:rsidR="000E4712" w:rsidRPr="003665CF" w:rsidRDefault="000E4712" w:rsidP="000E4712">
      <w:pPr>
        <w:rPr>
          <w:rFonts w:cstheme="minorHAnsi"/>
          <w:sz w:val="20"/>
          <w:szCs w:val="20"/>
        </w:rPr>
      </w:pPr>
      <w:r w:rsidRPr="003665CF">
        <w:rPr>
          <w:rFonts w:cstheme="minorHAnsi" w:hint="eastAsia"/>
          <w:sz w:val="20"/>
          <w:szCs w:val="20"/>
        </w:rPr>
        <w:t>Note:</w:t>
      </w:r>
      <w:r w:rsidRPr="003665CF">
        <w:rPr>
          <w:rFonts w:cstheme="minorHAnsi"/>
          <w:sz w:val="20"/>
          <w:szCs w:val="20"/>
        </w:rPr>
        <w:t xml:space="preserve"> L: Low. M: </w:t>
      </w:r>
      <w:r w:rsidRPr="003665CF">
        <w:rPr>
          <w:rFonts w:cstheme="minorHAnsi" w:hint="eastAsia"/>
          <w:sz w:val="20"/>
          <w:szCs w:val="20"/>
        </w:rPr>
        <w:t>Moderate.</w:t>
      </w:r>
      <w:r w:rsidRPr="003665CF">
        <w:rPr>
          <w:rFonts w:cstheme="minorHAnsi"/>
          <w:sz w:val="20"/>
          <w:szCs w:val="20"/>
        </w:rPr>
        <w:t xml:space="preserve"> VL: Very low.</w:t>
      </w:r>
    </w:p>
    <w:p w14:paraId="5284DBBD" w14:textId="77777777" w:rsidR="000E4712" w:rsidRPr="003665CF" w:rsidRDefault="000E4712" w:rsidP="000E4712">
      <w:pPr>
        <w:rPr>
          <w:rFonts w:cstheme="minorHAnsi"/>
          <w:sz w:val="20"/>
          <w:szCs w:val="20"/>
        </w:rPr>
      </w:pPr>
    </w:p>
    <w:p w14:paraId="4DEEB50E" w14:textId="77777777" w:rsidR="000E4712" w:rsidRPr="003665CF" w:rsidRDefault="000E4712" w:rsidP="000E4712">
      <w:pPr>
        <w:rPr>
          <w:rFonts w:cstheme="minorHAnsi"/>
          <w:sz w:val="20"/>
          <w:szCs w:val="20"/>
        </w:rPr>
        <w:sectPr w:rsidR="000E4712" w:rsidRPr="003665CF" w:rsidSect="009D0C99">
          <w:pgSz w:w="11906" w:h="16838"/>
          <w:pgMar w:top="1440" w:right="1800" w:bottom="1440" w:left="1800" w:header="851" w:footer="992" w:gutter="0"/>
          <w:cols w:space="425"/>
          <w:docGrid w:type="lines" w:linePitch="312"/>
        </w:sectPr>
      </w:pPr>
    </w:p>
    <w:p w14:paraId="260BE01E" w14:textId="7983369A" w:rsidR="000E4712" w:rsidRPr="003665CF" w:rsidRDefault="000E4712" w:rsidP="000E4712">
      <w:pPr>
        <w:rPr>
          <w:rFonts w:cstheme="minorHAnsi"/>
          <w:b/>
          <w:bCs/>
          <w:sz w:val="20"/>
          <w:szCs w:val="20"/>
        </w:rPr>
      </w:pPr>
      <w:proofErr w:type="spellStart"/>
      <w:r w:rsidRPr="003665CF">
        <w:rPr>
          <w:rFonts w:cstheme="minorHAnsi"/>
          <w:b/>
          <w:bCs/>
          <w:sz w:val="20"/>
          <w:szCs w:val="20"/>
        </w:rPr>
        <w:lastRenderedPageBreak/>
        <w:t>eFigure</w:t>
      </w:r>
      <w:proofErr w:type="spellEnd"/>
      <w:r w:rsidRPr="003665CF">
        <w:rPr>
          <w:rFonts w:cstheme="minorHAnsi"/>
          <w:b/>
          <w:bCs/>
          <w:sz w:val="20"/>
          <w:szCs w:val="20"/>
        </w:rPr>
        <w:t xml:space="preserve"> legend</w:t>
      </w:r>
      <w:r w:rsidR="00347B66" w:rsidRPr="003665CF">
        <w:rPr>
          <w:rFonts w:cstheme="minorHAnsi"/>
          <w:b/>
          <w:bCs/>
          <w:sz w:val="20"/>
          <w:szCs w:val="20"/>
        </w:rPr>
        <w:t>s</w:t>
      </w:r>
    </w:p>
    <w:p w14:paraId="189AE90D" w14:textId="273E97FB" w:rsidR="000E4712" w:rsidRPr="003665CF" w:rsidRDefault="000E4712" w:rsidP="000E4712">
      <w:pPr>
        <w:rPr>
          <w:rFonts w:cstheme="minorHAnsi"/>
          <w:sz w:val="20"/>
          <w:szCs w:val="20"/>
        </w:rPr>
      </w:pPr>
      <w:proofErr w:type="spellStart"/>
      <w:r w:rsidRPr="003665CF">
        <w:rPr>
          <w:rFonts w:cstheme="minorHAnsi" w:hint="eastAsia"/>
          <w:b/>
          <w:bCs/>
          <w:sz w:val="20"/>
          <w:szCs w:val="20"/>
        </w:rPr>
        <w:t>e</w:t>
      </w:r>
      <w:r w:rsidRPr="003665CF">
        <w:rPr>
          <w:rFonts w:cstheme="minorHAnsi"/>
          <w:b/>
          <w:bCs/>
          <w:sz w:val="20"/>
          <w:szCs w:val="20"/>
        </w:rPr>
        <w:t>Figure</w:t>
      </w:r>
      <w:proofErr w:type="spellEnd"/>
      <w:r w:rsidRPr="003665CF">
        <w:rPr>
          <w:rFonts w:cstheme="minorHAnsi"/>
          <w:b/>
          <w:bCs/>
          <w:sz w:val="20"/>
          <w:szCs w:val="20"/>
        </w:rPr>
        <w:t xml:space="preserve"> 1. </w:t>
      </w:r>
      <w:r w:rsidRPr="003665CF">
        <w:rPr>
          <w:rFonts w:cstheme="minorHAnsi"/>
          <w:sz w:val="20"/>
          <w:szCs w:val="20"/>
        </w:rPr>
        <w:t>The MINORS scores and risk of bias summary. Note: If diagnostic criteria for DRE were not clearly written in literature, selection bias would be assessed as uncertain. If the use of CBD was not clearly written in literature, intervention bias would be assessed as uncertain. If measurement method of seizure was not clearly written in literature, measurement bias of the study was assessed as uncertain. If more than 10% of patients were lost to follow-up, follow-up bias would be assessed as high risk, 5%-10% and literatures reporting only PP set would be assessed as uncertain. Reporting bias was assessed as inconclusive if data were extracted from abstracts, such as conference abstracts.</w:t>
      </w:r>
    </w:p>
    <w:p w14:paraId="09EB6700" w14:textId="77777777" w:rsidR="000E4712" w:rsidRPr="003665CF" w:rsidRDefault="000E4712" w:rsidP="000E4712">
      <w:pPr>
        <w:rPr>
          <w:rFonts w:cstheme="minorHAnsi"/>
          <w:sz w:val="20"/>
          <w:szCs w:val="20"/>
        </w:rPr>
      </w:pPr>
      <w:proofErr w:type="spellStart"/>
      <w:r w:rsidRPr="003665CF">
        <w:rPr>
          <w:rFonts w:cstheme="minorHAnsi" w:hint="eastAsia"/>
          <w:b/>
          <w:bCs/>
          <w:sz w:val="20"/>
          <w:szCs w:val="20"/>
        </w:rPr>
        <w:t>e</w:t>
      </w:r>
      <w:r w:rsidRPr="003665CF">
        <w:rPr>
          <w:rFonts w:cstheme="minorHAnsi"/>
          <w:b/>
          <w:bCs/>
          <w:sz w:val="20"/>
          <w:szCs w:val="20"/>
        </w:rPr>
        <w:t>Figure</w:t>
      </w:r>
      <w:proofErr w:type="spellEnd"/>
      <w:r w:rsidRPr="003665CF">
        <w:rPr>
          <w:rFonts w:cstheme="minorHAnsi"/>
          <w:b/>
          <w:bCs/>
          <w:sz w:val="20"/>
          <w:szCs w:val="20"/>
        </w:rPr>
        <w:t xml:space="preserve"> 2. </w:t>
      </w:r>
      <w:r w:rsidRPr="003665CF">
        <w:rPr>
          <w:rFonts w:cstheme="minorHAnsi"/>
          <w:sz w:val="20"/>
          <w:szCs w:val="20"/>
        </w:rPr>
        <w:t>Forest plot of responder rates. (A). 12-week. (B). 24-week. (C). 48-week. (D). 72-week. (E). 96-week. (F). 144-week.</w:t>
      </w:r>
    </w:p>
    <w:p w14:paraId="26DB2539" w14:textId="779F88EE" w:rsidR="000E4712" w:rsidRPr="003665CF" w:rsidRDefault="000E4712" w:rsidP="000E4712">
      <w:pPr>
        <w:rPr>
          <w:rFonts w:cstheme="minorHAnsi"/>
          <w:sz w:val="20"/>
          <w:szCs w:val="20"/>
        </w:rPr>
      </w:pPr>
      <w:proofErr w:type="spellStart"/>
      <w:r w:rsidRPr="003665CF">
        <w:rPr>
          <w:rFonts w:cstheme="minorHAnsi" w:hint="eastAsia"/>
          <w:b/>
          <w:bCs/>
          <w:sz w:val="20"/>
          <w:szCs w:val="20"/>
        </w:rPr>
        <w:t>e</w:t>
      </w:r>
      <w:r w:rsidRPr="003665CF">
        <w:rPr>
          <w:rFonts w:cstheme="minorHAnsi"/>
          <w:b/>
          <w:bCs/>
          <w:sz w:val="20"/>
          <w:szCs w:val="20"/>
        </w:rPr>
        <w:t>Figure</w:t>
      </w:r>
      <w:proofErr w:type="spellEnd"/>
      <w:r w:rsidRPr="003665CF">
        <w:rPr>
          <w:rFonts w:cstheme="minorHAnsi"/>
          <w:b/>
          <w:bCs/>
          <w:sz w:val="20"/>
          <w:szCs w:val="20"/>
        </w:rPr>
        <w:t xml:space="preserve"> 3.</w:t>
      </w:r>
      <w:r w:rsidRPr="003665CF">
        <w:rPr>
          <w:rFonts w:cstheme="minorHAnsi"/>
          <w:sz w:val="20"/>
          <w:szCs w:val="20"/>
        </w:rPr>
        <w:t xml:space="preserve"> Sensitivity analyses. (A). Responder rates. (B). Free seizure rate. (C). </w:t>
      </w:r>
      <w:r w:rsidR="00405140">
        <w:rPr>
          <w:rFonts w:cstheme="minorHAnsi"/>
          <w:sz w:val="20"/>
          <w:szCs w:val="20"/>
        </w:rPr>
        <w:t>Proportion of adverse events</w:t>
      </w:r>
      <w:r w:rsidRPr="003665CF">
        <w:rPr>
          <w:rFonts w:cstheme="minorHAnsi"/>
          <w:sz w:val="20"/>
          <w:szCs w:val="20"/>
        </w:rPr>
        <w:t xml:space="preserve">. (D). </w:t>
      </w:r>
      <w:r w:rsidR="00405140">
        <w:rPr>
          <w:rFonts w:cstheme="minorHAnsi"/>
          <w:sz w:val="20"/>
          <w:szCs w:val="20"/>
        </w:rPr>
        <w:t>Proportion of serious adverse events</w:t>
      </w:r>
      <w:r w:rsidRPr="003665CF">
        <w:rPr>
          <w:rFonts w:cstheme="minorHAnsi"/>
          <w:sz w:val="20"/>
          <w:szCs w:val="20"/>
        </w:rPr>
        <w:t>.</w:t>
      </w:r>
    </w:p>
    <w:p w14:paraId="7BCA6382" w14:textId="7390D98C" w:rsidR="00C0255C" w:rsidRPr="003665CF" w:rsidRDefault="00C0255C" w:rsidP="00C0255C">
      <w:pPr>
        <w:rPr>
          <w:rFonts w:cstheme="minorHAnsi"/>
          <w:sz w:val="20"/>
          <w:szCs w:val="20"/>
        </w:rPr>
      </w:pPr>
      <w:proofErr w:type="spellStart"/>
      <w:r w:rsidRPr="003665CF">
        <w:rPr>
          <w:rFonts w:cstheme="minorHAnsi" w:hint="eastAsia"/>
          <w:b/>
          <w:bCs/>
          <w:sz w:val="20"/>
          <w:szCs w:val="20"/>
        </w:rPr>
        <w:t>e</w:t>
      </w:r>
      <w:r w:rsidRPr="003665CF">
        <w:rPr>
          <w:rFonts w:cstheme="minorHAnsi"/>
          <w:b/>
          <w:bCs/>
          <w:sz w:val="20"/>
          <w:szCs w:val="20"/>
        </w:rPr>
        <w:t>Figure</w:t>
      </w:r>
      <w:proofErr w:type="spellEnd"/>
      <w:r w:rsidRPr="003665CF">
        <w:rPr>
          <w:rFonts w:cstheme="minorHAnsi"/>
          <w:b/>
          <w:bCs/>
          <w:sz w:val="20"/>
          <w:szCs w:val="20"/>
        </w:rPr>
        <w:t xml:space="preserve"> </w:t>
      </w:r>
      <w:r w:rsidR="00695618" w:rsidRPr="003665CF">
        <w:rPr>
          <w:rFonts w:cstheme="minorHAnsi"/>
          <w:b/>
          <w:bCs/>
          <w:sz w:val="20"/>
          <w:szCs w:val="20"/>
        </w:rPr>
        <w:t>4</w:t>
      </w:r>
      <w:r w:rsidRPr="003665CF">
        <w:rPr>
          <w:rFonts w:cstheme="minorHAnsi"/>
          <w:b/>
          <w:bCs/>
          <w:sz w:val="20"/>
          <w:szCs w:val="20"/>
        </w:rPr>
        <w:t xml:space="preserve">. </w:t>
      </w:r>
      <w:r w:rsidRPr="003665CF">
        <w:rPr>
          <w:rFonts w:cstheme="minorHAnsi"/>
          <w:sz w:val="20"/>
          <w:szCs w:val="20"/>
        </w:rPr>
        <w:t xml:space="preserve">Sensitivity analyses of subgroup analyses of age. (A). Responder rates. (B). Free seizure rate. (C). </w:t>
      </w:r>
      <w:r w:rsidR="00405140">
        <w:rPr>
          <w:rFonts w:cstheme="minorHAnsi"/>
          <w:sz w:val="20"/>
          <w:szCs w:val="20"/>
        </w:rPr>
        <w:t>Proportion of adverse events</w:t>
      </w:r>
      <w:r w:rsidRPr="003665CF">
        <w:rPr>
          <w:rFonts w:cstheme="minorHAnsi"/>
          <w:sz w:val="20"/>
          <w:szCs w:val="20"/>
        </w:rPr>
        <w:t xml:space="preserve">. (D). </w:t>
      </w:r>
      <w:r w:rsidR="00405140">
        <w:rPr>
          <w:rFonts w:cstheme="minorHAnsi"/>
          <w:sz w:val="20"/>
          <w:szCs w:val="20"/>
        </w:rPr>
        <w:t>Proportion of serious adverse events</w:t>
      </w:r>
      <w:r w:rsidRPr="003665CF">
        <w:rPr>
          <w:rFonts w:cstheme="minorHAnsi"/>
          <w:sz w:val="20"/>
          <w:szCs w:val="20"/>
        </w:rPr>
        <w:t xml:space="preserve">. </w:t>
      </w:r>
    </w:p>
    <w:p w14:paraId="1E587787" w14:textId="77777777" w:rsidR="00C0255C" w:rsidRPr="003665CF" w:rsidRDefault="00C0255C" w:rsidP="00C0255C">
      <w:pPr>
        <w:rPr>
          <w:rFonts w:cstheme="minorHAnsi"/>
          <w:sz w:val="20"/>
          <w:szCs w:val="20"/>
        </w:rPr>
      </w:pPr>
      <w:r w:rsidRPr="003665CF">
        <w:rPr>
          <w:rFonts w:cstheme="minorHAnsi"/>
          <w:sz w:val="20"/>
          <w:szCs w:val="20"/>
        </w:rPr>
        <w:t>The left graphs are main analyses: &gt; 14 group and &lt;= 14 group. The right graphs are sensitivity analyses: &gt; 18 group and &lt;= 18.</w:t>
      </w:r>
    </w:p>
    <w:p w14:paraId="22B81395" w14:textId="12F825D3" w:rsidR="00695618" w:rsidRPr="003665CF" w:rsidRDefault="00695618" w:rsidP="00695618">
      <w:pPr>
        <w:rPr>
          <w:rFonts w:cstheme="minorHAnsi"/>
          <w:sz w:val="20"/>
          <w:szCs w:val="20"/>
        </w:rPr>
      </w:pPr>
      <w:proofErr w:type="spellStart"/>
      <w:r w:rsidRPr="003665CF">
        <w:rPr>
          <w:rFonts w:cstheme="minorHAnsi" w:hint="eastAsia"/>
          <w:b/>
          <w:bCs/>
          <w:sz w:val="20"/>
          <w:szCs w:val="20"/>
        </w:rPr>
        <w:t>e</w:t>
      </w:r>
      <w:r w:rsidRPr="003665CF">
        <w:rPr>
          <w:rFonts w:cstheme="minorHAnsi"/>
          <w:b/>
          <w:bCs/>
          <w:sz w:val="20"/>
          <w:szCs w:val="20"/>
        </w:rPr>
        <w:t>Figure</w:t>
      </w:r>
      <w:proofErr w:type="spellEnd"/>
      <w:r w:rsidRPr="003665CF">
        <w:rPr>
          <w:rFonts w:cstheme="minorHAnsi"/>
          <w:b/>
          <w:bCs/>
          <w:sz w:val="20"/>
          <w:szCs w:val="20"/>
        </w:rPr>
        <w:t xml:space="preserve"> 5.</w:t>
      </w:r>
      <w:r w:rsidRPr="003665CF">
        <w:rPr>
          <w:rFonts w:cstheme="minorHAnsi"/>
          <w:sz w:val="20"/>
          <w:szCs w:val="20"/>
        </w:rPr>
        <w:t xml:space="preserve"> Sensitivity analyses of subgroup analyses of epilepsy syndromes. (A). Responder rates. (B). Free seizure rate. (C). </w:t>
      </w:r>
      <w:r w:rsidR="00405140">
        <w:rPr>
          <w:rFonts w:cstheme="minorHAnsi"/>
          <w:sz w:val="20"/>
          <w:szCs w:val="20"/>
        </w:rPr>
        <w:t>Proportion of adverse events</w:t>
      </w:r>
      <w:r w:rsidRPr="003665CF">
        <w:rPr>
          <w:rFonts w:cstheme="minorHAnsi"/>
          <w:sz w:val="20"/>
          <w:szCs w:val="20"/>
        </w:rPr>
        <w:t xml:space="preserve">. (D). </w:t>
      </w:r>
      <w:r w:rsidR="00405140">
        <w:rPr>
          <w:rFonts w:cstheme="minorHAnsi"/>
          <w:sz w:val="20"/>
          <w:szCs w:val="20"/>
        </w:rPr>
        <w:t>Proportion of serious adverse events</w:t>
      </w:r>
      <w:r w:rsidRPr="003665CF">
        <w:rPr>
          <w:rFonts w:cstheme="minorHAnsi"/>
          <w:sz w:val="20"/>
          <w:szCs w:val="20"/>
        </w:rPr>
        <w:t xml:space="preserve">. </w:t>
      </w:r>
    </w:p>
    <w:p w14:paraId="0AD3F175" w14:textId="77777777" w:rsidR="00695618" w:rsidRPr="003665CF" w:rsidRDefault="00695618" w:rsidP="00695618">
      <w:pPr>
        <w:rPr>
          <w:rFonts w:cstheme="minorHAnsi"/>
          <w:sz w:val="20"/>
          <w:szCs w:val="20"/>
        </w:rPr>
      </w:pPr>
      <w:r w:rsidRPr="003665CF">
        <w:rPr>
          <w:rFonts w:cstheme="minorHAnsi"/>
          <w:sz w:val="20"/>
          <w:szCs w:val="20"/>
        </w:rPr>
        <w:t>The left graphs are main analyses: LGS &amp; DS group and other syndromes group were divided by the constituent ratio of epilepsy syndromes greater than 50%. The right graphs are sensitivity analyses: LGS &amp; DS group and other syndromes group were divided by the constituent ratio of epilepsy syndromes greater than 95%.</w:t>
      </w:r>
    </w:p>
    <w:p w14:paraId="402FB45A" w14:textId="4340E65B" w:rsidR="000E4712" w:rsidRPr="003665CF" w:rsidRDefault="000E4712" w:rsidP="000E4712">
      <w:pPr>
        <w:rPr>
          <w:rFonts w:cstheme="minorHAnsi"/>
          <w:sz w:val="20"/>
          <w:szCs w:val="20"/>
        </w:rPr>
      </w:pPr>
      <w:proofErr w:type="spellStart"/>
      <w:r w:rsidRPr="003665CF">
        <w:rPr>
          <w:rFonts w:cstheme="minorHAnsi" w:hint="eastAsia"/>
          <w:b/>
          <w:bCs/>
          <w:sz w:val="20"/>
          <w:szCs w:val="20"/>
        </w:rPr>
        <w:t>e</w:t>
      </w:r>
      <w:r w:rsidRPr="003665CF">
        <w:rPr>
          <w:rFonts w:cstheme="minorHAnsi"/>
          <w:b/>
          <w:bCs/>
          <w:sz w:val="20"/>
          <w:szCs w:val="20"/>
        </w:rPr>
        <w:t>Figure</w:t>
      </w:r>
      <w:proofErr w:type="spellEnd"/>
      <w:r w:rsidRPr="003665CF">
        <w:rPr>
          <w:rFonts w:cstheme="minorHAnsi"/>
          <w:b/>
          <w:bCs/>
          <w:sz w:val="20"/>
          <w:szCs w:val="20"/>
        </w:rPr>
        <w:t xml:space="preserve"> </w:t>
      </w:r>
      <w:r w:rsidR="00C0255C" w:rsidRPr="003665CF">
        <w:rPr>
          <w:rFonts w:cstheme="minorHAnsi"/>
          <w:b/>
          <w:bCs/>
          <w:sz w:val="20"/>
          <w:szCs w:val="20"/>
        </w:rPr>
        <w:t>6</w:t>
      </w:r>
      <w:r w:rsidRPr="003665CF">
        <w:rPr>
          <w:rFonts w:cstheme="minorHAnsi"/>
          <w:b/>
          <w:bCs/>
          <w:sz w:val="20"/>
          <w:szCs w:val="20"/>
        </w:rPr>
        <w:t>.</w:t>
      </w:r>
      <w:r w:rsidRPr="003665CF">
        <w:rPr>
          <w:rFonts w:cstheme="minorHAnsi"/>
          <w:sz w:val="20"/>
          <w:szCs w:val="20"/>
        </w:rPr>
        <w:t xml:space="preserve"> Funnel plot. (A). Responder rates. (B). Free seizure rate. (C). </w:t>
      </w:r>
      <w:r w:rsidR="00405140">
        <w:rPr>
          <w:rFonts w:cstheme="minorHAnsi"/>
          <w:sz w:val="20"/>
          <w:szCs w:val="20"/>
        </w:rPr>
        <w:t>Proportion of adverse events</w:t>
      </w:r>
      <w:r w:rsidRPr="003665CF">
        <w:rPr>
          <w:rFonts w:cstheme="minorHAnsi"/>
          <w:sz w:val="20"/>
          <w:szCs w:val="20"/>
        </w:rPr>
        <w:t xml:space="preserve">. (D). </w:t>
      </w:r>
      <w:r w:rsidR="00405140">
        <w:rPr>
          <w:rFonts w:cstheme="minorHAnsi"/>
          <w:sz w:val="20"/>
          <w:szCs w:val="20"/>
        </w:rPr>
        <w:t>Proportion of serious adverse events</w:t>
      </w:r>
      <w:r w:rsidRPr="003665CF">
        <w:rPr>
          <w:rFonts w:cstheme="minorHAnsi"/>
          <w:sz w:val="20"/>
          <w:szCs w:val="20"/>
        </w:rPr>
        <w:t>.</w:t>
      </w:r>
    </w:p>
    <w:p w14:paraId="0126C6D4" w14:textId="175981CD" w:rsidR="000E4712" w:rsidRPr="003665CF" w:rsidRDefault="000E4712" w:rsidP="000E4712">
      <w:pPr>
        <w:rPr>
          <w:rFonts w:cstheme="minorHAnsi"/>
          <w:sz w:val="20"/>
          <w:szCs w:val="20"/>
        </w:rPr>
      </w:pPr>
      <w:proofErr w:type="spellStart"/>
      <w:r w:rsidRPr="003665CF">
        <w:rPr>
          <w:rFonts w:cstheme="minorHAnsi" w:hint="eastAsia"/>
          <w:b/>
          <w:bCs/>
          <w:sz w:val="20"/>
          <w:szCs w:val="20"/>
        </w:rPr>
        <w:t>e</w:t>
      </w:r>
      <w:r w:rsidRPr="003665CF">
        <w:rPr>
          <w:rFonts w:cstheme="minorHAnsi"/>
          <w:b/>
          <w:bCs/>
          <w:sz w:val="20"/>
          <w:szCs w:val="20"/>
        </w:rPr>
        <w:t>Figure</w:t>
      </w:r>
      <w:proofErr w:type="spellEnd"/>
      <w:r w:rsidRPr="003665CF">
        <w:rPr>
          <w:rFonts w:cstheme="minorHAnsi"/>
          <w:b/>
          <w:bCs/>
          <w:sz w:val="20"/>
          <w:szCs w:val="20"/>
        </w:rPr>
        <w:t xml:space="preserve"> </w:t>
      </w:r>
      <w:r w:rsidR="00C0255C" w:rsidRPr="003665CF">
        <w:rPr>
          <w:rFonts w:cstheme="minorHAnsi"/>
          <w:b/>
          <w:bCs/>
          <w:sz w:val="20"/>
          <w:szCs w:val="20"/>
        </w:rPr>
        <w:t>7</w:t>
      </w:r>
      <w:r w:rsidRPr="003665CF">
        <w:rPr>
          <w:rFonts w:cstheme="minorHAnsi"/>
          <w:b/>
          <w:bCs/>
          <w:sz w:val="20"/>
          <w:szCs w:val="20"/>
        </w:rPr>
        <w:t>.</w:t>
      </w:r>
      <w:r w:rsidRPr="003665CF">
        <w:rPr>
          <w:rFonts w:cstheme="minorHAnsi"/>
          <w:sz w:val="20"/>
          <w:szCs w:val="20"/>
        </w:rPr>
        <w:t xml:space="preserve"> Forest plot of free seizure rates. (A). 12-week. (B). 24-week. (C). 48-week. (D). 72-week. (E). 96-week. (F). 144-week.</w:t>
      </w:r>
    </w:p>
    <w:p w14:paraId="47A6563B" w14:textId="7D95393A" w:rsidR="000E4712" w:rsidRPr="003665CF" w:rsidRDefault="000E4712" w:rsidP="000E4712">
      <w:pPr>
        <w:rPr>
          <w:rFonts w:cstheme="minorHAnsi"/>
          <w:sz w:val="20"/>
          <w:szCs w:val="20"/>
        </w:rPr>
      </w:pPr>
      <w:proofErr w:type="spellStart"/>
      <w:r w:rsidRPr="003665CF">
        <w:rPr>
          <w:rFonts w:cstheme="minorHAnsi" w:hint="eastAsia"/>
          <w:b/>
          <w:bCs/>
          <w:sz w:val="20"/>
          <w:szCs w:val="20"/>
        </w:rPr>
        <w:t>e</w:t>
      </w:r>
      <w:r w:rsidRPr="003665CF">
        <w:rPr>
          <w:rFonts w:cstheme="minorHAnsi"/>
          <w:b/>
          <w:bCs/>
          <w:sz w:val="20"/>
          <w:szCs w:val="20"/>
        </w:rPr>
        <w:t>Figure</w:t>
      </w:r>
      <w:proofErr w:type="spellEnd"/>
      <w:r w:rsidRPr="003665CF">
        <w:rPr>
          <w:rFonts w:cstheme="minorHAnsi"/>
          <w:b/>
          <w:bCs/>
          <w:sz w:val="20"/>
          <w:szCs w:val="20"/>
        </w:rPr>
        <w:t xml:space="preserve"> </w:t>
      </w:r>
      <w:r w:rsidR="00C0255C" w:rsidRPr="003665CF">
        <w:rPr>
          <w:rFonts w:cstheme="minorHAnsi"/>
          <w:b/>
          <w:bCs/>
          <w:sz w:val="20"/>
          <w:szCs w:val="20"/>
        </w:rPr>
        <w:t>8</w:t>
      </w:r>
      <w:r w:rsidRPr="003665CF">
        <w:rPr>
          <w:rFonts w:cstheme="minorHAnsi"/>
          <w:b/>
          <w:bCs/>
          <w:sz w:val="20"/>
          <w:szCs w:val="20"/>
        </w:rPr>
        <w:t xml:space="preserve">. </w:t>
      </w:r>
      <w:r w:rsidRPr="003665CF">
        <w:rPr>
          <w:rFonts w:cstheme="minorHAnsi"/>
          <w:sz w:val="20"/>
          <w:szCs w:val="20"/>
        </w:rPr>
        <w:t xml:space="preserve">Forest plot of </w:t>
      </w:r>
      <w:r w:rsidR="00405140">
        <w:rPr>
          <w:rFonts w:cstheme="minorHAnsi"/>
          <w:sz w:val="20"/>
          <w:szCs w:val="20"/>
        </w:rPr>
        <w:t>proportion of adverse events</w:t>
      </w:r>
      <w:r w:rsidRPr="003665CF">
        <w:rPr>
          <w:rFonts w:cstheme="minorHAnsi"/>
          <w:sz w:val="20"/>
          <w:szCs w:val="20"/>
        </w:rPr>
        <w:t>. (A). 12-week. (B). 24-week. (C). 48-week. (D). 72-week. (E). 96-week. (F). 144-week.</w:t>
      </w:r>
    </w:p>
    <w:p w14:paraId="5346FD82" w14:textId="73446237" w:rsidR="000E4712" w:rsidRPr="003665CF" w:rsidRDefault="000E4712" w:rsidP="000E4712">
      <w:pPr>
        <w:rPr>
          <w:rFonts w:cstheme="minorHAnsi"/>
          <w:sz w:val="20"/>
          <w:szCs w:val="20"/>
        </w:rPr>
      </w:pPr>
      <w:proofErr w:type="spellStart"/>
      <w:r w:rsidRPr="003665CF">
        <w:rPr>
          <w:rFonts w:cstheme="minorHAnsi" w:hint="eastAsia"/>
          <w:b/>
          <w:bCs/>
          <w:sz w:val="20"/>
          <w:szCs w:val="20"/>
        </w:rPr>
        <w:t>e</w:t>
      </w:r>
      <w:r w:rsidRPr="003665CF">
        <w:rPr>
          <w:rFonts w:cstheme="minorHAnsi"/>
          <w:b/>
          <w:bCs/>
          <w:sz w:val="20"/>
          <w:szCs w:val="20"/>
        </w:rPr>
        <w:t>Figure</w:t>
      </w:r>
      <w:proofErr w:type="spellEnd"/>
      <w:r w:rsidRPr="003665CF">
        <w:rPr>
          <w:rFonts w:cstheme="minorHAnsi"/>
          <w:b/>
          <w:bCs/>
          <w:sz w:val="20"/>
          <w:szCs w:val="20"/>
        </w:rPr>
        <w:t xml:space="preserve"> </w:t>
      </w:r>
      <w:r w:rsidR="00C0255C" w:rsidRPr="003665CF">
        <w:rPr>
          <w:rFonts w:cstheme="minorHAnsi"/>
          <w:b/>
          <w:bCs/>
          <w:sz w:val="20"/>
          <w:szCs w:val="20"/>
        </w:rPr>
        <w:t>9</w:t>
      </w:r>
      <w:r w:rsidRPr="003665CF">
        <w:rPr>
          <w:rFonts w:cstheme="minorHAnsi"/>
          <w:b/>
          <w:bCs/>
          <w:sz w:val="20"/>
          <w:szCs w:val="20"/>
        </w:rPr>
        <w:t>.</w:t>
      </w:r>
      <w:r w:rsidRPr="003665CF">
        <w:rPr>
          <w:rFonts w:cstheme="minorHAnsi"/>
          <w:sz w:val="20"/>
          <w:szCs w:val="20"/>
        </w:rPr>
        <w:t xml:space="preserve"> Forest plot of serious </w:t>
      </w:r>
      <w:r w:rsidR="00405140">
        <w:rPr>
          <w:rFonts w:cstheme="minorHAnsi"/>
          <w:sz w:val="20"/>
          <w:szCs w:val="20"/>
        </w:rPr>
        <w:t>proportion of adverse events</w:t>
      </w:r>
      <w:r w:rsidRPr="003665CF">
        <w:rPr>
          <w:rFonts w:cstheme="minorHAnsi"/>
          <w:sz w:val="20"/>
          <w:szCs w:val="20"/>
        </w:rPr>
        <w:t>. (A). 12-week. (B). 24-week. (C). 48-week. (D). 96-week. (</w:t>
      </w:r>
      <w:r w:rsidRPr="003665CF">
        <w:rPr>
          <w:rFonts w:cstheme="minorHAnsi" w:hint="eastAsia"/>
          <w:sz w:val="20"/>
          <w:szCs w:val="20"/>
        </w:rPr>
        <w:t>E</w:t>
      </w:r>
      <w:r w:rsidRPr="003665CF">
        <w:rPr>
          <w:rFonts w:cstheme="minorHAnsi"/>
          <w:sz w:val="20"/>
          <w:szCs w:val="20"/>
        </w:rPr>
        <w:t>). 144-week.</w:t>
      </w:r>
    </w:p>
    <w:p w14:paraId="438197E6" w14:textId="77777777" w:rsidR="000E4712" w:rsidRPr="003665CF" w:rsidRDefault="000E4712">
      <w:pPr>
        <w:widowControl/>
        <w:jc w:val="left"/>
        <w:rPr>
          <w:rFonts w:cstheme="minorHAnsi"/>
          <w:sz w:val="20"/>
          <w:szCs w:val="20"/>
        </w:rPr>
      </w:pPr>
      <w:r w:rsidRPr="003665CF">
        <w:rPr>
          <w:rFonts w:cstheme="minorHAnsi"/>
          <w:sz w:val="20"/>
          <w:szCs w:val="20"/>
        </w:rPr>
        <w:br w:type="page"/>
      </w:r>
    </w:p>
    <w:p w14:paraId="660EBC8D" w14:textId="48B42F26" w:rsidR="000E4712" w:rsidRPr="003665CF" w:rsidRDefault="000E4712" w:rsidP="000E4712">
      <w:pPr>
        <w:rPr>
          <w:rFonts w:cstheme="minorHAnsi"/>
          <w:b/>
          <w:bCs/>
          <w:sz w:val="20"/>
          <w:szCs w:val="20"/>
        </w:rPr>
      </w:pPr>
      <w:proofErr w:type="spellStart"/>
      <w:r w:rsidRPr="003665CF">
        <w:rPr>
          <w:rFonts w:cstheme="minorHAnsi" w:hint="eastAsia"/>
          <w:b/>
          <w:bCs/>
          <w:sz w:val="20"/>
          <w:szCs w:val="20"/>
        </w:rPr>
        <w:lastRenderedPageBreak/>
        <w:t>e</w:t>
      </w:r>
      <w:r w:rsidRPr="003665CF">
        <w:rPr>
          <w:rFonts w:cstheme="minorHAnsi"/>
          <w:b/>
          <w:bCs/>
          <w:sz w:val="20"/>
          <w:szCs w:val="20"/>
        </w:rPr>
        <w:t>Figure</w:t>
      </w:r>
      <w:proofErr w:type="spellEnd"/>
      <w:r w:rsidRPr="003665CF">
        <w:rPr>
          <w:rFonts w:cstheme="minorHAnsi"/>
          <w:b/>
          <w:bCs/>
          <w:sz w:val="20"/>
          <w:szCs w:val="20"/>
        </w:rPr>
        <w:t xml:space="preserve"> 1. The MINORS scores and risk of bias summary.</w:t>
      </w:r>
    </w:p>
    <w:p w14:paraId="5E646D6C" w14:textId="77777777" w:rsidR="000E4712" w:rsidRPr="003665CF" w:rsidRDefault="000E4712" w:rsidP="000E4712">
      <w:pPr>
        <w:rPr>
          <w:rFonts w:cstheme="minorHAnsi"/>
          <w:sz w:val="20"/>
          <w:szCs w:val="20"/>
        </w:rPr>
      </w:pPr>
      <w:r w:rsidRPr="003665CF">
        <w:rPr>
          <w:noProof/>
        </w:rPr>
        <w:drawing>
          <wp:inline distT="0" distB="0" distL="0" distR="0" wp14:anchorId="77FAF311" wp14:editId="714BBB8C">
            <wp:extent cx="4992426" cy="859663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7274" cy="8604978"/>
                    </a:xfrm>
                    <a:prstGeom prst="rect">
                      <a:avLst/>
                    </a:prstGeom>
                    <a:noFill/>
                    <a:ln>
                      <a:noFill/>
                    </a:ln>
                  </pic:spPr>
                </pic:pic>
              </a:graphicData>
            </a:graphic>
          </wp:inline>
        </w:drawing>
      </w:r>
    </w:p>
    <w:p w14:paraId="4DC6C045" w14:textId="77777777" w:rsidR="000E4712" w:rsidRPr="003665CF" w:rsidRDefault="000E4712" w:rsidP="000E4712">
      <w:pPr>
        <w:rPr>
          <w:rFonts w:cstheme="minorHAnsi"/>
          <w:sz w:val="20"/>
          <w:szCs w:val="20"/>
        </w:rPr>
        <w:sectPr w:rsidR="000E4712" w:rsidRPr="003665CF" w:rsidSect="001729E2">
          <w:pgSz w:w="11906" w:h="16838"/>
          <w:pgMar w:top="1440" w:right="1800" w:bottom="1440" w:left="1800" w:header="851" w:footer="992" w:gutter="0"/>
          <w:cols w:space="425"/>
          <w:docGrid w:type="lines" w:linePitch="312"/>
        </w:sectPr>
      </w:pPr>
    </w:p>
    <w:p w14:paraId="5CCAF074" w14:textId="77777777" w:rsidR="000E4712" w:rsidRPr="003665CF" w:rsidRDefault="000E4712" w:rsidP="000E4712">
      <w:pPr>
        <w:rPr>
          <w:rFonts w:cstheme="minorHAnsi"/>
          <w:b/>
          <w:bCs/>
          <w:sz w:val="20"/>
          <w:szCs w:val="20"/>
        </w:rPr>
      </w:pPr>
      <w:proofErr w:type="spellStart"/>
      <w:r w:rsidRPr="003665CF">
        <w:rPr>
          <w:rFonts w:cstheme="minorHAnsi" w:hint="eastAsia"/>
          <w:b/>
          <w:bCs/>
          <w:sz w:val="20"/>
          <w:szCs w:val="20"/>
        </w:rPr>
        <w:lastRenderedPageBreak/>
        <w:t>e</w:t>
      </w:r>
      <w:r w:rsidRPr="003665CF">
        <w:rPr>
          <w:rFonts w:cstheme="minorHAnsi"/>
          <w:b/>
          <w:bCs/>
          <w:sz w:val="20"/>
          <w:szCs w:val="20"/>
        </w:rPr>
        <w:t>Figure</w:t>
      </w:r>
      <w:proofErr w:type="spellEnd"/>
      <w:r w:rsidRPr="003665CF">
        <w:rPr>
          <w:rFonts w:cstheme="minorHAnsi"/>
          <w:b/>
          <w:bCs/>
          <w:sz w:val="20"/>
          <w:szCs w:val="20"/>
        </w:rPr>
        <w:t xml:space="preserve"> 2. Forest plot of responder rates. (A). 12-week. (B). 24-week. (C). 48-week. (D). 72-week. (E). 96-week. (F). 144-week.</w:t>
      </w:r>
    </w:p>
    <w:p w14:paraId="0741D758" w14:textId="160938AA" w:rsidR="00405140" w:rsidRDefault="00BD30D8" w:rsidP="000E4712">
      <w:pPr>
        <w:rPr>
          <w:rFonts w:cstheme="minorHAnsi"/>
          <w:sz w:val="20"/>
          <w:szCs w:val="20"/>
        </w:rPr>
      </w:pPr>
      <w:r>
        <w:rPr>
          <w:rFonts w:cstheme="minorHAnsi"/>
          <w:sz w:val="20"/>
          <w:szCs w:val="20"/>
        </w:rPr>
        <w:object w:dxaOrig="15934" w:dyaOrig="11962" w14:anchorId="288742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2pt;height:393pt" o:ole="" filled="t">
            <v:imagedata r:id="rId7" o:title=""/>
          </v:shape>
          <o:OLEObject Type="Embed" ProgID="Prism9.Document" ShapeID="_x0000_i1025" DrawAspect="Content" ObjectID="_1754231274" r:id="rId8"/>
        </w:object>
      </w:r>
    </w:p>
    <w:p w14:paraId="34787FB0" w14:textId="756F4569" w:rsidR="000E4712" w:rsidRPr="003665CF" w:rsidRDefault="000E4712" w:rsidP="000E4712">
      <w:pPr>
        <w:rPr>
          <w:rFonts w:cstheme="minorHAnsi"/>
          <w:b/>
          <w:bCs/>
          <w:sz w:val="20"/>
          <w:szCs w:val="20"/>
        </w:rPr>
      </w:pPr>
      <w:proofErr w:type="spellStart"/>
      <w:r w:rsidRPr="003665CF">
        <w:rPr>
          <w:rFonts w:cstheme="minorHAnsi" w:hint="eastAsia"/>
          <w:b/>
          <w:bCs/>
          <w:sz w:val="20"/>
          <w:szCs w:val="20"/>
        </w:rPr>
        <w:lastRenderedPageBreak/>
        <w:t>e</w:t>
      </w:r>
      <w:r w:rsidRPr="003665CF">
        <w:rPr>
          <w:rFonts w:cstheme="minorHAnsi"/>
          <w:b/>
          <w:bCs/>
          <w:sz w:val="20"/>
          <w:szCs w:val="20"/>
        </w:rPr>
        <w:t>Figure</w:t>
      </w:r>
      <w:proofErr w:type="spellEnd"/>
      <w:r w:rsidRPr="003665CF">
        <w:rPr>
          <w:rFonts w:cstheme="minorHAnsi"/>
          <w:b/>
          <w:bCs/>
          <w:sz w:val="20"/>
          <w:szCs w:val="20"/>
        </w:rPr>
        <w:t xml:space="preserve"> 3. Sensitivity analyses. (A). Responder rates. (B). Free seizure rate. (C). </w:t>
      </w:r>
      <w:r w:rsidR="00405140">
        <w:rPr>
          <w:rFonts w:cstheme="minorHAnsi"/>
          <w:b/>
          <w:bCs/>
          <w:sz w:val="20"/>
          <w:szCs w:val="20"/>
        </w:rPr>
        <w:t>Proportion of adverse events</w:t>
      </w:r>
      <w:r w:rsidRPr="003665CF">
        <w:rPr>
          <w:rFonts w:cstheme="minorHAnsi"/>
          <w:b/>
          <w:bCs/>
          <w:sz w:val="20"/>
          <w:szCs w:val="20"/>
        </w:rPr>
        <w:t xml:space="preserve">. (D). </w:t>
      </w:r>
      <w:r w:rsidR="00405140">
        <w:rPr>
          <w:rFonts w:cstheme="minorHAnsi"/>
          <w:b/>
          <w:bCs/>
          <w:sz w:val="20"/>
          <w:szCs w:val="20"/>
        </w:rPr>
        <w:t>Proportion of serious adverse events</w:t>
      </w:r>
      <w:r w:rsidRPr="003665CF">
        <w:rPr>
          <w:rFonts w:cstheme="minorHAnsi"/>
          <w:b/>
          <w:bCs/>
          <w:sz w:val="20"/>
          <w:szCs w:val="20"/>
        </w:rPr>
        <w:t>.</w:t>
      </w:r>
    </w:p>
    <w:p w14:paraId="77F6A610" w14:textId="0379FA47" w:rsidR="00347B66" w:rsidRPr="003665CF" w:rsidRDefault="00347B66" w:rsidP="000E4712">
      <w:pPr>
        <w:rPr>
          <w:rFonts w:cstheme="minorHAnsi"/>
          <w:sz w:val="20"/>
          <w:szCs w:val="20"/>
        </w:rPr>
      </w:pPr>
      <w:r w:rsidRPr="003665CF">
        <w:rPr>
          <w:rFonts w:cstheme="minorHAnsi"/>
          <w:sz w:val="20"/>
          <w:szCs w:val="20"/>
        </w:rPr>
        <w:object w:dxaOrig="16070" w:dyaOrig="9773" w14:anchorId="6289C27D">
          <v:shape id="_x0000_i1026" type="#_x0000_t75" style="width:641.4pt;height:390.6pt" o:ole="" filled="t">
            <v:imagedata r:id="rId9" o:title=""/>
          </v:shape>
          <o:OLEObject Type="Embed" ProgID="Prism9.Document" ShapeID="_x0000_i1026" DrawAspect="Content" ObjectID="_1754231275" r:id="rId10"/>
        </w:object>
      </w:r>
    </w:p>
    <w:p w14:paraId="0DC74EFE" w14:textId="4E53A0B5" w:rsidR="00347B66" w:rsidRPr="003665CF" w:rsidRDefault="00347B66" w:rsidP="000E4712">
      <w:pPr>
        <w:rPr>
          <w:rFonts w:cstheme="minorHAnsi"/>
          <w:sz w:val="20"/>
          <w:szCs w:val="20"/>
        </w:rPr>
        <w:sectPr w:rsidR="00347B66" w:rsidRPr="003665CF" w:rsidSect="000A1E88">
          <w:pgSz w:w="16838" w:h="11906" w:orient="landscape"/>
          <w:pgMar w:top="1800" w:right="1440" w:bottom="1800" w:left="1440" w:header="851" w:footer="992" w:gutter="0"/>
          <w:cols w:space="425"/>
          <w:docGrid w:type="lines" w:linePitch="312"/>
        </w:sectPr>
      </w:pPr>
    </w:p>
    <w:p w14:paraId="62DE0EF0" w14:textId="5D24DEDD" w:rsidR="00B326FE" w:rsidRPr="003665CF" w:rsidRDefault="00B326FE" w:rsidP="00B326FE">
      <w:pPr>
        <w:rPr>
          <w:rFonts w:cstheme="minorHAnsi"/>
          <w:b/>
          <w:bCs/>
          <w:sz w:val="20"/>
          <w:szCs w:val="20"/>
        </w:rPr>
      </w:pPr>
      <w:proofErr w:type="spellStart"/>
      <w:r w:rsidRPr="003665CF">
        <w:rPr>
          <w:rFonts w:cstheme="minorHAnsi" w:hint="eastAsia"/>
          <w:b/>
          <w:bCs/>
          <w:sz w:val="20"/>
          <w:szCs w:val="20"/>
        </w:rPr>
        <w:lastRenderedPageBreak/>
        <w:t>e</w:t>
      </w:r>
      <w:r w:rsidRPr="003665CF">
        <w:rPr>
          <w:rFonts w:cstheme="minorHAnsi"/>
          <w:b/>
          <w:bCs/>
          <w:sz w:val="20"/>
          <w:szCs w:val="20"/>
        </w:rPr>
        <w:t>Figure</w:t>
      </w:r>
      <w:proofErr w:type="spellEnd"/>
      <w:r w:rsidRPr="003665CF">
        <w:rPr>
          <w:rFonts w:cstheme="minorHAnsi"/>
          <w:b/>
          <w:bCs/>
          <w:sz w:val="20"/>
          <w:szCs w:val="20"/>
        </w:rPr>
        <w:t xml:space="preserve"> </w:t>
      </w:r>
      <w:r w:rsidR="00695618" w:rsidRPr="003665CF">
        <w:rPr>
          <w:rFonts w:cstheme="minorHAnsi"/>
          <w:b/>
          <w:bCs/>
          <w:sz w:val="20"/>
          <w:szCs w:val="20"/>
        </w:rPr>
        <w:t>4</w:t>
      </w:r>
      <w:r w:rsidRPr="003665CF">
        <w:rPr>
          <w:rFonts w:cstheme="minorHAnsi"/>
          <w:b/>
          <w:bCs/>
          <w:sz w:val="20"/>
          <w:szCs w:val="20"/>
        </w:rPr>
        <w:t xml:space="preserve">. Sensitivity analyses of subgroup analyses of age. (A). Responder rates. (B). Free seizure rate. (C). </w:t>
      </w:r>
      <w:r w:rsidR="00405140">
        <w:rPr>
          <w:rFonts w:cstheme="minorHAnsi"/>
          <w:b/>
          <w:bCs/>
          <w:sz w:val="20"/>
          <w:szCs w:val="20"/>
        </w:rPr>
        <w:t>Proportion of adverse events</w:t>
      </w:r>
      <w:r w:rsidRPr="003665CF">
        <w:rPr>
          <w:rFonts w:cstheme="minorHAnsi"/>
          <w:b/>
          <w:bCs/>
          <w:sz w:val="20"/>
          <w:szCs w:val="20"/>
        </w:rPr>
        <w:t xml:space="preserve">. (D). </w:t>
      </w:r>
      <w:r w:rsidR="00405140">
        <w:rPr>
          <w:rFonts w:cstheme="minorHAnsi"/>
          <w:b/>
          <w:bCs/>
          <w:sz w:val="20"/>
          <w:szCs w:val="20"/>
        </w:rPr>
        <w:t>Proportion of serious adverse events</w:t>
      </w:r>
      <w:r w:rsidRPr="003665CF">
        <w:rPr>
          <w:rFonts w:cstheme="minorHAnsi"/>
          <w:b/>
          <w:bCs/>
          <w:sz w:val="20"/>
          <w:szCs w:val="20"/>
        </w:rPr>
        <w:t xml:space="preserve">. </w:t>
      </w:r>
    </w:p>
    <w:p w14:paraId="7BEFF88E" w14:textId="0A895DCF" w:rsidR="00B326FE" w:rsidRPr="003665CF" w:rsidRDefault="00B326FE" w:rsidP="00B326FE">
      <w:pPr>
        <w:rPr>
          <w:rFonts w:cstheme="minorHAnsi"/>
          <w:sz w:val="20"/>
          <w:szCs w:val="20"/>
        </w:rPr>
      </w:pPr>
      <w:r w:rsidRPr="003665CF">
        <w:rPr>
          <w:rFonts w:cstheme="minorHAnsi"/>
          <w:sz w:val="20"/>
          <w:szCs w:val="20"/>
        </w:rPr>
        <w:t>The left graphs are main analyses: &gt; 14 group and &lt;= 14 group. The right graphs are sensitivity analyses: &gt; 18 group and &lt;= 18.</w:t>
      </w:r>
    </w:p>
    <w:p w14:paraId="1F6F6E63" w14:textId="4E4F6B0A" w:rsidR="00695618" w:rsidRPr="003665CF" w:rsidRDefault="00B326FE" w:rsidP="00695618">
      <w:pPr>
        <w:rPr>
          <w:rFonts w:cstheme="minorHAnsi"/>
          <w:b/>
          <w:bCs/>
          <w:sz w:val="20"/>
          <w:szCs w:val="20"/>
        </w:rPr>
      </w:pPr>
      <w:r w:rsidRPr="003665CF">
        <w:rPr>
          <w:rFonts w:cstheme="minorHAnsi"/>
          <w:sz w:val="20"/>
          <w:szCs w:val="20"/>
        </w:rPr>
        <w:object w:dxaOrig="11885" w:dyaOrig="16111" w14:anchorId="10E83C44">
          <v:shape id="_x0000_i1027" type="#_x0000_t75" style="width:415.2pt;height:562.8pt" o:ole="" filled="t">
            <v:imagedata r:id="rId11" o:title=""/>
          </v:shape>
          <o:OLEObject Type="Embed" ProgID="Prism9.Document" ShapeID="_x0000_i1027" DrawAspect="Content" ObjectID="_1754231276" r:id="rId12"/>
        </w:object>
      </w:r>
      <w:r w:rsidRPr="003665CF">
        <w:rPr>
          <w:rFonts w:cstheme="minorHAnsi"/>
          <w:b/>
          <w:bCs/>
          <w:sz w:val="20"/>
          <w:szCs w:val="20"/>
        </w:rPr>
        <w:br w:type="page"/>
      </w:r>
      <w:proofErr w:type="spellStart"/>
      <w:r w:rsidR="00695618" w:rsidRPr="003665CF">
        <w:rPr>
          <w:rFonts w:cstheme="minorHAnsi" w:hint="eastAsia"/>
          <w:b/>
          <w:bCs/>
          <w:sz w:val="20"/>
          <w:szCs w:val="20"/>
        </w:rPr>
        <w:lastRenderedPageBreak/>
        <w:t>e</w:t>
      </w:r>
      <w:r w:rsidR="00695618" w:rsidRPr="003665CF">
        <w:rPr>
          <w:rFonts w:cstheme="minorHAnsi"/>
          <w:b/>
          <w:bCs/>
          <w:sz w:val="20"/>
          <w:szCs w:val="20"/>
        </w:rPr>
        <w:t>Figure</w:t>
      </w:r>
      <w:proofErr w:type="spellEnd"/>
      <w:r w:rsidR="00695618" w:rsidRPr="003665CF">
        <w:rPr>
          <w:rFonts w:cstheme="minorHAnsi"/>
          <w:b/>
          <w:bCs/>
          <w:sz w:val="20"/>
          <w:szCs w:val="20"/>
        </w:rPr>
        <w:t xml:space="preserve"> 5. Sensitivity analyses of subgroup analyses of epilepsy syndromes. (A). Responder rates. (B). Free seizure rate. (C). </w:t>
      </w:r>
      <w:r w:rsidR="00405140">
        <w:rPr>
          <w:rFonts w:cstheme="minorHAnsi"/>
          <w:b/>
          <w:bCs/>
          <w:sz w:val="20"/>
          <w:szCs w:val="20"/>
        </w:rPr>
        <w:t>Proportion of adverse events</w:t>
      </w:r>
      <w:r w:rsidR="00695618" w:rsidRPr="003665CF">
        <w:rPr>
          <w:rFonts w:cstheme="minorHAnsi"/>
          <w:b/>
          <w:bCs/>
          <w:sz w:val="20"/>
          <w:szCs w:val="20"/>
        </w:rPr>
        <w:t xml:space="preserve">. (D). </w:t>
      </w:r>
      <w:r w:rsidR="00405140">
        <w:rPr>
          <w:rFonts w:cstheme="minorHAnsi"/>
          <w:b/>
          <w:bCs/>
          <w:sz w:val="20"/>
          <w:szCs w:val="20"/>
        </w:rPr>
        <w:t>Proportion of serious adverse events</w:t>
      </w:r>
      <w:r w:rsidR="00695618" w:rsidRPr="003665CF">
        <w:rPr>
          <w:rFonts w:cstheme="minorHAnsi"/>
          <w:b/>
          <w:bCs/>
          <w:sz w:val="20"/>
          <w:szCs w:val="20"/>
        </w:rPr>
        <w:t xml:space="preserve">. </w:t>
      </w:r>
    </w:p>
    <w:p w14:paraId="10EA843D" w14:textId="77777777" w:rsidR="00695618" w:rsidRPr="003665CF" w:rsidRDefault="00695618" w:rsidP="00695618">
      <w:pPr>
        <w:rPr>
          <w:rFonts w:cstheme="minorHAnsi"/>
          <w:sz w:val="20"/>
          <w:szCs w:val="20"/>
        </w:rPr>
      </w:pPr>
      <w:r w:rsidRPr="003665CF">
        <w:rPr>
          <w:rFonts w:cstheme="minorHAnsi"/>
          <w:sz w:val="20"/>
          <w:szCs w:val="20"/>
        </w:rPr>
        <w:t>The left graphs are main analyses: LGS &amp; DS group and other syndromes group were divided by the constituent ratio of epilepsy syndromes greater than 50%. The right graphs are sensitivity analyses: LGS &amp; DS group and other syndromes group were divided by the constituent ratio of epilepsy syndromes greater than 95%.</w:t>
      </w:r>
    </w:p>
    <w:p w14:paraId="19F2829A" w14:textId="27BE2349" w:rsidR="00695618" w:rsidRPr="003665CF" w:rsidRDefault="00695618" w:rsidP="00695618">
      <w:pPr>
        <w:rPr>
          <w:rFonts w:cstheme="minorHAnsi"/>
          <w:b/>
          <w:bCs/>
          <w:sz w:val="20"/>
          <w:szCs w:val="20"/>
        </w:rPr>
      </w:pPr>
      <w:r w:rsidRPr="003665CF">
        <w:rPr>
          <w:rFonts w:cstheme="minorHAnsi"/>
          <w:b/>
          <w:bCs/>
          <w:sz w:val="20"/>
          <w:szCs w:val="20"/>
        </w:rPr>
        <w:object w:dxaOrig="11861" w:dyaOrig="16109" w14:anchorId="2F16F987">
          <v:shape id="_x0000_i1028" type="#_x0000_t75" style="width:415.2pt;height:564pt" o:ole="" filled="t">
            <v:imagedata r:id="rId13" o:title=""/>
          </v:shape>
          <o:OLEObject Type="Embed" ProgID="Prism9.Document" ShapeID="_x0000_i1028" DrawAspect="Content" ObjectID="_1754231277" r:id="rId14"/>
        </w:object>
      </w:r>
      <w:r w:rsidRPr="003665CF">
        <w:rPr>
          <w:rFonts w:cstheme="minorHAnsi"/>
          <w:b/>
          <w:bCs/>
          <w:sz w:val="20"/>
          <w:szCs w:val="20"/>
        </w:rPr>
        <w:br w:type="page"/>
      </w:r>
    </w:p>
    <w:p w14:paraId="322E27C3" w14:textId="05639A6F" w:rsidR="000E4712" w:rsidRPr="003665CF" w:rsidRDefault="000E4712" w:rsidP="000E4712">
      <w:pPr>
        <w:rPr>
          <w:rFonts w:cstheme="minorHAnsi"/>
          <w:b/>
          <w:bCs/>
          <w:sz w:val="20"/>
          <w:szCs w:val="20"/>
        </w:rPr>
      </w:pPr>
      <w:proofErr w:type="spellStart"/>
      <w:r w:rsidRPr="003665CF">
        <w:rPr>
          <w:rFonts w:cstheme="minorHAnsi" w:hint="eastAsia"/>
          <w:b/>
          <w:bCs/>
          <w:sz w:val="20"/>
          <w:szCs w:val="20"/>
        </w:rPr>
        <w:lastRenderedPageBreak/>
        <w:t>e</w:t>
      </w:r>
      <w:r w:rsidRPr="003665CF">
        <w:rPr>
          <w:rFonts w:cstheme="minorHAnsi"/>
          <w:b/>
          <w:bCs/>
          <w:sz w:val="20"/>
          <w:szCs w:val="20"/>
        </w:rPr>
        <w:t>Figure</w:t>
      </w:r>
      <w:proofErr w:type="spellEnd"/>
      <w:r w:rsidRPr="003665CF">
        <w:rPr>
          <w:rFonts w:cstheme="minorHAnsi"/>
          <w:b/>
          <w:bCs/>
          <w:sz w:val="20"/>
          <w:szCs w:val="20"/>
        </w:rPr>
        <w:t xml:space="preserve"> </w:t>
      </w:r>
      <w:r w:rsidR="00C0255C" w:rsidRPr="003665CF">
        <w:rPr>
          <w:rFonts w:cstheme="minorHAnsi"/>
          <w:b/>
          <w:bCs/>
          <w:sz w:val="20"/>
          <w:szCs w:val="20"/>
        </w:rPr>
        <w:t>6</w:t>
      </w:r>
      <w:r w:rsidRPr="003665CF">
        <w:rPr>
          <w:rFonts w:cstheme="minorHAnsi"/>
          <w:b/>
          <w:bCs/>
          <w:sz w:val="20"/>
          <w:szCs w:val="20"/>
        </w:rPr>
        <w:t xml:space="preserve">. Funnel plot. (A). Responder rates. (B). Free seizure rate. (C). </w:t>
      </w:r>
      <w:r w:rsidR="00405140">
        <w:rPr>
          <w:rFonts w:cstheme="minorHAnsi"/>
          <w:b/>
          <w:bCs/>
          <w:sz w:val="20"/>
          <w:szCs w:val="20"/>
        </w:rPr>
        <w:t>Proportion of adverse events</w:t>
      </w:r>
      <w:r w:rsidRPr="003665CF">
        <w:rPr>
          <w:rFonts w:cstheme="minorHAnsi"/>
          <w:b/>
          <w:bCs/>
          <w:sz w:val="20"/>
          <w:szCs w:val="20"/>
        </w:rPr>
        <w:t xml:space="preserve">. (D). </w:t>
      </w:r>
      <w:r w:rsidR="00405140">
        <w:rPr>
          <w:rFonts w:cstheme="minorHAnsi"/>
          <w:b/>
          <w:bCs/>
          <w:sz w:val="20"/>
          <w:szCs w:val="20"/>
        </w:rPr>
        <w:t>Proportion of serious adverse events</w:t>
      </w:r>
      <w:r w:rsidRPr="003665CF">
        <w:rPr>
          <w:rFonts w:cstheme="minorHAnsi"/>
          <w:b/>
          <w:bCs/>
          <w:sz w:val="20"/>
          <w:szCs w:val="20"/>
        </w:rPr>
        <w:t>.</w:t>
      </w:r>
    </w:p>
    <w:p w14:paraId="2FB8343D" w14:textId="77777777" w:rsidR="000E4712" w:rsidRPr="003665CF" w:rsidRDefault="000E4712" w:rsidP="000E4712">
      <w:pPr>
        <w:rPr>
          <w:rFonts w:cstheme="minorHAnsi"/>
          <w:sz w:val="20"/>
          <w:szCs w:val="20"/>
        </w:rPr>
        <w:sectPr w:rsidR="000E4712" w:rsidRPr="003665CF" w:rsidSect="005810AE">
          <w:pgSz w:w="11906" w:h="16838"/>
          <w:pgMar w:top="1440" w:right="1800" w:bottom="1440" w:left="1800" w:header="851" w:footer="992" w:gutter="0"/>
          <w:cols w:space="425"/>
          <w:docGrid w:type="lines" w:linePitch="312"/>
        </w:sectPr>
      </w:pPr>
      <w:r w:rsidRPr="003665CF">
        <w:rPr>
          <w:rFonts w:cstheme="minorHAnsi"/>
          <w:noProof/>
          <w:sz w:val="20"/>
          <w:szCs w:val="20"/>
        </w:rPr>
        <w:drawing>
          <wp:inline distT="0" distB="0" distL="0" distR="0" wp14:anchorId="0166EB1D" wp14:editId="645677BF">
            <wp:extent cx="5265420" cy="53035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65420" cy="5303520"/>
                    </a:xfrm>
                    <a:prstGeom prst="rect">
                      <a:avLst/>
                    </a:prstGeom>
                    <a:noFill/>
                    <a:ln>
                      <a:noFill/>
                    </a:ln>
                  </pic:spPr>
                </pic:pic>
              </a:graphicData>
            </a:graphic>
          </wp:inline>
        </w:drawing>
      </w:r>
    </w:p>
    <w:p w14:paraId="48B8DE2D" w14:textId="37B7765F" w:rsidR="000E4712" w:rsidRPr="003665CF" w:rsidRDefault="000E4712" w:rsidP="000E4712">
      <w:pPr>
        <w:rPr>
          <w:rFonts w:cstheme="minorHAnsi"/>
          <w:b/>
          <w:bCs/>
          <w:sz w:val="20"/>
          <w:szCs w:val="20"/>
        </w:rPr>
      </w:pPr>
      <w:proofErr w:type="spellStart"/>
      <w:r w:rsidRPr="003665CF">
        <w:rPr>
          <w:rFonts w:cstheme="minorHAnsi" w:hint="eastAsia"/>
          <w:b/>
          <w:bCs/>
          <w:sz w:val="20"/>
          <w:szCs w:val="20"/>
        </w:rPr>
        <w:lastRenderedPageBreak/>
        <w:t>e</w:t>
      </w:r>
      <w:r w:rsidRPr="003665CF">
        <w:rPr>
          <w:rFonts w:cstheme="minorHAnsi"/>
          <w:b/>
          <w:bCs/>
          <w:sz w:val="20"/>
          <w:szCs w:val="20"/>
        </w:rPr>
        <w:t>Figure</w:t>
      </w:r>
      <w:proofErr w:type="spellEnd"/>
      <w:r w:rsidRPr="003665CF">
        <w:rPr>
          <w:rFonts w:cstheme="minorHAnsi"/>
          <w:b/>
          <w:bCs/>
          <w:sz w:val="20"/>
          <w:szCs w:val="20"/>
        </w:rPr>
        <w:t xml:space="preserve"> </w:t>
      </w:r>
      <w:r w:rsidR="00C0255C" w:rsidRPr="003665CF">
        <w:rPr>
          <w:rFonts w:cstheme="minorHAnsi"/>
          <w:b/>
          <w:bCs/>
          <w:sz w:val="20"/>
          <w:szCs w:val="20"/>
        </w:rPr>
        <w:t>7</w:t>
      </w:r>
      <w:r w:rsidRPr="003665CF">
        <w:rPr>
          <w:rFonts w:cstheme="minorHAnsi"/>
          <w:b/>
          <w:bCs/>
          <w:sz w:val="20"/>
          <w:szCs w:val="20"/>
        </w:rPr>
        <w:t>. Forest plot of free seizure rates. (A). 12-week. (B). 24-week. (C). 48-week. (D). 72-week. (E). 96-week. (F). 144-week.</w:t>
      </w:r>
    </w:p>
    <w:p w14:paraId="77305244" w14:textId="77777777" w:rsidR="000E4712" w:rsidRPr="003665CF" w:rsidRDefault="000E4712" w:rsidP="000E4712">
      <w:pPr>
        <w:rPr>
          <w:rFonts w:cstheme="minorHAnsi"/>
          <w:sz w:val="20"/>
          <w:szCs w:val="20"/>
        </w:rPr>
      </w:pPr>
      <w:r w:rsidRPr="003665CF">
        <w:rPr>
          <w:rFonts w:cstheme="minorHAnsi"/>
          <w:sz w:val="20"/>
          <w:szCs w:val="20"/>
        </w:rPr>
        <w:object w:dxaOrig="15941" w:dyaOrig="11969" w14:anchorId="472339A7">
          <v:shape id="_x0000_i1029" type="#_x0000_t75" style="width:522pt;height:390.6pt" o:ole="" filled="t">
            <v:imagedata r:id="rId17" o:title=""/>
          </v:shape>
          <o:OLEObject Type="Embed" ProgID="Prism9.Document" ShapeID="_x0000_i1029" DrawAspect="Content" ObjectID="_1754231278" r:id="rId18"/>
        </w:object>
      </w:r>
    </w:p>
    <w:p w14:paraId="13D0E674" w14:textId="0EDBD98F" w:rsidR="000E4712" w:rsidRPr="003665CF" w:rsidRDefault="000E4712" w:rsidP="000E4712">
      <w:pPr>
        <w:rPr>
          <w:rFonts w:cstheme="minorHAnsi"/>
          <w:b/>
          <w:bCs/>
          <w:sz w:val="20"/>
          <w:szCs w:val="20"/>
        </w:rPr>
      </w:pPr>
      <w:proofErr w:type="spellStart"/>
      <w:r w:rsidRPr="003665CF">
        <w:rPr>
          <w:rFonts w:cstheme="minorHAnsi" w:hint="eastAsia"/>
          <w:b/>
          <w:bCs/>
          <w:sz w:val="20"/>
          <w:szCs w:val="20"/>
        </w:rPr>
        <w:lastRenderedPageBreak/>
        <w:t>e</w:t>
      </w:r>
      <w:r w:rsidRPr="003665CF">
        <w:rPr>
          <w:rFonts w:cstheme="minorHAnsi"/>
          <w:b/>
          <w:bCs/>
          <w:sz w:val="20"/>
          <w:szCs w:val="20"/>
        </w:rPr>
        <w:t>Figure</w:t>
      </w:r>
      <w:proofErr w:type="spellEnd"/>
      <w:r w:rsidRPr="003665CF">
        <w:rPr>
          <w:rFonts w:cstheme="minorHAnsi"/>
          <w:b/>
          <w:bCs/>
          <w:sz w:val="20"/>
          <w:szCs w:val="20"/>
        </w:rPr>
        <w:t xml:space="preserve"> </w:t>
      </w:r>
      <w:r w:rsidR="00C0255C" w:rsidRPr="003665CF">
        <w:rPr>
          <w:rFonts w:cstheme="minorHAnsi"/>
          <w:b/>
          <w:bCs/>
          <w:sz w:val="20"/>
          <w:szCs w:val="20"/>
        </w:rPr>
        <w:t>8</w:t>
      </w:r>
      <w:r w:rsidRPr="003665CF">
        <w:rPr>
          <w:rFonts w:cstheme="minorHAnsi"/>
          <w:b/>
          <w:bCs/>
          <w:sz w:val="20"/>
          <w:szCs w:val="20"/>
        </w:rPr>
        <w:t xml:space="preserve">. Forest plot of </w:t>
      </w:r>
      <w:r w:rsidR="00405140">
        <w:rPr>
          <w:rFonts w:cstheme="minorHAnsi"/>
          <w:b/>
          <w:bCs/>
          <w:sz w:val="20"/>
          <w:szCs w:val="20"/>
        </w:rPr>
        <w:t>proportion of adverse events</w:t>
      </w:r>
      <w:r w:rsidRPr="003665CF">
        <w:rPr>
          <w:rFonts w:cstheme="minorHAnsi"/>
          <w:b/>
          <w:bCs/>
          <w:sz w:val="20"/>
          <w:szCs w:val="20"/>
        </w:rPr>
        <w:t>. (A). 12-week. (B). 24-week. (C). 48-week. (D). 72-week. (E). 96-week. (F). 144-week.</w:t>
      </w:r>
    </w:p>
    <w:p w14:paraId="5025AB69" w14:textId="77777777" w:rsidR="000E4712" w:rsidRPr="003665CF" w:rsidRDefault="000E4712" w:rsidP="000E4712">
      <w:pPr>
        <w:rPr>
          <w:rFonts w:cstheme="minorHAnsi"/>
          <w:sz w:val="20"/>
          <w:szCs w:val="20"/>
        </w:rPr>
      </w:pPr>
      <w:r w:rsidRPr="003665CF">
        <w:rPr>
          <w:rFonts w:cstheme="minorHAnsi"/>
          <w:sz w:val="20"/>
          <w:szCs w:val="20"/>
        </w:rPr>
        <w:object w:dxaOrig="15941" w:dyaOrig="11969" w14:anchorId="2D6797D5">
          <v:shape id="_x0000_i1030" type="#_x0000_t75" style="width:522.6pt;height:392.4pt" o:ole="" filled="t">
            <v:imagedata r:id="rId19" o:title=""/>
          </v:shape>
          <o:OLEObject Type="Embed" ProgID="Prism9.Document" ShapeID="_x0000_i1030" DrawAspect="Content" ObjectID="_1754231279" r:id="rId20"/>
        </w:object>
      </w:r>
    </w:p>
    <w:p w14:paraId="502DA89F" w14:textId="67D409EC" w:rsidR="000E4712" w:rsidRPr="003665CF" w:rsidRDefault="000E4712" w:rsidP="000E4712">
      <w:pPr>
        <w:rPr>
          <w:rFonts w:cstheme="minorHAnsi"/>
          <w:b/>
          <w:bCs/>
          <w:sz w:val="20"/>
          <w:szCs w:val="20"/>
        </w:rPr>
      </w:pPr>
      <w:proofErr w:type="spellStart"/>
      <w:r w:rsidRPr="003665CF">
        <w:rPr>
          <w:rFonts w:cstheme="minorHAnsi" w:hint="eastAsia"/>
          <w:b/>
          <w:bCs/>
          <w:sz w:val="20"/>
          <w:szCs w:val="20"/>
        </w:rPr>
        <w:lastRenderedPageBreak/>
        <w:t>e</w:t>
      </w:r>
      <w:r w:rsidRPr="003665CF">
        <w:rPr>
          <w:rFonts w:cstheme="minorHAnsi"/>
          <w:b/>
          <w:bCs/>
          <w:sz w:val="20"/>
          <w:szCs w:val="20"/>
        </w:rPr>
        <w:t>Figure</w:t>
      </w:r>
      <w:proofErr w:type="spellEnd"/>
      <w:r w:rsidRPr="003665CF">
        <w:rPr>
          <w:rFonts w:cstheme="minorHAnsi"/>
          <w:b/>
          <w:bCs/>
          <w:sz w:val="20"/>
          <w:szCs w:val="20"/>
        </w:rPr>
        <w:t xml:space="preserve"> </w:t>
      </w:r>
      <w:r w:rsidR="00C0255C" w:rsidRPr="003665CF">
        <w:rPr>
          <w:rFonts w:cstheme="minorHAnsi"/>
          <w:b/>
          <w:bCs/>
          <w:sz w:val="20"/>
          <w:szCs w:val="20"/>
        </w:rPr>
        <w:t>9</w:t>
      </w:r>
      <w:r w:rsidRPr="003665CF">
        <w:rPr>
          <w:rFonts w:cstheme="minorHAnsi"/>
          <w:b/>
          <w:bCs/>
          <w:sz w:val="20"/>
          <w:szCs w:val="20"/>
        </w:rPr>
        <w:t xml:space="preserve">. Forest plot of serious </w:t>
      </w:r>
      <w:r w:rsidR="00405140">
        <w:rPr>
          <w:rFonts w:cstheme="minorHAnsi"/>
          <w:b/>
          <w:bCs/>
          <w:sz w:val="20"/>
          <w:szCs w:val="20"/>
        </w:rPr>
        <w:t>proportion of adverse events</w:t>
      </w:r>
      <w:r w:rsidRPr="003665CF">
        <w:rPr>
          <w:rFonts w:cstheme="minorHAnsi"/>
          <w:b/>
          <w:bCs/>
          <w:sz w:val="20"/>
          <w:szCs w:val="20"/>
        </w:rPr>
        <w:t>. (A). 12-week. (B). 24-week. (C). 48-week. (D). 96-week. (</w:t>
      </w:r>
      <w:r w:rsidRPr="003665CF">
        <w:rPr>
          <w:rFonts w:cstheme="minorHAnsi" w:hint="eastAsia"/>
          <w:b/>
          <w:bCs/>
          <w:sz w:val="20"/>
          <w:szCs w:val="20"/>
        </w:rPr>
        <w:t>E</w:t>
      </w:r>
      <w:r w:rsidRPr="003665CF">
        <w:rPr>
          <w:rFonts w:cstheme="minorHAnsi"/>
          <w:b/>
          <w:bCs/>
          <w:sz w:val="20"/>
          <w:szCs w:val="20"/>
        </w:rPr>
        <w:t>). 144-week.</w:t>
      </w:r>
    </w:p>
    <w:p w14:paraId="203B0351" w14:textId="61B8F9B2" w:rsidR="00B15DB7" w:rsidRDefault="000E4712" w:rsidP="00B82BB1">
      <w:r w:rsidRPr="003665CF">
        <w:rPr>
          <w:rFonts w:cstheme="minorHAnsi"/>
          <w:sz w:val="20"/>
          <w:szCs w:val="20"/>
        </w:rPr>
        <w:object w:dxaOrig="15826" w:dyaOrig="11969" w14:anchorId="7A3889E3">
          <v:shape id="_x0000_i1031" type="#_x0000_t75" style="width:519.6pt;height:393pt" o:ole="" filled="t">
            <v:imagedata r:id="rId21" o:title=""/>
          </v:shape>
          <o:OLEObject Type="Embed" ProgID="Prism9.Document" ShapeID="_x0000_i1031" DrawAspect="Content" ObjectID="_1754231280" r:id="rId22"/>
        </w:object>
      </w:r>
    </w:p>
    <w:sectPr w:rsidR="00B15DB7" w:rsidSect="00B82BB1">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BF583" w14:textId="77777777" w:rsidR="00C24E8E" w:rsidRDefault="00C24E8E" w:rsidP="000E4712">
      <w:r>
        <w:separator/>
      </w:r>
    </w:p>
  </w:endnote>
  <w:endnote w:type="continuationSeparator" w:id="0">
    <w:p w14:paraId="15B806A4" w14:textId="77777777" w:rsidR="00C24E8E" w:rsidRDefault="00C24E8E" w:rsidP="000E4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8A200" w14:textId="77777777" w:rsidR="00C24E8E" w:rsidRDefault="00C24E8E" w:rsidP="000E4712">
      <w:r>
        <w:separator/>
      </w:r>
    </w:p>
  </w:footnote>
  <w:footnote w:type="continuationSeparator" w:id="0">
    <w:p w14:paraId="0D5712E8" w14:textId="77777777" w:rsidR="00C24E8E" w:rsidRDefault="00C24E8E" w:rsidP="000E47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A41BB"/>
    <w:rsid w:val="00003315"/>
    <w:rsid w:val="000E4712"/>
    <w:rsid w:val="00181892"/>
    <w:rsid w:val="00181C70"/>
    <w:rsid w:val="002F6031"/>
    <w:rsid w:val="00347B66"/>
    <w:rsid w:val="003665CF"/>
    <w:rsid w:val="003F0BA6"/>
    <w:rsid w:val="00405140"/>
    <w:rsid w:val="00482FD1"/>
    <w:rsid w:val="004E0A10"/>
    <w:rsid w:val="00616D0E"/>
    <w:rsid w:val="00682DB9"/>
    <w:rsid w:val="00695618"/>
    <w:rsid w:val="00865526"/>
    <w:rsid w:val="008C4584"/>
    <w:rsid w:val="00906354"/>
    <w:rsid w:val="00A54B35"/>
    <w:rsid w:val="00B15DB7"/>
    <w:rsid w:val="00B326FE"/>
    <w:rsid w:val="00B80ED2"/>
    <w:rsid w:val="00B82BB1"/>
    <w:rsid w:val="00BD30D8"/>
    <w:rsid w:val="00C0255C"/>
    <w:rsid w:val="00C24E8E"/>
    <w:rsid w:val="00C820EE"/>
    <w:rsid w:val="00CC351E"/>
    <w:rsid w:val="00D97507"/>
    <w:rsid w:val="00DC5096"/>
    <w:rsid w:val="00DF43A6"/>
    <w:rsid w:val="00EB1D5A"/>
    <w:rsid w:val="00EE2F2F"/>
    <w:rsid w:val="00FA41BB"/>
    <w:rsid w:val="00FD2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5B957"/>
  <w15:chartTrackingRefBased/>
  <w15:docId w15:val="{367B8D57-9527-43D7-8B15-65FB462B2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4712"/>
    <w:pPr>
      <w:widowControl w:val="0"/>
      <w:jc w:val="both"/>
    </w:pPr>
  </w:style>
  <w:style w:type="paragraph" w:styleId="1">
    <w:name w:val="heading 1"/>
    <w:aliases w:val="标题样式一"/>
    <w:next w:val="a"/>
    <w:link w:val="10"/>
    <w:uiPriority w:val="9"/>
    <w:qFormat/>
    <w:rsid w:val="00616D0E"/>
    <w:pPr>
      <w:keepNext/>
      <w:keepLines/>
      <w:pBdr>
        <w:bottom w:val="single" w:sz="8" w:space="0" w:color="DBE5F1" w:themeColor="accent1" w:themeTint="33"/>
      </w:pBdr>
      <w:spacing w:after="200" w:line="300" w:lineRule="auto"/>
      <w:outlineLvl w:val="0"/>
    </w:pPr>
    <w:rPr>
      <w:rFonts w:asciiTheme="majorHAnsi" w:eastAsia="Microsoft YaHei UI" w:hAnsiTheme="majorHAnsi" w:cstheme="majorBidi"/>
      <w:color w:val="4F81BD" w:themeColor="accent1"/>
      <w:kern w:val="0"/>
      <w:sz w:val="36"/>
      <w:szCs w:val="36"/>
      <w:lang w:eastAsia="ja-JP"/>
    </w:rPr>
  </w:style>
  <w:style w:type="paragraph" w:styleId="2">
    <w:name w:val="heading 2"/>
    <w:aliases w:val="标题样式二"/>
    <w:next w:val="a"/>
    <w:link w:val="20"/>
    <w:uiPriority w:val="9"/>
    <w:unhideWhenUsed/>
    <w:qFormat/>
    <w:rsid w:val="00616D0E"/>
    <w:pPr>
      <w:keepNext/>
      <w:keepLines/>
      <w:spacing w:before="120" w:after="120"/>
      <w:outlineLvl w:val="1"/>
    </w:pPr>
    <w:rPr>
      <w:rFonts w:eastAsia="Microsoft YaHei UI"/>
      <w:b/>
      <w:bCs/>
      <w:color w:val="1F497D" w:themeColor="text2"/>
      <w:kern w:val="0"/>
      <w:sz w:val="26"/>
      <w:szCs w:val="26"/>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标题样式一 字符"/>
    <w:basedOn w:val="a0"/>
    <w:link w:val="1"/>
    <w:uiPriority w:val="9"/>
    <w:rsid w:val="00616D0E"/>
    <w:rPr>
      <w:rFonts w:asciiTheme="majorHAnsi" w:eastAsia="Microsoft YaHei UI" w:hAnsiTheme="majorHAnsi" w:cstheme="majorBidi"/>
      <w:color w:val="4F81BD" w:themeColor="accent1"/>
      <w:kern w:val="0"/>
      <w:sz w:val="36"/>
      <w:szCs w:val="36"/>
      <w:lang w:eastAsia="ja-JP"/>
    </w:rPr>
  </w:style>
  <w:style w:type="character" w:customStyle="1" w:styleId="20">
    <w:name w:val="标题 2 字符"/>
    <w:aliases w:val="标题样式二 字符"/>
    <w:basedOn w:val="a0"/>
    <w:link w:val="2"/>
    <w:uiPriority w:val="9"/>
    <w:rsid w:val="00616D0E"/>
    <w:rPr>
      <w:rFonts w:eastAsia="Microsoft YaHei UI"/>
      <w:b/>
      <w:bCs/>
      <w:color w:val="1F497D" w:themeColor="text2"/>
      <w:kern w:val="0"/>
      <w:sz w:val="26"/>
      <w:szCs w:val="26"/>
      <w:lang w:eastAsia="ja-JP"/>
    </w:rPr>
  </w:style>
  <w:style w:type="paragraph" w:styleId="a3">
    <w:name w:val="header"/>
    <w:basedOn w:val="a"/>
    <w:link w:val="a4"/>
    <w:uiPriority w:val="99"/>
    <w:unhideWhenUsed/>
    <w:rsid w:val="000E47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4712"/>
    <w:rPr>
      <w:sz w:val="18"/>
      <w:szCs w:val="18"/>
    </w:rPr>
  </w:style>
  <w:style w:type="paragraph" w:styleId="a5">
    <w:name w:val="footer"/>
    <w:basedOn w:val="a"/>
    <w:link w:val="a6"/>
    <w:uiPriority w:val="99"/>
    <w:unhideWhenUsed/>
    <w:rsid w:val="000E4712"/>
    <w:pPr>
      <w:tabs>
        <w:tab w:val="center" w:pos="4153"/>
        <w:tab w:val="right" w:pos="8306"/>
      </w:tabs>
      <w:snapToGrid w:val="0"/>
      <w:jc w:val="left"/>
    </w:pPr>
    <w:rPr>
      <w:sz w:val="18"/>
      <w:szCs w:val="18"/>
    </w:rPr>
  </w:style>
  <w:style w:type="character" w:customStyle="1" w:styleId="a6">
    <w:name w:val="页脚 字符"/>
    <w:basedOn w:val="a0"/>
    <w:link w:val="a5"/>
    <w:uiPriority w:val="99"/>
    <w:rsid w:val="000E47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oleObject" Target="embeddings/oleObject5.bin"/><Relationship Id="rId3" Type="http://schemas.openxmlformats.org/officeDocument/2006/relationships/webSettings" Target="webSettings.xml"/><Relationship Id="rId21" Type="http://schemas.openxmlformats.org/officeDocument/2006/relationships/image" Target="media/image9.emf"/><Relationship Id="rId7" Type="http://schemas.openxmlformats.org/officeDocument/2006/relationships/image" Target="media/image2.emf"/><Relationship Id="rId12" Type="http://schemas.openxmlformats.org/officeDocument/2006/relationships/oleObject" Target="embeddings/oleObject3.bin"/><Relationship Id="rId17" Type="http://schemas.openxmlformats.org/officeDocument/2006/relationships/image" Target="media/image7.emf"/><Relationship Id="rId2" Type="http://schemas.openxmlformats.org/officeDocument/2006/relationships/settings" Target="settings.xml"/><Relationship Id="rId16" Type="http://schemas.microsoft.com/office/2007/relationships/hdphoto" Target="media/hdphoto1.wdp"/><Relationship Id="rId20" Type="http://schemas.openxmlformats.org/officeDocument/2006/relationships/oleObject" Target="embeddings/oleObject6.bin"/><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image" Target="media/image8.emf"/><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oleObject" Target="embeddings/oleObject4.bin"/><Relationship Id="rId22" Type="http://schemas.openxmlformats.org/officeDocument/2006/relationships/oleObject" Target="embeddings/oleObject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16</cp:revision>
  <dcterms:created xsi:type="dcterms:W3CDTF">2023-03-21T04:14:00Z</dcterms:created>
  <dcterms:modified xsi:type="dcterms:W3CDTF">2023-08-22T09:41:00Z</dcterms:modified>
</cp:coreProperties>
</file>