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EB6C8" w14:textId="4B3BA184" w:rsidR="00DE7693" w:rsidRDefault="00DE7693" w:rsidP="00DE7693">
      <w:pPr>
        <w:spacing w:line="480" w:lineRule="auto"/>
        <w:jc w:val="center"/>
        <w:rPr>
          <w:b/>
        </w:rPr>
      </w:pPr>
      <w:r>
        <w:rPr>
          <w:b/>
        </w:rPr>
        <w:t>Supplemental Methods</w:t>
      </w:r>
    </w:p>
    <w:p w14:paraId="0B0F7AB0" w14:textId="55DEA8CD" w:rsidR="002260B9" w:rsidRPr="001D3A0C" w:rsidRDefault="002260B9" w:rsidP="002260B9">
      <w:pPr>
        <w:spacing w:line="480" w:lineRule="auto"/>
        <w:rPr>
          <w:b/>
        </w:rPr>
      </w:pPr>
      <w:r w:rsidRPr="001D3A0C">
        <w:rPr>
          <w:b/>
        </w:rPr>
        <w:t>Neuroimaging Techniques</w:t>
      </w:r>
    </w:p>
    <w:p w14:paraId="6BE2560D" w14:textId="75DD4C65" w:rsidR="002260B9" w:rsidRPr="001D3A0C" w:rsidRDefault="002260B9" w:rsidP="002260B9">
      <w:pPr>
        <w:spacing w:line="480" w:lineRule="auto"/>
        <w:ind w:firstLine="720"/>
        <w:rPr>
          <w:bCs/>
        </w:rPr>
      </w:pPr>
      <w:r w:rsidRPr="001D3A0C">
        <w:rPr>
          <w:bCs/>
        </w:rPr>
        <w:t xml:space="preserve">Pronounced advances have been made in technologies that explore human brain structure and function in vivo. The main tool used for all studies included in this review is functional magnetic resonance imaging (fMRI). In a research setting, fMRI is used as a proxy to measure differences in brain function across different conditions and psychopathology. The tasks used in the studies reviewed here fall under event-related and block designs. Event-related tasks were developed to improve the temporal resolution; specifically, the presentation of trials is jittered to model the transient responses of separate trial types </w:t>
      </w:r>
      <w:r>
        <w:rPr>
          <w:bCs/>
        </w:rPr>
        <w:fldChar w:fldCharType="begin"/>
      </w:r>
      <w:r w:rsidR="005203C4">
        <w:rPr>
          <w:bCs/>
        </w:rPr>
        <w:instrText xml:space="preserve"> ADDIN ZOTERO_ITEM CSL_CITATION {"citationID":"aje3ol367u","properties":{"formattedCitation":"\\super 1\\nosupersub{}","plainCitation":"1","noteIndex":0},"citationItems":[{"id":337,"uris":["http://zotero.org/groups/5008963/items/IKHKEZV8"],"itemData":{"id":337,"type":"article-journal","abstract":"Neuroimaging studies began using block design and event-related design experiments. While providing many insights into brain functions, these fMRI design types ignore components of the BOLD signal that can teach us additional elements. The development of the mixed block/event-related fMRI design allowed for a fuller characterization of nonlinear and time-sensitive neuronal responses; for example the interaction between block and event related factors and the simultaneous extraction of transient activity related to trials and block transitions and sustained activity related to task-level processing. This review traces the origins of the mixed block/event-related design from conceptual precursors to a seminal paper and on to subsequent studies using the method. The review also comments on aspects of the experimental design that must be considered when attempting to use the mixed block/event-related design. When taking into account these considerations, the mixed block/event-related design allows fuller utilization of the BOLD signal allowing deeper interpretation of how regions of the brain function on multiple timescales.","container-title":"Neuroimage","DOI":"10.1016/j.neuroimage.2011.09.084","ISSN":"1053-8119","issue":"2","journalAbbreviation":"Neuroimage","note":"PMID: 22008373\nPMCID: PMC3288695","page":"1177-1184","source":"PubMed Central","title":"The mixed block/event-related design","volume":"62","author":[{"family":"Petersen","given":"Steven E."},{"family":"Dubis","given":"Joseph W."}],"issued":{"date-parts":[["2012",8,15]]}}}],"schema":"https://github.com/citation-style-language/schema/raw/master/csl-citation.json"} </w:instrText>
      </w:r>
      <w:r>
        <w:rPr>
          <w:bCs/>
        </w:rPr>
        <w:fldChar w:fldCharType="separate"/>
      </w:r>
      <w:r w:rsidR="005203C4" w:rsidRPr="005203C4">
        <w:rPr>
          <w:vertAlign w:val="superscript"/>
        </w:rPr>
        <w:t>1</w:t>
      </w:r>
      <w:r>
        <w:rPr>
          <w:bCs/>
        </w:rPr>
        <w:fldChar w:fldCharType="end"/>
      </w:r>
      <w:r>
        <w:rPr>
          <w:bCs/>
        </w:rPr>
        <w:t>.</w:t>
      </w:r>
      <w:r w:rsidRPr="001D3A0C">
        <w:rPr>
          <w:bCs/>
        </w:rPr>
        <w:t xml:space="preserve"> Block designs are the simplest designs that measure neural activation across a task block to exhibit a single magnitude of activity across certain trials that reflect both the sustained and transient BOLD activity </w:t>
      </w:r>
      <w:r>
        <w:rPr>
          <w:bCs/>
        </w:rPr>
        <w:fldChar w:fldCharType="begin"/>
      </w:r>
      <w:r w:rsidR="005203C4">
        <w:rPr>
          <w:bCs/>
        </w:rPr>
        <w:instrText xml:space="preserve"> ADDIN ZOTERO_ITEM CSL_CITATION {"citationID":"a17mj3m0295","properties":{"formattedCitation":"\\super 1\\nosupersub{}","plainCitation":"1","noteIndex":0},"citationItems":[{"id":337,"uris":["http://zotero.org/groups/5008963/items/IKHKEZV8"],"itemData":{"id":337,"type":"article-journal","abstract":"Neuroimaging studies began using block design and event-related design experiments. While providing many insights into brain functions, these fMRI design types ignore components of the BOLD signal that can teach us additional elements. The development of the mixed block/event-related fMRI design allowed for a fuller characterization of nonlinear and time-sensitive neuronal responses; for example the interaction between block and event related factors and the simultaneous extraction of transient activity related to trials and block transitions and sustained activity related to task-level processing. This review traces the origins of the mixed block/event-related design from conceptual precursors to a seminal paper and on to subsequent studies using the method. The review also comments on aspects of the experimental design that must be considered when attempting to use the mixed block/event-related design. When taking into account these considerations, the mixed block/event-related design allows fuller utilization of the BOLD signal allowing deeper interpretation of how regions of the brain function on multiple timescales.","container-title":"Neuroimage","DOI":"10.1016/j.neuroimage.2011.09.084","ISSN":"1053-8119","issue":"2","journalAbbreviation":"Neuroimage","note":"PMID: 22008373\nPMCID: PMC3288695","page":"1177-1184","source":"PubMed Central","title":"The mixed block/event-related design","volume":"62","author":[{"family":"Petersen","given":"Steven E."},{"family":"Dubis","given":"Joseph W."}],"issued":{"date-parts":[["2012",8,15]]}}}],"schema":"https://github.com/citation-style-language/schema/raw/master/csl-citation.json"} </w:instrText>
      </w:r>
      <w:r>
        <w:rPr>
          <w:bCs/>
        </w:rPr>
        <w:fldChar w:fldCharType="separate"/>
      </w:r>
      <w:r w:rsidR="005203C4" w:rsidRPr="005203C4">
        <w:rPr>
          <w:vertAlign w:val="superscript"/>
        </w:rPr>
        <w:t>1</w:t>
      </w:r>
      <w:r>
        <w:rPr>
          <w:bCs/>
        </w:rPr>
        <w:fldChar w:fldCharType="end"/>
      </w:r>
      <w:r>
        <w:rPr>
          <w:bCs/>
        </w:rPr>
        <w:t>.</w:t>
      </w:r>
      <w:r w:rsidRPr="001D3A0C">
        <w:rPr>
          <w:bCs/>
        </w:rPr>
        <w:t xml:space="preserve"> Statistical contrasts are created to determine brain activity during interest versus control trials. </w:t>
      </w:r>
      <w:r w:rsidRPr="0066786C">
        <w:rPr>
          <w:bCs/>
        </w:rPr>
        <w:t xml:space="preserve">To streamline the review, we </w:t>
      </w:r>
      <w:r>
        <w:rPr>
          <w:bCs/>
        </w:rPr>
        <w:t>have organized the manuscript</w:t>
      </w:r>
      <w:r w:rsidRPr="0066786C">
        <w:rPr>
          <w:bCs/>
        </w:rPr>
        <w:t xml:space="preserve"> by regions of interest </w:t>
      </w:r>
      <w:r>
        <w:rPr>
          <w:bCs/>
        </w:rPr>
        <w:t>(ROI) most relevant to each domain, described in greater detail below</w:t>
      </w:r>
      <w:r w:rsidRPr="0066786C">
        <w:rPr>
          <w:bCs/>
        </w:rPr>
        <w:t>.</w:t>
      </w:r>
    </w:p>
    <w:p w14:paraId="650C1FB1" w14:textId="59302FA0" w:rsidR="002260B9" w:rsidRPr="00CB05DC" w:rsidRDefault="002260B9" w:rsidP="002260B9">
      <w:pPr>
        <w:spacing w:line="480" w:lineRule="auto"/>
        <w:ind w:firstLine="720"/>
        <w:rPr>
          <w:bCs/>
        </w:rPr>
      </w:pPr>
      <w:r w:rsidRPr="001D3A0C">
        <w:rPr>
          <w:bCs/>
        </w:rPr>
        <w:t xml:space="preserve">Though not the focus of the current review, some of the studies included functional connectivity (FC) in secondary analyses. FC </w:t>
      </w:r>
      <w:r>
        <w:rPr>
          <w:bCs/>
        </w:rPr>
        <w:t xml:space="preserve">explores </w:t>
      </w:r>
      <w:r w:rsidRPr="001D3A0C">
        <w:rPr>
          <w:bCs/>
        </w:rPr>
        <w:t>brain activation</w:t>
      </w:r>
      <w:r>
        <w:rPr>
          <w:bCs/>
        </w:rPr>
        <w:t xml:space="preserve"> (or deactivation) happening in close temporal proximity a</w:t>
      </w:r>
      <w:r w:rsidRPr="001D3A0C">
        <w:rPr>
          <w:bCs/>
        </w:rPr>
        <w:t xml:space="preserve">cross multiple regions </w:t>
      </w:r>
      <w:r>
        <w:rPr>
          <w:bCs/>
        </w:rPr>
        <w:fldChar w:fldCharType="begin"/>
      </w:r>
      <w:r w:rsidR="005203C4">
        <w:rPr>
          <w:bCs/>
        </w:rPr>
        <w:instrText xml:space="preserve"> ADDIN ZOTERO_ITEM CSL_CITATION {"citationID":"a1pr4fn2i09","properties":{"formattedCitation":"\\super 2\\nosupersub{}","plainCitation":"2","noteIndex":0},"citationItems":[{"id":340,"uris":["http://zotero.org/groups/5008963/items/PWGX3S26"],"itemData":{"id":340,"type":"article-journal","abstract":"The brain appears to adhere to two principles of functional organization; functional segregation and functional integration. The integration within and between functionally specialized areas is mediated by functional or effective connectivity. The characterization of this sort of connectivity is an important theme in many areas of neuroscience. This article presents one approach that has been used in functional imaging. This article reviews the basic distinction between functional and effective connectivity (as the terms are used in neuroimaging) and their role in addressing several aspects of functional organization (e.g. the topography of distributed system, integration between cortical areas, time-dependent changes in connectivity and nonlinear interactions). Emphasis is placed on the points of contact between the apparently diverse applications of these concepts and in particular the central role of eigenimages or spatial modes. Although the framework that has been developed is inherently linear, it has been extended to assess nonlinear interactions among cortical areas. ©1994 Wiley-Liss, Inc.","container-title":"Human Brain Mapping","DOI":"10.1002/hbm.460020107","ISSN":"1097-0193","issue":"1-2","language":"en","license":"Copyright © 1994 Wiley-Liss, Inc.","note":"_eprint: https://onlinelibrary.wiley.com/doi/pdf/10.1002/hbm.460020107","page":"56-78","source":"Wiley Online Library","title":"Functional and effective connectivity in neuroimaging: A synthesis","title-short":"Functional and effective connectivity in neuroimaging","volume":"2","author":[{"family":"Friston","given":"Karl J."}],"issued":{"date-parts":[["1994"]]}}}],"schema":"https://github.com/citation-style-language/schema/raw/master/csl-citation.json"} </w:instrText>
      </w:r>
      <w:r>
        <w:rPr>
          <w:bCs/>
        </w:rPr>
        <w:fldChar w:fldCharType="separate"/>
      </w:r>
      <w:r w:rsidR="005203C4" w:rsidRPr="005203C4">
        <w:rPr>
          <w:vertAlign w:val="superscript"/>
        </w:rPr>
        <w:t>2</w:t>
      </w:r>
      <w:r>
        <w:rPr>
          <w:bCs/>
        </w:rPr>
        <w:fldChar w:fldCharType="end"/>
      </w:r>
      <w:r>
        <w:rPr>
          <w:bCs/>
        </w:rPr>
        <w:t>.</w:t>
      </w:r>
      <w:r w:rsidRPr="001D3A0C">
        <w:rPr>
          <w:bCs/>
        </w:rPr>
        <w:t xml:space="preserve"> It is thought that if these brain regions activate</w:t>
      </w:r>
      <w:r>
        <w:rPr>
          <w:bCs/>
        </w:rPr>
        <w:t xml:space="preserve"> or deactivate close in time</w:t>
      </w:r>
      <w:r w:rsidRPr="001D3A0C">
        <w:rPr>
          <w:bCs/>
        </w:rPr>
        <w:t>, there is a temporal relationship and a correlation between their activation. Thus, some studies also sought to determine whether a functional relationship existed in brain regions responsible for our domains of interest.</w:t>
      </w:r>
    </w:p>
    <w:p w14:paraId="1D28A398" w14:textId="77777777" w:rsidR="002260B9" w:rsidRPr="001D3A0C" w:rsidRDefault="002260B9" w:rsidP="002260B9">
      <w:pPr>
        <w:spacing w:line="480" w:lineRule="auto"/>
        <w:rPr>
          <w:b/>
        </w:rPr>
      </w:pPr>
      <w:r w:rsidRPr="001D3A0C">
        <w:rPr>
          <w:b/>
        </w:rPr>
        <w:t xml:space="preserve">Pathways to SUD Development </w:t>
      </w:r>
    </w:p>
    <w:p w14:paraId="3B18ACFA" w14:textId="77777777" w:rsidR="002260B9" w:rsidRPr="001D3A0C" w:rsidRDefault="002260B9" w:rsidP="002260B9">
      <w:pPr>
        <w:spacing w:line="480" w:lineRule="auto"/>
        <w:rPr>
          <w:b/>
          <w:i/>
        </w:rPr>
      </w:pPr>
      <w:r w:rsidRPr="001D3A0C">
        <w:rPr>
          <w:b/>
          <w:i/>
        </w:rPr>
        <w:t>Domain 1: Reward</w:t>
      </w:r>
      <w:r>
        <w:rPr>
          <w:b/>
          <w:i/>
        </w:rPr>
        <w:t xml:space="preserve"> </w:t>
      </w:r>
    </w:p>
    <w:p w14:paraId="3CB0B37C" w14:textId="381FC278" w:rsidR="002260B9" w:rsidRPr="001D3A0C" w:rsidRDefault="002260B9" w:rsidP="002260B9">
      <w:pPr>
        <w:spacing w:line="480" w:lineRule="auto"/>
        <w:ind w:firstLine="720"/>
      </w:pPr>
      <w:r w:rsidRPr="001D3A0C">
        <w:lastRenderedPageBreak/>
        <w:t xml:space="preserve">A reward is a stimulus, object, or event that leads to approach behavior, decision-making, positive emotion, or positive reinforcement </w:t>
      </w:r>
      <w:r w:rsidRPr="001D3A0C">
        <w:fldChar w:fldCharType="begin"/>
      </w:r>
      <w:r w:rsidR="005203C4">
        <w:instrText xml:space="preserve"> ADDIN ZOTERO_ITEM CSL_CITATION {"citationID":"SZGLmAGZ","properties":{"formattedCitation":"\\super 3\\nosupersub{}","plainCitation":"3","noteIndex":0},"citationItems":[{"id":314,"uris":["http://zotero.org/groups/5008963/items/UZMP3H3U"],"itemData":{"id":314,"type":"article-journal","abstract":"Rewards are crucial objects that induce learning, approach behavior, choices, and emotions. Whereas emotions are difficult to investigate in animals, the learning function is mediated by neuronal reward prediction error signals which implement basic constructs of reinforcement learning theory. These signals are found in dopamine neurons, which emit a global reward signal to striatum and frontal cortex, and in specific neurons in striatum, amygdala, and frontal cortex projecting to select neuronal populations. The approach and choice functions involve subjective value, which is objectively assessed by behavioral choices eliciting internal, subjective reward preferences. Utility is the formal mathematical characterization of subjective value and a prime decision variable in economic choice theory. It is coded as utility prediction error by phasic dopamine responses. Utility can incorporate various influences, including risk, delay, effort, and social interaction. Appropriate for formal decision mechanisms, rewards are coded as object value, action value, difference value, and chosen value by specific neurons. Although all reward, reinforcement, and decision variables are theoretical constructs, their neuronal signals constitute measurable physical implementations and as such confirm the validity of these concepts. The neuronal reward signals provide guidance for behavior while constraining the free will to act.","container-title":"Physiological Reviews","DOI":"10.1152/physrev.00023.2014","ISSN":"1522-1210","issue":"3","journalAbbreviation":"Physiol Rev","language":"eng","note":"PMID: 26109341\nPMCID: PMC4491543","page":"853-951","source":"PubMed","title":"Neuronal Reward and Decision Signals: From Theories to Data","title-short":"Neuronal Reward and Decision Signals","volume":"95","author":[{"family":"Schultz","given":"Wolfram"}],"issued":{"date-parts":[["2015",7]]}}}],"schema":"https://github.com/citation-style-language/schema/raw/master/csl-citation.json"} </w:instrText>
      </w:r>
      <w:r w:rsidRPr="001D3A0C">
        <w:fldChar w:fldCharType="separate"/>
      </w:r>
      <w:r w:rsidR="005203C4" w:rsidRPr="005203C4">
        <w:rPr>
          <w:vertAlign w:val="superscript"/>
        </w:rPr>
        <w:t>3</w:t>
      </w:r>
      <w:r w:rsidRPr="001D3A0C">
        <w:fldChar w:fldCharType="end"/>
      </w:r>
      <w:r w:rsidRPr="001D3A0C">
        <w:t xml:space="preserve">. Neuroimaging tasks that probe reward-related neurocircuitry in SUD samples fall under the two broad categories of cue-reactivity and reward-processing tasks. </w:t>
      </w:r>
    </w:p>
    <w:p w14:paraId="61E26C85" w14:textId="77777777" w:rsidR="002260B9" w:rsidRPr="001D3A0C" w:rsidRDefault="002260B9" w:rsidP="002260B9">
      <w:pPr>
        <w:spacing w:line="480" w:lineRule="auto"/>
        <w:ind w:firstLine="720"/>
      </w:pPr>
      <w:r w:rsidRPr="001D3A0C">
        <w:t xml:space="preserve">During cue-reactivity tasks, participants view rewarding stimuli such as attractive facial expressions and stimuli related to their drug of choice </w:t>
      </w:r>
      <w:r>
        <w:t>versus</w:t>
      </w:r>
      <w:r w:rsidRPr="001D3A0C">
        <w:t xml:space="preserve"> images of non-stereotypical attractive faces or drug-neutral cues, respectively. Stimuli can include images or videos of substance paraphernalia or other cues related to substance use, such as odor.</w:t>
      </w:r>
    </w:p>
    <w:p w14:paraId="466A074D" w14:textId="77777777" w:rsidR="002260B9" w:rsidRPr="001D3A0C" w:rsidRDefault="002260B9" w:rsidP="002260B9">
      <w:pPr>
        <w:spacing w:line="480" w:lineRule="auto"/>
        <w:ind w:firstLine="720"/>
      </w:pPr>
      <w:r w:rsidRPr="001D3A0C">
        <w:t xml:space="preserve">During reward-processing tasks, participants make decisions resulting in gaining or losing secondary reinforcers, such as money. For example, participants may be asked to guess an outcome when shown a stimulus. If participants guess correctly, they gain money, but if they guess incorrectly, they lose money. Other constructs that can be measured using reward-processing tasks include the neural correlates of reward anticipation. </w:t>
      </w:r>
    </w:p>
    <w:p w14:paraId="6CA6FEC5" w14:textId="4861AFC9" w:rsidR="002260B9" w:rsidRPr="001D3A0C" w:rsidRDefault="002260B9" w:rsidP="002260B9">
      <w:pPr>
        <w:spacing w:line="480" w:lineRule="auto"/>
        <w:ind w:firstLine="720"/>
      </w:pPr>
      <w:r w:rsidRPr="001D3A0C">
        <w:rPr>
          <w:b/>
          <w:bCs/>
        </w:rPr>
        <w:t>ROIs.</w:t>
      </w:r>
      <w:r w:rsidRPr="001D3A0C">
        <w:t xml:space="preserve"> Using contrasts that examine reward versus neutral or gain versus loss trials, the tasks described above have been integral in understanding the brain regions important to the reward neurocircuitry, including the ACC, </w:t>
      </w:r>
      <w:r>
        <w:t>orbitofrontal cortex (</w:t>
      </w:r>
      <w:r w:rsidRPr="001D3A0C">
        <w:t>OFC</w:t>
      </w:r>
      <w:r>
        <w:t>)</w:t>
      </w:r>
      <w:r w:rsidRPr="001D3A0C">
        <w:t xml:space="preserve">, VTA, striatum, amygdala, and hippocampus. The ACC is </w:t>
      </w:r>
      <w:r>
        <w:t>important in encoding rewards' net value</w:t>
      </w:r>
      <w:r w:rsidRPr="001D3A0C">
        <w:rPr>
          <w:bCs/>
          <w:iCs/>
        </w:rPr>
        <w:t xml:space="preserve"> to maximize reward and minimize punishment </w:t>
      </w:r>
      <w:r w:rsidRPr="001D3A0C">
        <w:rPr>
          <w:bCs/>
          <w:iCs/>
        </w:rPr>
        <w:fldChar w:fldCharType="begin"/>
      </w:r>
      <w:r w:rsidR="005203C4">
        <w:rPr>
          <w:bCs/>
          <w:iCs/>
        </w:rPr>
        <w:instrText xml:space="preserve"> ADDIN ZOTERO_ITEM CSL_CITATION {"citationID":"e1l54orP","properties":{"formattedCitation":"\\super 4\\nosupersub{}","plainCitation":"4","noteIndex":0},"citationItems":[{"id":361,"uris":["http://zotero.org/groups/5008963/items/K2NRK7KS"],"itemData":{"id":361,"type":"article-journal","abstract":"In social environments, animals often compete to obtain limited resources. Strategically electing to work against another animal represents a cost-benefit decision. Is the resource worth an investment of competitive effort? The anterior cingulate cortex (ACC) has been implicated in cost-benefit decision-making, but its role in competitive effort has not been examined. We recorded ACC neurons in freely moving rats as they performed a competitive foraging choice task. When at least one of the two choice options demanded competitive effort, the majority of ACC neurons exhibited heightened and differential firing between the goal trajectories. Inter- and intrasession manipulations revealed that differential firing was not attributable to effort or reward in isolation; instead ACC encoding patterns appeared to indicate net utility assessments of available choice options. Our findings suggest that the ACC is important for encoding competitive effort, a cost-benefit domain that has received little neural-level investigation despite its predominance in nature.","container-title":"Nature Neuroscience","DOI":"10.1038/nn.3187","ISSN":"1546-1726","issue":"9","journalAbbreviation":"Nat Neurosci","language":"eng","note":"PMID: 22885851","page":"1290-1297","source":"PubMed","title":"Neural encoding of competitive effort in the anterior cingulate cortex","volume":"15","author":[{"family":"Hillman","given":"Kristin L."},{"family":"Bilkey","given":"David K."}],"issued":{"date-parts":[["2012",9]]}}}],"schema":"https://github.com/citation-style-language/schema/raw/master/csl-citation.json"} </w:instrText>
      </w:r>
      <w:r w:rsidRPr="001D3A0C">
        <w:rPr>
          <w:bCs/>
          <w:iCs/>
        </w:rPr>
        <w:fldChar w:fldCharType="separate"/>
      </w:r>
      <w:r w:rsidR="005203C4" w:rsidRPr="005203C4">
        <w:rPr>
          <w:vertAlign w:val="superscript"/>
        </w:rPr>
        <w:t>4</w:t>
      </w:r>
      <w:r w:rsidRPr="001D3A0C">
        <w:rPr>
          <w:bCs/>
          <w:iCs/>
        </w:rPr>
        <w:fldChar w:fldCharType="end"/>
      </w:r>
      <w:r w:rsidRPr="001D3A0C">
        <w:rPr>
          <w:bCs/>
          <w:iCs/>
        </w:rPr>
        <w:t xml:space="preserve">. The </w:t>
      </w:r>
      <w:r w:rsidRPr="001D3A0C">
        <w:t>OFC is generally responsible for encoding</w:t>
      </w:r>
      <w:r>
        <w:t xml:space="preserve"> </w:t>
      </w:r>
      <w:r w:rsidRPr="001D3A0C">
        <w:t xml:space="preserve">reward identity </w:t>
      </w:r>
      <w:r w:rsidRPr="001D3A0C">
        <w:fldChar w:fldCharType="begin"/>
      </w:r>
      <w:r w:rsidR="005203C4">
        <w:instrText xml:space="preserve"> ADDIN ZOTERO_ITEM CSL_CITATION {"citationID":"xURKSx6d","properties":{"formattedCitation":"\\super 5\\nosupersub{}","plainCitation":"5","noteIndex":0},"citationItems":[{"id":363,"uris":["http://zotero.org/groups/5008963/items/5H4U5LWQ"],"itemData":{"id":363,"type":"article-journal","abstract":"The orbitofrontal cortex (OFC) plays a prominent role in signaling reward expectations. Two important features of rewards are their value (how good they are) and their specific identity (what they are). Whereas research on OFC has traditionally focused on reward value, recent findings point toward a pivotal role of reward identity in understanding OFC signaling and its contribution to behavior. Here, we review work in rodents, non-human primates, and humans on how the OFC represents expectations about the identity of rewards, and how these signals contribute to outcome-guided behavior. Moreover, we summarize recent findings suggesting that specific reward expectations in OFC are learned and updated by means of identity errors in the dopaminergic midbrain. We conclude by discussing how OFC encoding of specific rewards complements recent proposals that this region represents a cognitive map of relevant task states, which forms the basis for model-based behavior.","container-title":"Behavioral neuroscience","DOI":"10.1037/bne0000455","ISSN":"0735-7044","issue":"2","journalAbbreviation":"Behav Neurosci","note":"PMID: 33734730\nPMCID: PMC8224467","page":"210-217","source":"PubMed Central","title":"To be specific: the role of orbitofrontal cortex in signaling reward identity","title-short":"To be specific","volume":"135","author":[{"family":"Howard","given":"James D."},{"family":"Kahnt","given":"Thorsten"}],"issued":{"date-parts":[["2021",4]]}}}],"schema":"https://github.com/citation-style-language/schema/raw/master/csl-citation.json"} </w:instrText>
      </w:r>
      <w:r w:rsidRPr="001D3A0C">
        <w:fldChar w:fldCharType="separate"/>
      </w:r>
      <w:r w:rsidR="005203C4" w:rsidRPr="005203C4">
        <w:rPr>
          <w:vertAlign w:val="superscript"/>
        </w:rPr>
        <w:t>5</w:t>
      </w:r>
      <w:r w:rsidRPr="001D3A0C">
        <w:fldChar w:fldCharType="end"/>
      </w:r>
      <w:r w:rsidRPr="001D3A0C">
        <w:t>. The VTA is a subcortical region that releases</w:t>
      </w:r>
      <w:r w:rsidRPr="001D3A0C">
        <w:rPr>
          <w:bCs/>
          <w:iCs/>
        </w:rPr>
        <w:t xml:space="preserve"> dopamine in response to a reward and is, therefore, integral to the mesolimbic dopaminergic domain </w:t>
      </w:r>
      <w:r w:rsidRPr="001D3A0C">
        <w:rPr>
          <w:bCs/>
          <w:iCs/>
        </w:rPr>
        <w:fldChar w:fldCharType="begin"/>
      </w:r>
      <w:r w:rsidR="005203C4">
        <w:rPr>
          <w:bCs/>
          <w:iCs/>
        </w:rPr>
        <w:instrText xml:space="preserve"> ADDIN ZOTERO_ITEM CSL_CITATION {"citationID":"AWP2eNaR","properties":{"formattedCitation":"\\super 6\\nosupersub{}","plainCitation":"6","noteIndex":0},"citationItems":[{"id":366,"uris":["http://zotero.org/groups/5008963/items/KDHTUEUY"],"itemData":{"id":366,"type":"article-journal","abstract":"The ventral tegmental area (VTA) is well known for regulating reward consumption, learning, memory, and addiction behaviors through mediating dopamine (DA) release in downstream regions. Other than DA neurons, the VTA is known to be heterogeneous and contains other types of neurons, including glutamate neurons. In contrast to the well-studied and established functions of DA neurons, the role of VTA glutamate neurons is understudied, presumably due to their relatively small quantity and a lack of effective means to study them. Yet, emerging studies have begun to reveal the importance of glutamate release from VTA neurons in regulating diverse behavioral repertoire through a complex intra-VTA and long-range neuronal network. In this review, we summarize the features of VTA glutamate neurons from three perspectives, namely, cellular properties, neural connections, and behavioral functions. Delineation of VTA glutamatergic pathways and their interactions with VTA DA neurons in regulating behaviors may reveal previously unappreciated functions of the VTA in other physiological processes.","container-title":"Frontiers in Neural Circuits","DOI":"10.3389/fncir.2022.867053","ISSN":"1662-5110","journalAbbreviation":"Front Neural Circuits","note":"PMID: 35669454\nPMCID: PMC9164627","page":"867053","source":"PubMed Central","title":"Anatomy and Function of Ventral Tegmental Area Glutamate Neurons","volume":"16","author":[{"family":"Cai","given":"Jing"},{"family":"Tong","given":"Qingchun"}],"issued":{"date-parts":[["2022",5,20]]}}}],"schema":"https://github.com/citation-style-language/schema/raw/master/csl-citation.json"} </w:instrText>
      </w:r>
      <w:r w:rsidRPr="001D3A0C">
        <w:rPr>
          <w:bCs/>
          <w:iCs/>
        </w:rPr>
        <w:fldChar w:fldCharType="separate"/>
      </w:r>
      <w:r w:rsidR="005203C4" w:rsidRPr="005203C4">
        <w:rPr>
          <w:vertAlign w:val="superscript"/>
        </w:rPr>
        <w:t>6</w:t>
      </w:r>
      <w:r w:rsidRPr="001D3A0C">
        <w:rPr>
          <w:bCs/>
          <w:iCs/>
        </w:rPr>
        <w:fldChar w:fldCharType="end"/>
      </w:r>
      <w:r w:rsidRPr="001D3A0C">
        <w:rPr>
          <w:bCs/>
          <w:iCs/>
        </w:rPr>
        <w:t>. The</w:t>
      </w:r>
      <w:r w:rsidRPr="001D3A0C">
        <w:t xml:space="preserve"> striatum has a primary role in releasing dopamine and glutamate to other brain regions. The striatum can be separated into subregions, including the globus pallidus, nucleus accumbens, putamen, and caudate. The amygdala is important in reward learning, specifically in creating associations of reward value with neutral </w:t>
      </w:r>
      <w:r w:rsidRPr="001D3A0C">
        <w:lastRenderedPageBreak/>
        <w:t xml:space="preserve">stimuli </w:t>
      </w:r>
      <w:r w:rsidRPr="001D3A0C">
        <w:fldChar w:fldCharType="begin"/>
      </w:r>
      <w:r w:rsidR="005203C4">
        <w:instrText xml:space="preserve"> ADDIN ZOTERO_ITEM CSL_CITATION {"citationID":"CFb2IF1D","properties":{"formattedCitation":"\\super 7\\nosupersub{}","plainCitation":"7","noteIndex":0},"citationItems":[{"id":383,"uris":["http://zotero.org/groups/5008963/items/X36HIVK6"],"itemData":{"id":383,"type":"article-journal","abstract":"The amygdala — an almond-shaped group of nuclei at the heart of the telencephalon — has been associated with a range of cognitive functions, including emotion, learning, memory, attention and perception. Most current views of amygdala function emphasize its role in negative emotions, such as fear, and in linking negative emotions with other aspects of cognition, such as learning and memory. However, recent evidence supports a role for the amygdala in processing positive emotions as well as negative ones, including learning about the beneficial biological value of stimuli. Indeed, the amygdala's role in stimulus–reward learning might be just as important as its role in processing negative affect and fear conditioning.","container-title":"Nature Reviews Neuroscience","DOI":"10.1038/nrn875","ISSN":"1471-0048","issue":"7","journalAbbreviation":"Nat Rev Neurosci","language":"en","license":"2002 Springer Nature Limited","note":"number: 7\npublisher: Nature Publishing Group","page":"563-573","source":"www-nature-com.proxy.library.emory.edu","title":"The amygdala and reward","volume":"3","author":[{"family":"Baxter","given":"Mark G."},{"family":"Murray","given":"Elisabeth A."}],"issued":{"date-parts":[["2002",7]]}}}],"schema":"https://github.com/citation-style-language/schema/raw/master/csl-citation.json"} </w:instrText>
      </w:r>
      <w:r w:rsidRPr="001D3A0C">
        <w:fldChar w:fldCharType="separate"/>
      </w:r>
      <w:r w:rsidR="005203C4" w:rsidRPr="005203C4">
        <w:rPr>
          <w:vertAlign w:val="superscript"/>
        </w:rPr>
        <w:t>7</w:t>
      </w:r>
      <w:r w:rsidRPr="001D3A0C">
        <w:fldChar w:fldCharType="end"/>
      </w:r>
      <w:r w:rsidRPr="001D3A0C">
        <w:t xml:space="preserve">. Lastly, the hippocampus establishes associations between reward and the context in which reward is received, attributing </w:t>
      </w:r>
      <w:proofErr w:type="gramStart"/>
      <w:r w:rsidRPr="001D3A0C">
        <w:t>memories</w:t>
      </w:r>
      <w:proofErr w:type="gramEnd"/>
      <w:r w:rsidRPr="001D3A0C">
        <w:t xml:space="preserve"> and learning </w:t>
      </w:r>
      <w:r>
        <w:t>when a reward is received</w:t>
      </w:r>
      <w:r w:rsidRPr="001D3A0C">
        <w:t xml:space="preserve"> through retaining high-value events associated with </w:t>
      </w:r>
      <w:r>
        <w:t xml:space="preserve">the </w:t>
      </w:r>
      <w:r w:rsidRPr="001D3A0C">
        <w:t xml:space="preserve">reward. Given the importance of these regions in reward, we will focus on these six ROIs for the reward domain. </w:t>
      </w:r>
    </w:p>
    <w:p w14:paraId="5D88B7B0" w14:textId="77777777" w:rsidR="002260B9" w:rsidRPr="001D3A0C" w:rsidRDefault="002260B9" w:rsidP="002260B9">
      <w:pPr>
        <w:spacing w:line="480" w:lineRule="auto"/>
        <w:rPr>
          <w:b/>
          <w:i/>
        </w:rPr>
      </w:pPr>
      <w:r w:rsidRPr="001D3A0C">
        <w:rPr>
          <w:b/>
          <w:i/>
        </w:rPr>
        <w:t xml:space="preserve">Domain </w:t>
      </w:r>
      <w:r>
        <w:rPr>
          <w:b/>
          <w:i/>
        </w:rPr>
        <w:t>2</w:t>
      </w:r>
      <w:r w:rsidRPr="001D3A0C">
        <w:rPr>
          <w:b/>
          <w:i/>
        </w:rPr>
        <w:t>: Negative Emotionality</w:t>
      </w:r>
    </w:p>
    <w:p w14:paraId="60FBB8F9" w14:textId="134D660E" w:rsidR="002260B9" w:rsidRPr="001D3A0C" w:rsidRDefault="002260B9" w:rsidP="002260B9">
      <w:pPr>
        <w:spacing w:line="480" w:lineRule="auto"/>
        <w:ind w:firstLine="720"/>
      </w:pPr>
      <w:r>
        <w:t>Researchers have</w:t>
      </w:r>
      <w:r w:rsidRPr="001D3A0C">
        <w:t xml:space="preserve"> identified </w:t>
      </w:r>
      <w:r>
        <w:t>negative emotionality</w:t>
      </w:r>
      <w:r w:rsidRPr="001D3A0C">
        <w:t>, disruptions in reactions to negative emotion</w:t>
      </w:r>
      <w:r>
        <w:t>,</w:t>
      </w:r>
      <w:r w:rsidRPr="001D3A0C">
        <w:t xml:space="preserve"> as a key neurofunctional domain to examine the development and maintenance of PTSD+SUD</w:t>
      </w:r>
      <w:r>
        <w:t xml:space="preserve"> </w:t>
      </w:r>
      <w:r>
        <w:fldChar w:fldCharType="begin"/>
      </w:r>
      <w:r w:rsidR="005203C4">
        <w:instrText xml:space="preserve"> ADDIN ZOTERO_ITEM CSL_CITATION {"citationID":"Z5Cv7Khp","properties":{"formattedCitation":"\\super 8\\nosupersub{}","plainCitation":"8","noteIndex":0},"citationItems":[{"id":302,"uris":["http://zotero.org/groups/5008963/items/PL6YV7H9"],"itemData":{"id":302,"type":"article-journal","abstract":"We provide a unifying translational framework that can be used to synthesize extant lines of human laboratory research in four neurofunctional domains that underlie the co-occurrence of posttraumatic stress and substance use disorders (PTSD+SUD). We draw upon the Alcohol and Addiction Research Domain Criteria (AARDOC) to include executive functioning, negative emotionality, reward, and added social cognition from the National Institute of Mental Health (NIMH) Research Domain Criteria into our framework. We review research findings across each of the four domains, emphasizing human experimental studies in PTSD, SUD, and PTSD+SUD for each domain. We also discuss the implications of research findings for treatment development by considering new ways of conceptualizing risk factors and outcomes at the level of the individual patient, which will enhance treatment matching and advance innovations in intervention.","container-title":"Neuroscience &amp; Biobehavioral Reviews","DOI":"10.1016/j.neubiorev.2021.05.022","ISSN":"0149-7634","journalAbbreviation":"Neuroscience &amp; Biobehavioral Reviews","language":"en","page":"779-794","source":"ScienceDirect","title":"A unifying translational framework to advance treatment research for comorbid PTSD and substance use disorders","volume":"127","author":[{"family":"Hien","given":"Denise A."},{"family":"López-Castro","given":"Teresa"},{"family":"Fitzpatrick","given":"Skye"},{"family":"Ruglass","given":"Lesia M."},{"family":"Fertuck","given":"Eric A."},{"family":"Melara","given":"Robert"}],"issued":{"date-parts":[["2021",8,1]]}}}],"schema":"https://github.com/citation-style-language/schema/raw/master/csl-citation.json"} </w:instrText>
      </w:r>
      <w:r>
        <w:fldChar w:fldCharType="separate"/>
      </w:r>
      <w:r w:rsidR="005203C4" w:rsidRPr="005203C4">
        <w:rPr>
          <w:vertAlign w:val="superscript"/>
        </w:rPr>
        <w:t>8</w:t>
      </w:r>
      <w:r>
        <w:fldChar w:fldCharType="end"/>
      </w:r>
      <w:r>
        <w:t xml:space="preserve">, given the association of negative emotional states with craving and relapse </w:t>
      </w:r>
      <w:r>
        <w:fldChar w:fldCharType="begin"/>
      </w:r>
      <w:r w:rsidR="005203C4">
        <w:instrText xml:space="preserve"> ADDIN ZOTERO_ITEM CSL_CITATION {"citationID":"rgsHfFcJ","properties":{"formattedCitation":"\\super 9,10\\nosupersub{}","plainCitation":"9,10","noteIndex":0},"citationItems":[{"id":407,"uris":["http://zotero.org/groups/5008963/items/AAYC7IAH"],"itemData":{"id":407,"type":"article-journal","abstract":"Drug addiction represents a dramatic dysregulation of motivational circuits that is caused by a combination of exaggerated incentive salience and habit formation, reward deficits and stress surfeits, and compromised executive function in three stages. The rewarding effects of drugs of abuse, development of incentive salience, and development of drug-seeking habits in the binge/intoxication stage involve changes in dopamine and opioid peptides in the basal ganglia. The increases in negative emotional states and dysphoric and stress-like responses in the withdrawal/negative affect stage involve decreases in the function of the dopamine component of the reward system and recruitment of brain stress neurotransmitters, such as corticotropin-releasing factor and dynorphin, in the neurocircuitry of the extended amygdala. The craving and deficits in executive function in the so-called preoccupation/anticipation stage involve the dysregulation of key afferent projections from the prefrontal cortex and insula, including glutamate, to the basal ganglia and extended amygdala. Molecular genetic studies have identified transduction and transcription factors that act in neurocircuitry associated with the development and maintenance of addiction that might mediate initial vulnerability, maintenance, and relapse associated with addiction.","container-title":"The lancet. Psychiatry","DOI":"10.1016/S2215-0366(16)00104-8","ISSN":"2215-0366","issue":"8","journalAbbreviation":"Lancet Psychiatry","note":"PMID: 27475769\nPMCID: PMC6135092","page":"760-773","source":"PubMed Central","title":"Neurobiology of addiction: a neurocircuitry analysis","title-short":"Neurobiology of addiction","volume":"3","author":[{"family":"Koob","given":"George F"},{"family":"Volkow","given":"Nora D"}],"issued":{"date-parts":[["2016",8]]}}},{"id":816,"uris":["http://zotero.org/groups/5008963/items/2KCE86N6"],"itemData":{"id":816,"type":"article-journal","abstract":"This article proposes a heuristic framework for the Addictions Neuroclinical Assessment that incorporates key functional domains derived from the neurocircuitry of addiction. We review how addictive disorders (ADs) are presently diagnosed and the need for new neuroclinical measures to differentiate patients who meet clinical criteria for addiction to the same agent while differing in etiology, prognosis, and treatment response. The need for a better understanding of the mechanisms provoking and maintaining addiction, as evidenced by the limitations of current treatments and within-diagnosis clinical heterogeneity, is articulated. In addition, recent changes in the nosology of ADs, challenges to current classification systems, and prior attempts to subtype individuals with ADs are described. Complementary initiatives, including the Research Domain Criteria project, that have established frameworks for the neuroscience of psychiatric disorders are discussed. Three domains-executive function, incentive salience, and negative emotionality-tied to different phases in the cycle of addiction form the core functional elements of ADs. Measurement of these domains in epidemiologic, genetic, clinical, and treatment studies will provide the underpinnings for an understanding of cross-population and temporal variation in addictions, shared mechanisms in addictive disorders, impact of changing environmental influences, and gene identification. Finally, we show that it is practical to implement such a deep neuroclinical assessment using a combination of neuroimaging and performance measures. Neuroclinical assessment is key to reconceptualizing the nosology of ADs on the basis of process and etiology, an advance that can lead to improved prevention and treatment.","container-title":"Biological Psychiatry","DOI":"10.1016/j.biopsych.2015.10.024","ISSN":"1873-2402","issue":"3","journalAbbreviation":"Biol Psychiatry","language":"eng","note":"PMID: 26772405\nPMCID: PMC4870153","page":"179-189","source":"PubMed","title":"Addictions Neuroclinical Assessment: A Neuroscience-Based Framework for Addictive Disorders","title-short":"Addictions Neuroclinical Assessment","volume":"80","author":[{"family":"Kwako","given":"Laura E."},{"family":"Momenan","given":"Reza"},{"family":"Litten","given":"Raye Z."},{"family":"Koob","given":"George F."},{"family":"Goldman","given":"David"}],"issued":{"date-parts":[["2016",8,1]]}}}],"schema":"https://github.com/citation-style-language/schema/raw/master/csl-citation.json"} </w:instrText>
      </w:r>
      <w:r>
        <w:fldChar w:fldCharType="separate"/>
      </w:r>
      <w:r w:rsidR="005203C4" w:rsidRPr="005203C4">
        <w:rPr>
          <w:vertAlign w:val="superscript"/>
        </w:rPr>
        <w:t>9,10</w:t>
      </w:r>
      <w:r>
        <w:fldChar w:fldCharType="end"/>
      </w:r>
      <w:r>
        <w:t>.</w:t>
      </w:r>
      <w:r w:rsidRPr="001D3A0C">
        <w:t xml:space="preserve"> Paradigms incorporating stimuli that initiate a physiological response have been used to probe participants' anxiety. Such tasks include showing participants images of pictures within the scanner that vary in valence (negative, neutral, or positive) and arousal (low arousal - high arousal). Images can include pictures of scenes or facial expressions that exhibit emotions, including happy, neutral, and fear. Emotion regulation tasks used include presenting negative images, each preceding instruction to either look at a picture or think about the negative image in a less negative way. Threat-related tasks involve participants learning to anticipate via a cue when they receive a highly annoying but not painful shock. </w:t>
      </w:r>
    </w:p>
    <w:p w14:paraId="33F400B9" w14:textId="0844C58C" w:rsidR="002260B9" w:rsidRPr="008F116A" w:rsidRDefault="002260B9" w:rsidP="002260B9">
      <w:pPr>
        <w:spacing w:line="480" w:lineRule="auto"/>
        <w:ind w:firstLine="720"/>
        <w:rPr>
          <w:b/>
          <w:bCs/>
        </w:rPr>
      </w:pPr>
      <w:r w:rsidRPr="001D3A0C">
        <w:rPr>
          <w:b/>
          <w:bCs/>
        </w:rPr>
        <w:t xml:space="preserve">ROIs. </w:t>
      </w:r>
      <w:r w:rsidRPr="001D3A0C">
        <w:t xml:space="preserve">The contrast of interest during the tasks </w:t>
      </w:r>
      <w:r>
        <w:t xml:space="preserve">above </w:t>
      </w:r>
      <w:r w:rsidRPr="001D3A0C">
        <w:t xml:space="preserve">includes fearful versus neutral or positive stimuli to explore </w:t>
      </w:r>
      <w:r>
        <w:t xml:space="preserve">fear-related </w:t>
      </w:r>
      <w:r w:rsidRPr="001D3A0C">
        <w:t>or threat initiation</w:t>
      </w:r>
      <w:r>
        <w:t xml:space="preserve"> neurocircuitry</w:t>
      </w:r>
      <w:r w:rsidRPr="001D3A0C">
        <w:t>. The following regions are integral in threat processing</w:t>
      </w:r>
      <w:r>
        <w:t>:</w:t>
      </w:r>
      <w:r w:rsidRPr="001D3A0C">
        <w:t xml:space="preserve"> medial PFC (mPFC), rostral and dorsal </w:t>
      </w:r>
      <w:r>
        <w:t>anterior cingulate cortex (rACC; dACC, respectively)</w:t>
      </w:r>
      <w:r w:rsidRPr="001D3A0C">
        <w:t>, amygdala</w:t>
      </w:r>
      <w:r>
        <w:t>, and hippocampus</w:t>
      </w:r>
      <w:r w:rsidRPr="001D3A0C">
        <w:t>. The mPFC is a regulatory brain region responsible for behavioral flexibility, encoding motivated actions, promoting fear extinction, and goal-directed action</w:t>
      </w:r>
      <w:r>
        <w:t xml:space="preserve"> </w:t>
      </w:r>
      <w:r>
        <w:fldChar w:fldCharType="begin"/>
      </w:r>
      <w:r w:rsidR="005203C4">
        <w:instrText xml:space="preserve"> ADDIN ZOTERO_ITEM CSL_CITATION {"citationID":"a2b3a8dgj2l","properties":{"formattedCitation":"\\super 11\\nosupersub{}","plainCitation":"11","noteIndex":0},"citationItems":[{"id":113,"uris":["http://zotero.org/groups/5008963/items/YS7YIRYR"],"itemData":{"id":113,"type":"chapter","abstract":"The prefrontal cortex (PFC) is involved in adaptive control of behavior and optimizing action selection. When an organism is experiencing an aversive event, such as a sustained state of anxiety or an overt experience of fear or stress, the mechanisms that govern PFC regulation of action selection may be critical for survival. A large body of literature has shown that acute aversive states influence the activity of PFC neurons and the release of neurotransmitters in this region. These states also result in long-term neurobiological changes in the PFC and expression of PFC-dependent motivated behaviors. The mechanism for how these changes lead to modifying action selection is only recently beginning to emerge. Here, we review animal and human studies into the neural mechanisms which may mediate the adaptive changes in the PFC that emerge during negative affective states. We then highlight recent advances in approaches for understanding how anxiety influences action selection and related cortical processes. We conclude by proposing that PFC neurons selectively influence action encoding during conditions where actions toward obtaining a reward or avoiding harm are executed under a fog of fear and anxiety.","collection-title":"What does Medial Frontal Cortex Signal During Behavior? Insights from Behavioral Neurophysiology","container-title":"International Review of Neurobiology","language":"en","note":"DOI: 10.1016/bs.irn.2020.11.014","page":"29-55","publisher":"Academic Press","source":"ScienceDirect","title":"Chapter Two - Medial prefrontal cortex encoding of stress and anxiety","URL":"https://www.sciencedirect.com/science/article/pii/S0074774220301598","volume":"158","author":[{"family":"Jacobs","given":"David S."},{"family":"Moghaddam","given":"Bita"}],"editor":[{"family":"Brockett","given":"Adam T."},{"family":"Amarante","given":"Linda M."},{"family":"Laubach","given":"Mark"},{"family":"Roesch","given":"Matthew R."}],"accessed":{"date-parts":[["2023",5,29]]},"issued":{"date-parts":[["2021",1,1]]}}}],"schema":"https://github.com/citation-style-language/schema/raw/master/csl-citation.json"} </w:instrText>
      </w:r>
      <w:r>
        <w:fldChar w:fldCharType="separate"/>
      </w:r>
      <w:r w:rsidR="005203C4" w:rsidRPr="005203C4">
        <w:rPr>
          <w:vertAlign w:val="superscript"/>
        </w:rPr>
        <w:t>11</w:t>
      </w:r>
      <w:r>
        <w:fldChar w:fldCharType="end"/>
      </w:r>
      <w:r w:rsidRPr="001D3A0C">
        <w:t xml:space="preserve">. In an anxious state, it is believed that anxiety may suppress executive cortical control, allowing the amygdala to bias attention toward threats and </w:t>
      </w:r>
      <w:r w:rsidRPr="001D3A0C">
        <w:lastRenderedPageBreak/>
        <w:t>guide responding to that threat</w:t>
      </w:r>
      <w:r>
        <w:t xml:space="preserve"> </w:t>
      </w:r>
      <w:r>
        <w:fldChar w:fldCharType="begin"/>
      </w:r>
      <w:r w:rsidR="005203C4">
        <w:instrText xml:space="preserve"> ADDIN ZOTERO_ITEM CSL_CITATION {"citationID":"a1p5jaad3uu","properties":{"formattedCitation":"\\super 12,13\\nosupersub{}","plainCitation":"12,13","noteIndex":0},"citationItems":[{"id":117,"uris":["http://zotero.org/groups/5008963/items/DAYHXG6B"],"itemData":{"id":117,"type":"article-journal","abstract":"Attentional control theory is an approach to anxiety and cognition representing a major development of Eysenck and Calvo's (1992) processing efficiency theory. It is assumed that anxiety impairs efficient functioning of the goal-directed attentional system and increases the extent to which processing is influenced by the stimulus-driven attentional system. In addition to decreasing attentional control, anxiety increases attention to threat-related stimuli. Adverse effects of anxiety on processing efficiency depend on two central executive functions involving attentional control: inhibition and shifting. However, anxiety may not impair performance effectiveness (quality of performance) when it leads to the use of compensatory strategies (e.g., enhanced effort; increased use of processing resources). Directions for future research are discussed. (PsycINFO Database Record (c) 2016 APA, all rights reserved)","container-title":"Emotion","DOI":"10.1037/1528-3542.7.2.336","ISSN":"1931-1516","note":"publisher-place: US\npublisher: American Psychological Association","page":"336-353","source":"APA PsycNet","title":"Anxiety and cognitive performance: Attentional control theory","title-short":"Anxiety and cognitive performance","volume":"7","author":[{"family":"Eysenck","given":"Michael W."},{"family":"Derakshan","given":"Nazanin"},{"family":"Santos","given":"Rita"},{"family":"Calvo","given":"Manuel G."}],"issued":{"date-parts":[["2007"]]}}},{"id":116,"uris":["http://zotero.org/groups/5008963/items/XNGT62DU"],"itemData":{"id":116,"type":"article-journal","abstract":"Findings from fear-conditioning studies in rats and functional neuroimaging with human volunteers have led to the suggestion that the amygdala is involved in the preattentive detection of threat-related stimuli. However, some neuroimaging findings point to attentional modulation of the amygdala response. The clinical-cognitive literature suggests that the extent to which the processing of threat-related stimuli is modulated by attention is crucially dependent on participants' anxiety levels. Here, we conducted a functional magnetic resonance imaging study with 27 healthy volunteers to examine whether amygdala responsivity to unattended threat-related stimuli varies with individual differences in state anxiety. Pairs of houses and faces (both fearful or neutral in expression) were presented, and participants attended to either the faces or the houses and matched these stimuli on identity. “Low-anxious” participants showed a reduced amygdala response to unattended versus attended fearful faces, but “high-anxious” participants showed no such reduction, having an increased amygdala response to fearful versus neutral faces regardless of attentional focus. These findings suggest that anxiety may interact with attentional focus to determine the magnitude of the amygdala response to threat-related stimuli.","container-title":"The Journal of Neuroscience","DOI":"10.1523/JNEUROSCI.2550-04.2004","issue":"46","journalAbbreviation":"J. Neurosci.","page":"10364","title":"State Anxiety Modulation of the Amygdala Response to Unattended Threat-Related Stimuli","volume":"24","author":[{"literal":"Sonia J. Bishop"},{"literal":"John Duncan"},{"literal":"Andrew D. Lawrence"}],"issued":{"date-parts":[["2004",11,17]]}}}],"schema":"https://github.com/citation-style-language/schema/raw/master/csl-citation.json"} </w:instrText>
      </w:r>
      <w:r>
        <w:fldChar w:fldCharType="separate"/>
      </w:r>
      <w:r w:rsidR="005203C4" w:rsidRPr="005203C4">
        <w:rPr>
          <w:vertAlign w:val="superscript"/>
        </w:rPr>
        <w:t>12,13</w:t>
      </w:r>
      <w:r>
        <w:fldChar w:fldCharType="end"/>
      </w:r>
      <w:r w:rsidRPr="001D3A0C">
        <w:t xml:space="preserve">. </w:t>
      </w:r>
      <w:r w:rsidRPr="001D3A0C">
        <w:rPr>
          <w:bCs/>
        </w:rPr>
        <w:t xml:space="preserve">The ACC is separated into many subregions. The rACC plays a similar role in inhibitory fear-potentiated responses to the mPFC. The dACC is implicated in anxiety-related </w:t>
      </w:r>
      <w:r>
        <w:rPr>
          <w:bCs/>
        </w:rPr>
        <w:t>responses</w:t>
      </w:r>
      <w:r w:rsidRPr="001D3A0C">
        <w:rPr>
          <w:bCs/>
        </w:rPr>
        <w:t xml:space="preserve"> </w:t>
      </w:r>
      <w:r w:rsidRPr="001D3A0C">
        <w:rPr>
          <w:bCs/>
        </w:rPr>
        <w:fldChar w:fldCharType="begin"/>
      </w:r>
      <w:r w:rsidR="005203C4">
        <w:rPr>
          <w:bCs/>
        </w:rPr>
        <w:instrText xml:space="preserve"> ADDIN ZOTERO_ITEM CSL_CITATION {"citationID":"acNi1bYg","properties":{"formattedCitation":"\\super 14\\nosupersub{}","plainCitation":"14","noteIndex":0},"citationItems":[{"id":421,"uris":["http://zotero.org/groups/5008963/items/LHHRYBL6"],"itemData":{"id":421,"type":"article-journal","abstract":"Variations in neural circuitry, inherited or acquired, may underlie important individual differences in thought, feeling, and action patterns. Here, we used task-free connectivity analyses to isolate and characterize two distinct networks typically coactivated during functional MRI tasks. We identified a “salience network,” anchored by dorsal anterior cingulate (dACC) and orbital frontoinsular cortices with robust connectivity to subcortical and limbic structures, and an “executive-control network” that links dorsolateral frontal and parietal neocortices. These intrinsic connectivity networks showed dissociable correlations with functions measured outside the scanner. Prescan anxiety ratings correlated with intrinsic functional connectivity of the dACC node of the salience network, but with no region in the executive-control network, whereas executive task performance correlated with lateral parietal nodes of the executive-control network, but with no region in the salience network. Our findings suggest that task-free analysis of intrinsic connectivity networks may help elucidate the neural architectures that support fundamental aspects of human behavior.","container-title":"Journal of Neuroscience","DOI":"10.1523/JNEUROSCI.5587-06.2007","ISSN":"0270-6474, 1529-2401","issue":"9","journalAbbreviation":"J. Neurosci.","language":"en","license":"Copyright © 2007 Society for Neuroscience 0270-6474/07/272349-08$15.00/0","note":"publisher: Society for Neuroscience\nsection: Articles\nPMID: 17329432","page":"2349-2356","source":"www-jneurosci-org.proxy.library.emory.edu","title":"Dissociable Intrinsic Connectivity Networks for Salience Processing and Executive Control","volume":"27","author":[{"family":"Seeley","given":"William W."},{"family":"Menon","given":"Vinod"},{"family":"Schatzberg","given":"Alan F."},{"family":"Keller","given":"Jennifer"},{"family":"Glover","given":"Gary H."},{"family":"Kenna","given":"Heather"},{"family":"Reiss","given":"Allan L."},{"family":"Greicius","given":"Michael D."}],"issued":{"date-parts":[["2007",2,28]]}}}],"schema":"https://github.com/citation-style-language/schema/raw/master/csl-citation.json"} </w:instrText>
      </w:r>
      <w:r w:rsidRPr="001D3A0C">
        <w:rPr>
          <w:bCs/>
        </w:rPr>
        <w:fldChar w:fldCharType="separate"/>
      </w:r>
      <w:r w:rsidR="005203C4" w:rsidRPr="005203C4">
        <w:rPr>
          <w:vertAlign w:val="superscript"/>
        </w:rPr>
        <w:t>14</w:t>
      </w:r>
      <w:r w:rsidRPr="001D3A0C">
        <w:rPr>
          <w:bCs/>
        </w:rPr>
        <w:fldChar w:fldCharType="end"/>
      </w:r>
      <w:r w:rsidRPr="001D3A0C">
        <w:rPr>
          <w:bCs/>
        </w:rPr>
        <w:t>. The amygdala is responsible for our fight, flight</w:t>
      </w:r>
      <w:r>
        <w:rPr>
          <w:bCs/>
        </w:rPr>
        <w:t>,</w:t>
      </w:r>
      <w:r w:rsidRPr="001D3A0C">
        <w:rPr>
          <w:bCs/>
        </w:rPr>
        <w:t xml:space="preserve"> or freeze response to potentially threatening environmental stimuli </w:t>
      </w:r>
      <w:r w:rsidRPr="001D3A0C">
        <w:rPr>
          <w:bCs/>
        </w:rPr>
        <w:fldChar w:fldCharType="begin"/>
      </w:r>
      <w:r w:rsidR="005203C4">
        <w:rPr>
          <w:bCs/>
        </w:rPr>
        <w:instrText xml:space="preserve"> ADDIN ZOTERO_ITEM CSL_CITATION {"citationID":"AVk11yC8","properties":{"formattedCitation":"\\super 15\\nosupersub{}","plainCitation":"15","noteIndex":0},"citationItems":[{"id":469,"uris":["http://zotero.org/groups/5008963/items/JXVMWUIV"],"itemData":{"id":469,"type":"article-journal","abstract":"The amygdala and hippocampal complex, two medial temporal lobe structures, are linked to two independent memory systems, each with unique characteristic functions. In emotional situations, these two systems interact in subtle but important ways. Specifically, the amygdala can modulate both the encoding and the storage of hippocampal-dependent memories. The hippocampal complex, by forming episodic representations of the emotional significance and interpretation of events, can influence the amygdala response when emotional stimuli are encountered. Although these are independent memory systems, they act in concert when emotion meets memory.","container-title":"Current Opinion in Neurobiology","DOI":"10.1016/j.conb.2004.03.015","ISSN":"0959-4388","issue":"2","journalAbbreviation":"Current Opinion in Neurobiology","language":"en","page":"198-202","source":"ScienceDirect","title":"Human emotion and memory: interactions of the amygdala and hippocampal complex","title-short":"Human emotion and memory","volume":"14","author":[{"family":"Phelps","given":"Elizabeth A"}],"issued":{"date-parts":[["2004",4,1]]}}}],"schema":"https://github.com/citation-style-language/schema/raw/master/csl-citation.json"} </w:instrText>
      </w:r>
      <w:r w:rsidRPr="001D3A0C">
        <w:rPr>
          <w:bCs/>
        </w:rPr>
        <w:fldChar w:fldCharType="separate"/>
      </w:r>
      <w:r w:rsidR="005203C4" w:rsidRPr="005203C4">
        <w:rPr>
          <w:vertAlign w:val="superscript"/>
        </w:rPr>
        <w:t>15</w:t>
      </w:r>
      <w:r w:rsidRPr="001D3A0C">
        <w:rPr>
          <w:bCs/>
        </w:rPr>
        <w:fldChar w:fldCharType="end"/>
      </w:r>
      <w:r w:rsidRPr="001D3A0C">
        <w:rPr>
          <w:bCs/>
        </w:rPr>
        <w:t>.</w:t>
      </w:r>
      <w:r w:rsidRPr="001D3A0C">
        <w:t xml:space="preserve"> Lastly, the hippocampus is central in creating associations with contexts in which threatening stimuli are presented </w:t>
      </w:r>
      <w:r w:rsidRPr="001D3A0C">
        <w:fldChar w:fldCharType="begin"/>
      </w:r>
      <w:r w:rsidR="005203C4">
        <w:instrText xml:space="preserve"> ADDIN ZOTERO_ITEM CSL_CITATION {"citationID":"KMhYlfr8","properties":{"formattedCitation":"\\super 15\\nosupersub{}","plainCitation":"15","noteIndex":0},"citationItems":[{"id":469,"uris":["http://zotero.org/groups/5008963/items/JXVMWUIV"],"itemData":{"id":469,"type":"article-journal","abstract":"The amygdala and hippocampal complex, two medial temporal lobe structures, are linked to two independent memory systems, each with unique characteristic functions. In emotional situations, these two systems interact in subtle but important ways. Specifically, the amygdala can modulate both the encoding and the storage of hippocampal-dependent memories. The hippocampal complex, by forming episodic representations of the emotional significance and interpretation of events, can influence the amygdala response when emotional stimuli are encountered. Although these are independent memory systems, they act in concert when emotion meets memory.","container-title":"Current Opinion in Neurobiology","DOI":"10.1016/j.conb.2004.03.015","ISSN":"0959-4388","issue":"2","journalAbbreviation":"Current Opinion in Neurobiology","language":"en","page":"198-202","source":"ScienceDirect","title":"Human emotion and memory: interactions of the amygdala and hippocampal complex","title-short":"Human emotion and memory","volume":"14","author":[{"family":"Phelps","given":"Elizabeth A"}],"issued":{"date-parts":[["2004",4,1]]}}}],"schema":"https://github.com/citation-style-language/schema/raw/master/csl-citation.json"} </w:instrText>
      </w:r>
      <w:r w:rsidRPr="001D3A0C">
        <w:fldChar w:fldCharType="separate"/>
      </w:r>
      <w:r w:rsidR="005203C4" w:rsidRPr="005203C4">
        <w:rPr>
          <w:vertAlign w:val="superscript"/>
        </w:rPr>
        <w:t>15</w:t>
      </w:r>
      <w:r w:rsidRPr="001D3A0C">
        <w:fldChar w:fldCharType="end"/>
      </w:r>
      <w:r w:rsidRPr="001D3A0C">
        <w:t>. Given the importance of these regions in threat processing, we will focus on these five regions as the ROIs for the negative emotionality domain.</w:t>
      </w:r>
    </w:p>
    <w:p w14:paraId="32CC9200" w14:textId="77777777" w:rsidR="002260B9" w:rsidRPr="001D3A0C" w:rsidRDefault="002260B9" w:rsidP="002260B9">
      <w:pPr>
        <w:spacing w:line="480" w:lineRule="auto"/>
        <w:rPr>
          <w:b/>
          <w:i/>
        </w:rPr>
      </w:pPr>
      <w:r w:rsidRPr="001D3A0C">
        <w:rPr>
          <w:b/>
          <w:i/>
        </w:rPr>
        <w:t xml:space="preserve">Domain </w:t>
      </w:r>
      <w:r>
        <w:rPr>
          <w:b/>
          <w:i/>
        </w:rPr>
        <w:t>3</w:t>
      </w:r>
      <w:r w:rsidRPr="001D3A0C">
        <w:rPr>
          <w:b/>
          <w:i/>
        </w:rPr>
        <w:t>: Inhibition</w:t>
      </w:r>
    </w:p>
    <w:p w14:paraId="6D09C6D7" w14:textId="12B8ADC6" w:rsidR="002260B9" w:rsidRPr="001D3A0C" w:rsidRDefault="002260B9" w:rsidP="002260B9">
      <w:pPr>
        <w:spacing w:line="480" w:lineRule="auto"/>
        <w:ind w:firstLine="720"/>
      </w:pPr>
      <w:r>
        <w:t>Researchers have</w:t>
      </w:r>
      <w:r w:rsidRPr="001D3A0C">
        <w:t xml:space="preserve"> identified executive function, the cognitive processes important in the self-regulation of behavioral achievements</w:t>
      </w:r>
      <w:r>
        <w:t>,</w:t>
      </w:r>
      <w:r w:rsidRPr="001D3A0C">
        <w:t xml:space="preserve"> as a key neurofunctional domain to examine the development and maintenance of PTSD+SUD</w:t>
      </w:r>
      <w:r>
        <w:t xml:space="preserve"> </w:t>
      </w:r>
      <w:r>
        <w:fldChar w:fldCharType="begin"/>
      </w:r>
      <w:r w:rsidR="005203C4">
        <w:instrText xml:space="preserve"> ADDIN ZOTERO_ITEM CSL_CITATION {"citationID":"m1Sc03eF","properties":{"formattedCitation":"\\super 8\\nosupersub{}","plainCitation":"8","noteIndex":0},"citationItems":[{"id":302,"uris":["http://zotero.org/groups/5008963/items/PL6YV7H9"],"itemData":{"id":302,"type":"article-journal","abstract":"We provide a unifying translational framework that can be used to synthesize extant lines of human laboratory research in four neurofunctional domains that underlie the co-occurrence of posttraumatic stress and substance use disorders (PTSD+SUD). We draw upon the Alcohol and Addiction Research Domain Criteria (AARDOC) to include executive functioning, negative emotionality, reward, and added social cognition from the National Institute of Mental Health (NIMH) Research Domain Criteria into our framework. We review research findings across each of the four domains, emphasizing human experimental studies in PTSD, SUD, and PTSD+SUD for each domain. We also discuss the implications of research findings for treatment development by considering new ways of conceptualizing risk factors and outcomes at the level of the individual patient, which will enhance treatment matching and advance innovations in intervention.","container-title":"Neuroscience &amp; Biobehavioral Reviews","DOI":"10.1016/j.neubiorev.2021.05.022","ISSN":"0149-7634","journalAbbreviation":"Neuroscience &amp; Biobehavioral Reviews","language":"en","page":"779-794","source":"ScienceDirect","title":"A unifying translational framework to advance treatment research for comorbid PTSD and substance use disorders","volume":"127","author":[{"family":"Hien","given":"Denise A."},{"family":"López-Castro","given":"Teresa"},{"family":"Fitzpatrick","given":"Skye"},{"family":"Ruglass","given":"Lesia M."},{"family":"Fertuck","given":"Eric A."},{"family":"Melara","given":"Robert"}],"issued":{"date-parts":[["2021",8,1]]}}}],"schema":"https://github.com/citation-style-language/schema/raw/master/csl-citation.json"} </w:instrText>
      </w:r>
      <w:r>
        <w:fldChar w:fldCharType="separate"/>
      </w:r>
      <w:r w:rsidR="005203C4" w:rsidRPr="005203C4">
        <w:rPr>
          <w:vertAlign w:val="superscript"/>
        </w:rPr>
        <w:t>8</w:t>
      </w:r>
      <w:r>
        <w:fldChar w:fldCharType="end"/>
      </w:r>
      <w:r>
        <w:t xml:space="preserve">, given its important role in either disorder </w:t>
      </w:r>
      <w:r>
        <w:fldChar w:fldCharType="begin"/>
      </w:r>
      <w:r w:rsidR="005203C4">
        <w:instrText xml:space="preserve"> ADDIN ZOTERO_ITEM CSL_CITATION {"citationID":"8sokBWgT","properties":{"formattedCitation":"\\super 9,10,16\\nosupersub{}","plainCitation":"9,10,16","noteIndex":0},"citationItems":[{"id":407,"uris":["http://zotero.org/groups/5008963/items/AAYC7IAH"],"itemData":{"id":407,"type":"article-journal","abstract":"Drug addiction represents a dramatic dysregulation of motivational circuits that is caused by a combination of exaggerated incentive salience and habit formation, reward deficits and stress surfeits, and compromised executive function in three stages. The rewarding effects of drugs of abuse, development of incentive salience, and development of drug-seeking habits in the binge/intoxication stage involve changes in dopamine and opioid peptides in the basal ganglia. The increases in negative emotional states and dysphoric and stress-like responses in the withdrawal/negative affect stage involve decreases in the function of the dopamine component of the reward system and recruitment of brain stress neurotransmitters, such as corticotropin-releasing factor and dynorphin, in the neurocircuitry of the extended amygdala. The craving and deficits in executive function in the so-called preoccupation/anticipation stage involve the dysregulation of key afferent projections from the prefrontal cortex and insula, including glutamate, to the basal ganglia and extended amygdala. Molecular genetic studies have identified transduction and transcription factors that act in neurocircuitry associated with the development and maintenance of addiction that might mediate initial vulnerability, maintenance, and relapse associated with addiction.","container-title":"The lancet. Psychiatry","DOI":"10.1016/S2215-0366(16)00104-8","ISSN":"2215-0366","issue":"8","journalAbbreviation":"Lancet Psychiatry","note":"PMID: 27475769\nPMCID: PMC6135092","page":"760-773","source":"PubMed Central","title":"Neurobiology of addiction: a neurocircuitry analysis","title-short":"Neurobiology of addiction","volume":"3","author":[{"family":"Koob","given":"George F"},{"family":"Volkow","given":"Nora D"}],"issued":{"date-parts":[["2016",8]]}}},{"id":822,"uris":["http://zotero.org/groups/5008963/items/5NTTJXJ8"],"itemData":{"id":822,"type":"article-journal","abstract":"Neuropsychological approaches represent an important avenue for identifying susceptibility and resiliency factors relating to the development and maintenance of posttraumatic stress disorder (PTSD) symptoms post-trauma. This review will summarize results from prospective longitudinal and retrospective cross-sectional studies investigating executive function associated with PTSD. This research points specifically towards subtle impairments in response inhibition and attention regulation that may predate trauma exposure, serve as risk factors for the development of PTSD, and relate to the severity of symptoms. These impairments may be exacerbated within emotional or trauma-related contexts, and may relate to dysfunction within dorsal prefrontal networks. A model is presented concerning how such impairments may contribute to the clinical profile of PTSD and lead to the use of alternative coping styles such as avoidance. Further neuropsychological research is needed to identify the effects of treatment on cognitive function and to potentially characterize mechanisms of current PTSD treatments. Knowledge gained from cognitive and neuroscientific research may prove valuable for informing the future development of novel, more effective, treatments for PTSD.","container-title":"Neuropharmacology","DOI":"10.1016/j.neuropharm.2011.02.008","ISSN":"0028-3908","issue":"2","journalAbbreviation":"Neuropharmacology","note":"PMID: 21349277\nPMCID: PMC4719148","page":"686-694","source":"PubMed Central","title":"Executive Function and PTSD: Disengaging from Trauma","title-short":"Executive Function and PTSD","volume":"62","author":[{"family":"Aupperle","given":"Robin L."},{"family":"Melrose","given":"Andrew J."},{"family":"Stein","given":"Murray B."},{"family":"Paulus","given":"Martin P."}],"issued":{"date-parts":[["2012",2]]}}},{"id":816,"uris":["http://zotero.org/groups/5008963/items/2KCE86N6"],"itemData":{"id":816,"type":"article-journal","abstract":"This article proposes a heuristic framework for the Addictions Neuroclinical Assessment that incorporates key functional domains derived from the neurocircuitry of addiction. We review how addictive disorders (ADs) are presently diagnosed and the need for new neuroclinical measures to differentiate patients who meet clinical criteria for addiction to the same agent while differing in etiology, prognosis, and treatment response. The need for a better understanding of the mechanisms provoking and maintaining addiction, as evidenced by the limitations of current treatments and within-diagnosis clinical heterogeneity, is articulated. In addition, recent changes in the nosology of ADs, challenges to current classification systems, and prior attempts to subtype individuals with ADs are described. Complementary initiatives, including the Research Domain Criteria project, that have established frameworks for the neuroscience of psychiatric disorders are discussed. Three domains-executive function, incentive salience, and negative emotionality-tied to different phases in the cycle of addiction form the core functional elements of ADs. Measurement of these domains in epidemiologic, genetic, clinical, and treatment studies will provide the underpinnings for an understanding of cross-population and temporal variation in addictions, shared mechanisms in addictive disorders, impact of changing environmental influences, and gene identification. Finally, we show that it is practical to implement such a deep neuroclinical assessment using a combination of neuroimaging and performance measures. Neuroclinical assessment is key to reconceptualizing the nosology of ADs on the basis of process and etiology, an advance that can lead to improved prevention and treatment.","container-title":"Biological Psychiatry","DOI":"10.1016/j.biopsych.2015.10.024","ISSN":"1873-2402","issue":"3","journalAbbreviation":"Biol Psychiatry","language":"eng","note":"PMID: 26772405\nPMCID: PMC4870153","page":"179-189","source":"PubMed","title":"Addictions Neuroclinical Assessment: A Neuroscience-Based Framework for Addictive Disorders","title-short":"Addictions Neuroclinical Assessment","volume":"80","author":[{"family":"Kwako","given":"Laura E."},{"family":"Momenan","given":"Reza"},{"family":"Litten","given":"Raye Z."},{"family":"Koob","given":"George F."},{"family":"Goldman","given":"David"}],"issued":{"date-parts":[["2016",8,1]]}}}],"schema":"https://github.com/citation-style-language/schema/raw/master/csl-citation.json"} </w:instrText>
      </w:r>
      <w:r>
        <w:fldChar w:fldCharType="separate"/>
      </w:r>
      <w:r w:rsidR="005203C4" w:rsidRPr="005203C4">
        <w:rPr>
          <w:vertAlign w:val="superscript"/>
        </w:rPr>
        <w:t>9,10,16</w:t>
      </w:r>
      <w:r>
        <w:fldChar w:fldCharType="end"/>
      </w:r>
      <w:r w:rsidRPr="001D3A0C">
        <w:t>. Our review will focus on inhibition (hereafter, the term “inhibition” will be used instead of executive functioning), a key cognitive process critical for substance use</w:t>
      </w:r>
      <w:r>
        <w:t xml:space="preserve"> </w:t>
      </w:r>
      <w:r w:rsidRPr="001D3A0C">
        <w:fldChar w:fldCharType="begin"/>
      </w:r>
      <w:r w:rsidR="005203C4">
        <w:instrText xml:space="preserve"> ADDIN ZOTERO_ITEM CSL_CITATION {"citationID":"4kP6nbYf","properties":{"formattedCitation":"\\super 17\\nosupersub{}","plainCitation":"17","noteIndex":0},"citationItems":[{"id":327,"uris":["http://zotero.org/groups/5008963/items/RLFMQK6C"],"itemData":{"id":327,"type":"article-journal","abstract":"Delay discounting describes the devaluation of a reinforcer as a function of the delay until its receipt. Although all people discount delayed reinforcers, one consistent finding is that substance-dependent individuals tend to discount delayed reinforcers more rapidly than do healthy controls. Moreover, these higher-than-normal discounting rates have been observed in individuals with other behavioral maladies such as pathological gambling, poor health behavior, and overeating. This suggests that high rates of delay discounting may be a trans-disease process (i.e., a process that occurs across a range of disorders, making findings from one disorder relevant to other disorders). In this paper, we argue that delay discounting is a trans-disease process, undergirded by an imbalance between two competing neurobehavioral decision systems. Implications for our understanding of, and treatment for, this trans-disease process are discussed.","container-title":"Pharmacology &amp; therapeutics","DOI":"10.1016/j.pharmthera.2012.02.004","ISSN":"0163-7258","issue":"3","journalAbbreviation":"Pharmacol Ther","note":"PMID: 22387232\nPMCID: PMC3329584","page":"287-297","source":"PubMed Central","title":"Excessive Discounting of Delayed Reinforcers as a Trans-Disease Process Contributing to Addiction and Other Disease-Related Vulnerabilities: Emerging Evidence","title-short":"Excessive Discounting of Delayed Reinforcers as a Trans-Disease Process Contributing to Addiction and Other Disease-Related Vulnerabilities","volume":"134","author":[{"family":"Bickel","given":"Warren K."},{"family":"Jarmolowicz","given":"David P."},{"family":"Mueller","given":"E. Terry"},{"family":"Koffarnus","given":"Mikhail N."},{"family":"Gatchalian","given":"Kirstin M."}],"issued":{"date-parts":[["2012",6]]}}}],"schema":"https://github.com/citation-style-language/schema/raw/master/csl-citation.json"} </w:instrText>
      </w:r>
      <w:r w:rsidRPr="001D3A0C">
        <w:fldChar w:fldCharType="separate"/>
      </w:r>
      <w:r w:rsidR="005203C4" w:rsidRPr="005203C4">
        <w:rPr>
          <w:vertAlign w:val="superscript"/>
        </w:rPr>
        <w:t>17</w:t>
      </w:r>
      <w:r w:rsidRPr="001D3A0C">
        <w:fldChar w:fldCharType="end"/>
      </w:r>
      <w:r>
        <w:t xml:space="preserve">. Importantly, </w:t>
      </w:r>
      <w:r w:rsidRPr="00745F2B">
        <w:t>given its implications in</w:t>
      </w:r>
      <w:r>
        <w:t xml:space="preserve"> </w:t>
      </w:r>
      <w:r w:rsidRPr="00745F2B">
        <w:t>trauma</w:t>
      </w:r>
      <w:r>
        <w:t xml:space="preserve"> </w:t>
      </w:r>
      <w:r>
        <w:fldChar w:fldCharType="begin"/>
      </w:r>
      <w:r w:rsidR="005203C4">
        <w:instrText xml:space="preserve"> ADDIN ZOTERO_ITEM CSL_CITATION {"citationID":"aj51jro2q8","properties":{"formattedCitation":"\\super 18,19\\nosupersub{}","plainCitation":"18,19","noteIndex":0},"citationItems":[{"id":1439,"uris":["http://zotero.org/groups/5008963/items/AJFECJZ5"],"itemData":{"id":1439,"type":"article-journal","abstract":"Inhibition is a critical executive control process and an established neurobiological phenotype of PTSD, yet to our knowledge, no prospective studies have examined this using a contextual cue task that enables measurement of behavioural response and neural ...","container-title":"European Journal of Psychotraumatology","DOI":"10.1080/20008198.2022.2059993","issue":"1","language":"en","note":"PMID: 35432781","source":"www-ncbi-nlm-nih-gov.proxy.library.emory.edu","title":"Right inferior frontal gyrus and ventromedial prefrontal activation during response inhibition is implicated in the development of PTSD symptoms","URL":"https://www.ncbi.nlm.nih.gov/pmc/articles/PMC9009908/","volume":"13","author":[{"family":"Powers","given":"Abigail"},{"family":"Hinojosa","given":"Cecilia A."},{"family":"Stevens","given":"Jennifer S."},{"family":"Harvey","given":"Brandon"},{"family":"Pas","given":"Pascal"},{"family":"Rothbaum","given":"Barbara O."},{"family":"Ressler","given":"Kerry J."},{"family":"Jovanovic","given":"Tanja"},{"family":"Rooij","given":"Sanne J. H.","dropping-particle":"van"}],"accessed":{"date-parts":[["2024",3,15]]},"issued":{"date-parts":[["2022"]]}}},{"id":1436,"uris":["http://zotero.org/groups/5008963/items/KWNHTVIX"],"itemData":{"id":1436,"type":"article-journal","abstract":"Background\nUnderstanding the neurobiological mechanisms that predict PTSD in recent trauma survivors is important for early interventions. Impaired inhibition of fear or behavioral responses is thought to be central to PTSD symptomatology, but its role in predicting PTSD is unknown. Here we examine whether brain function during response inhibition early after a civilian trauma can predict future PTSD symptoms.\n\nMethods\nParticipants (original sample, N=27; replication sample, N=31) were recruited in the Emergency Department (ED) within 24h of trauma exposure. PTSD symptoms were assessed in the ED and 1, 3 and 6-months post-trauma. A Go/NoGo procedure in a 3T MRI scanner was used to measure neural correlates of response inhibition 1–2 months post-trauma. Elastic net regression was used to define the most optimal model to predict PTSD symptoms at 3-and 6-months among demographic, clinical and imaging measures.\n\nResults\nLess hippocampal activation was a significant predictor in the model predicting PTSD symptoms at 3-months (F(11,22)=4.33, p=0.01) and 6-months (F(9,19)=4.96, p=0.01). Other significant predictors in the model were race and pain level in the ED (3-months), and race and baseline depression symptoms (6-months). Using these predictors in a linear regression in the replication sample again resulted in significant models (F(3,23)=3.03, p=0.05; F(3,20)=5.74, p=0.007) with hippocampal activation predicting PTSD symptoms at 3-and 6-months.\n\nConclusions\nDecreased inhibition-related hippocampal activation soon after trauma prospectively predicted greater future PTSD symptom severity. This finding may contribute to early identification of at-risk individuals and reveals potential targets for intervention or symptom prevention in the aftermath of trauma.","container-title":"Biological psychiatry","DOI":"10.1016/j.biopsych.2017.09.005","ISSN":"0006-3223","issue":"2","journalAbbreviation":"Biol Psychiatry","note":"PMID: 29110899\nPMCID: PMC5860925","page":"106-115","source":"PubMed Central","title":"The role of the hippocampus in predicting future PTSD symptoms in recently traumatized civilians","volume":"84","author":[{"family":"Rooij","given":"Sanne J.H.","non-dropping-particle":"van"},{"family":"Stevens","given":"Jennifer S."},{"family":"Ely","given":"Timothy D."},{"family":"Hinrichs","given":"Rebecca C."},{"family":"Michopoulos","given":"Vasiliki"},{"family":"Winters","given":"Sterling J."},{"family":"Ogbonmwan","given":"Yvonne E."},{"family":"Shin","given":"Jaemin"},{"family":"Nugent","given":"Nicole R."},{"family":"Hudak","given":"Lauren A."},{"family":"Rothbaum","given":"Barbara O."},{"family":"Ressler","given":"Kerry J."},{"family":"Jovanovic","given":"Tanja"}],"issued":{"date-parts":[["2018",7,15]]}}}],"schema":"https://github.com/citation-style-language/schema/raw/master/csl-citation.json"} </w:instrText>
      </w:r>
      <w:r>
        <w:fldChar w:fldCharType="separate"/>
      </w:r>
      <w:r w:rsidR="005203C4" w:rsidRPr="005203C4">
        <w:rPr>
          <w:vertAlign w:val="superscript"/>
        </w:rPr>
        <w:t>18,19</w:t>
      </w:r>
      <w:r>
        <w:fldChar w:fldCharType="end"/>
      </w:r>
      <w:r w:rsidRPr="00745F2B">
        <w:t xml:space="preserve"> and SUD</w:t>
      </w:r>
      <w:r>
        <w:t xml:space="preserve"> </w:t>
      </w:r>
      <w:r>
        <w:fldChar w:fldCharType="begin"/>
      </w:r>
      <w:r w:rsidR="005203C4">
        <w:instrText xml:space="preserve"> ADDIN ZOTERO_ITEM CSL_CITATION {"citationID":"ajfm594q0p","properties":{"formattedCitation":"\\super 20\\nosupersub{}","plainCitation":"20","noteIndex":0},"citationItems":[{"id":1433,"uris":["http://zotero.org/groups/5008963/items/IYY6FH3Q"],"itemData":{"id":1433,"type":"article-journal","abstract":"The cognitive repercussions of alcohol dependence are well documented. However, the literature remains somewhat ambiguous with respect to which distinct cognitive functions are more susceptible to impairment in alcoholism and to how duration of abstinence affects cognitive recovery. Some theories claim alcohol negatively affects specific cognitive functions, while others assert that deficits are more diffuse in nature. This is the first meta-analysis to examine cognition in alcohol abuse/dependence and the duration of abstinence necessary to achieve cognitive recovery. A literature search yielded 62 studies that assessed cognitive dysfunction among alcoholics. Effect size estimates were calculated using the Comprehensive Meta-Analysis V2, for the following 12 cognitive domains: intelligence quotient, verbal fluency/language, speed of processing, working memory, attention, problem solving/executive functions, inhibition/impulsivity, verbal learning, verbal memory, visual learning, visual memory and visuospatial abilities. Within these 12 domains, three effect size estimates were calculated based on abstinence duration. The three groups were partitioned into short- (&lt;1 month), intermediate- (2 to 12 months) and long- (&gt;1 year) term abstinence. Findings revealed moderate impairment across 11 cognitive domains during short-term abstinence, with moderate impairment across 10 domains during intermediate term abstinence. Small effect size estimates were found for long-term abstinence. These results suggest significant impairment across multiple cognitive functions remains stable during the first year of abstinence from alcohol. Generally, dysfunction abates by 1 year of sobriety. These findings support the diffuse brain hypothesis and suggest that cognitive dysfunction may linger for up to an average of 1 year post-detoxification from alcohol.","container-title":"Addiction Biology","DOI":"10.1111/j.1369-1600.2011.00418.x","ISSN":"1369-1600","issue":"2","language":"en","license":"© 2012 The Authors, Addiction Biology © 2012 Society for the Study of Addiction","note":"_eprint: https://onlinelibrary.wiley.com/doi/pdf/10.1111/j.1369-1600.2011.00418.x","page":"203-213","source":"Wiley Online Library","title":"Widespread and sustained cognitive deficits in alcoholism: a meta-analysis","title-short":"Widespread and sustained cognitive deficits in alcoholism","volume":"18","author":[{"family":"Stavro","given":"Katherine"},{"family":"Pelletier","given":"Julie"},{"family":"Potvin","given":"Stéphane"}],"issued":{"date-parts":[["2013"]]}}}],"schema":"https://github.com/citation-style-language/schema/raw/master/csl-citation.json"} </w:instrText>
      </w:r>
      <w:r>
        <w:fldChar w:fldCharType="separate"/>
      </w:r>
      <w:r w:rsidR="005203C4" w:rsidRPr="005203C4">
        <w:rPr>
          <w:vertAlign w:val="superscript"/>
        </w:rPr>
        <w:t>20</w:t>
      </w:r>
      <w:r>
        <w:fldChar w:fldCharType="end"/>
      </w:r>
      <w:r w:rsidRPr="00745F2B">
        <w:t xml:space="preserve">, </w:t>
      </w:r>
      <w:r>
        <w:t xml:space="preserve">we focused on inhibition under the executive function domain. </w:t>
      </w:r>
      <w:r w:rsidRPr="001D3A0C">
        <w:t xml:space="preserve">Inhibitory control, or the inability to prevent a behavioral or prepotent response </w:t>
      </w:r>
      <w:r w:rsidRPr="001D3A0C">
        <w:fldChar w:fldCharType="begin"/>
      </w:r>
      <w:r w:rsidR="005203C4">
        <w:instrText xml:space="preserve"> ADDIN ZOTERO_ITEM CSL_CITATION {"citationID":"CgfrdSK2","properties":{"formattedCitation":"\\super 21\\nosupersub{}","plainCitation":"21","noteIndex":0},"citationItems":[{"id":325,"uris":["http://zotero.org/groups/5008963/items/2GY542M4"],"itemData":{"id":325,"type":"article-journal","abstract":"Evidence from a number of substance abuse populations suggests that substance abuse is associated with a cluster of differences in cognitive processes. However, investigations of this kind in non-clinical samples are relatively few. The present study examined the ability of alcohol-attentional bias (an alcohol Stroop task), impulsive decision-making (a delay discounting task), and impaired inhibitory control (a GO-NOGO task) to: (a) discriminate problem from non-problem drinkers among a sample of college students; (b) predict scores on the Alcohol Use Disorders Identification Test (AUDIT; a measure of alcohol consumption, drinking behaviour, and alcohol-related problems) across all of the student drinkers; (c) predict AUDIT scores within the subgroups of problem and non-problem student drinkers. In logistic regression controlling for gender and age, student drinkers with elevated alcohol-attentional bias and impulsive decision-making were over twice as likely to be a problem than a non-problem drinker. Multiple regression analysis of the entire sample revealed that all three cognitive measures were significant predictors of AUDIT scores after gender and age had been controlled; the cognitive variables together accounted for 48% of the variance. Moreover, subsequent multiple regressions revealed that impaired inhibitory control was the only significant predictor of AUDIT scores for the group of non-problem drinkers, and alcohol-attentional bias and impulsive decision-making were the only significant predictors of AUDIT scores for the group of problem drinkers. Finally, both impulsive decision-making and impaired inhibitory control were significantly correlated with alcohol-attentional bias across the whole sample. Implications are discussed relating to the development of problematic drinking.","container-title":"Drug and Alcohol Dependence","DOI":"10.1016/j.drugalcdep.2010.10.011","ISSN":"1879-0046","issue":"1-2","journalAbbreviation":"Drug Alcohol Depend","language":"eng","note":"PMID: 21145183","page":"94-100","source":"PubMed","title":"Cognitive predictors of problem drinking and AUDIT scores among college students","volume":"115","author":[{"family":"Murphy","given":"Philip"},{"family":"Garavan","given":"Hugh"}],"issued":{"date-parts":[["2011",5,1]]}}}],"schema":"https://github.com/citation-style-language/schema/raw/master/csl-citation.json"} </w:instrText>
      </w:r>
      <w:r w:rsidRPr="001D3A0C">
        <w:fldChar w:fldCharType="separate"/>
      </w:r>
      <w:r w:rsidR="005203C4" w:rsidRPr="005203C4">
        <w:rPr>
          <w:vertAlign w:val="superscript"/>
        </w:rPr>
        <w:t>21</w:t>
      </w:r>
      <w:r w:rsidRPr="001D3A0C">
        <w:fldChar w:fldCharType="end"/>
      </w:r>
      <w:r w:rsidRPr="001D3A0C">
        <w:t xml:space="preserve">, is a major deficit in individuals with SUD </w:t>
      </w:r>
      <w:r w:rsidRPr="001D3A0C">
        <w:fldChar w:fldCharType="begin"/>
      </w:r>
      <w:r w:rsidR="005203C4">
        <w:instrText xml:space="preserve"> ADDIN ZOTERO_ITEM CSL_CITATION {"citationID":"9TElwym5","properties":{"formattedCitation":"\\super 17\\nosupersub{}","plainCitation":"17","noteIndex":0},"citationItems":[{"id":327,"uris":["http://zotero.org/groups/5008963/items/RLFMQK6C"],"itemData":{"id":327,"type":"article-journal","abstract":"Delay discounting describes the devaluation of a reinforcer as a function of the delay until its receipt. Although all people discount delayed reinforcers, one consistent finding is that substance-dependent individuals tend to discount delayed reinforcers more rapidly than do healthy controls. Moreover, these higher-than-normal discounting rates have been observed in individuals with other behavioral maladies such as pathological gambling, poor health behavior, and overeating. This suggests that high rates of delay discounting may be a trans-disease process (i.e., a process that occurs across a range of disorders, making findings from one disorder relevant to other disorders). In this paper, we argue that delay discounting is a trans-disease process, undergirded by an imbalance between two competing neurobehavioral decision systems. Implications for our understanding of, and treatment for, this trans-disease process are discussed.","container-title":"Pharmacology &amp; therapeutics","DOI":"10.1016/j.pharmthera.2012.02.004","ISSN":"0163-7258","issue":"3","journalAbbreviation":"Pharmacol Ther","note":"PMID: 22387232\nPMCID: PMC3329584","page":"287-297","source":"PubMed Central","title":"Excessive Discounting of Delayed Reinforcers as a Trans-Disease Process Contributing to Addiction and Other Disease-Related Vulnerabilities: Emerging Evidence","title-short":"Excessive Discounting of Delayed Reinforcers as a Trans-Disease Process Contributing to Addiction and Other Disease-Related Vulnerabilities","volume":"134","author":[{"family":"Bickel","given":"Warren K."},{"family":"Jarmolowicz","given":"David P."},{"family":"Mueller","given":"E. Terry"},{"family":"Koffarnus","given":"Mikhail N."},{"family":"Gatchalian","given":"Kirstin M."}],"issued":{"date-parts":[["2012",6]]}}}],"schema":"https://github.com/citation-style-language/schema/raw/master/csl-citation.json"} </w:instrText>
      </w:r>
      <w:r w:rsidRPr="001D3A0C">
        <w:fldChar w:fldCharType="separate"/>
      </w:r>
      <w:r w:rsidR="005203C4" w:rsidRPr="005203C4">
        <w:rPr>
          <w:vertAlign w:val="superscript"/>
        </w:rPr>
        <w:t>17</w:t>
      </w:r>
      <w:r w:rsidRPr="001D3A0C">
        <w:fldChar w:fldCharType="end"/>
      </w:r>
      <w:r w:rsidRPr="001D3A0C">
        <w:t xml:space="preserve">. Two experimental paradigms have been used to measure inhibition within the scanner, the ‘Go/No-Go’ and ‘Stop-signal’ tasks. During the completion of these tasks, participants are generally asked to make a response via a button press to stimuli of one type and withhold their response to stimuli of another. </w:t>
      </w:r>
    </w:p>
    <w:p w14:paraId="2B1E12D4" w14:textId="37F5C296" w:rsidR="002260B9" w:rsidRDefault="002260B9" w:rsidP="002260B9">
      <w:pPr>
        <w:spacing w:line="480" w:lineRule="auto"/>
        <w:ind w:firstLine="720"/>
      </w:pPr>
      <w:r w:rsidRPr="001D3A0C">
        <w:rPr>
          <w:b/>
          <w:bCs/>
        </w:rPr>
        <w:t>ROIs.</w:t>
      </w:r>
      <w:r w:rsidRPr="001D3A0C">
        <w:t xml:space="preserve"> Using contrasts that examine correctly withheld responses versus incorrect responses, the tasks described above are optimal in targeting brain regions responsible for inhibition, including the ventromedial prefrontal cortex (vmPFC), dorsal lateral prefrontal cortex (dlPFC), inferior frontal gyrus (IFG), striatum, and the hippocampus. The vmPFC is responsible </w:t>
      </w:r>
      <w:r w:rsidRPr="001D3A0C">
        <w:lastRenderedPageBreak/>
        <w:t xml:space="preserve">for inhibiting a prepotent response during appropriate situations </w:t>
      </w:r>
      <w:r w:rsidRPr="001D3A0C">
        <w:fldChar w:fldCharType="begin"/>
      </w:r>
      <w:r w:rsidR="005203C4">
        <w:instrText xml:space="preserve"> ADDIN ZOTERO_ITEM CSL_CITATION {"citationID":"16jWRrVE","properties":{"formattedCitation":"\\super 22,23\\nosupersub{}","plainCitation":"22,23","noteIndex":0},"citationItems":[{"id":388,"uris":["http://zotero.org/groups/5008963/items/PQ2IBYYX"],"itemData":{"id":388,"type":"article-journal","abstract":"The concept of “inhibition” is widely used in synaptic, circuit, and systems neuroscience, where it has a clear meaning because it is clearly observable. The concept is also ubiquitous in psychology. One common use is to connote an active/willed process underlying cognitive control. Many authors claim that subjects execute cognitive control over unwanted stimuli, task sets, responses, memories, and emotions by inhibiting them, and that frontal lobe damage induces distractibility, impulsivity, and perseveration because of damage to an inhibitory mechanism. However, with the exception of the motor domain, the notion of an active inhibitory process underlying cognitive control has been heavily challenged. Alternative explanations have been provided that explain cognitive control without recourse to inhibition as concept, mechanism, or theory. This article examines the role that neuroscience can play when examining whether the psychological concept of active inhibition can be meaningfully applied in cognitive control research. NEUROSCIENTIST 13(3):214—228, 2007.","container-title":"The Neuroscientist","DOI":"10.1177/1073858407299288","ISSN":"1073-8584","issue":"3","journalAbbreviation":"Neuroscientist","language":"en","note":"publisher: SAGE Publications Inc STM","page":"214-228","source":"SAGE Journals","title":"The Neural Basis of Inhibition in Cognitive Control","volume":"13","author":[{"family":"Aron","given":"Adam R."}],"issued":{"date-parts":[["2007",6,1]]}}},{"id":385,"uris":["http://zotero.org/groups/5008963/items/IJCBKLEE"],"itemData":{"id":385,"type":"article-journal","abstract":"Event-related functional magnetic resonance imaging (erfMRI) was employed to measure the hemodynamic response during a Go/No-go task in 16 healthy subjects. The task was designed so that Go and No-go events were equally probable, allowing an unbiased comparison of cerebral activity during these two types of trials. In accordance with prediction, anterior cingulate was active during both the Go and No-go trials, dorsolateral and ventrolateral prefrontal cortex was more active during the No-go trials, while primary motor cortex, supplementary motor area, pre-motor cortex and cerebellum were more active during Go trials. These findings are consistent with the hypothesis that the anterior cingulate cortex is principally engaged in making and monitoring of decisions, while dorsolateral and ventral lateral prefrontal sites play a specific role in response inhibition.","container-title":"Human Brain Mapping","DOI":"10.1002/1097-0193(200102)12:2&lt;100::aid-hbm1007&gt;3.0.co;2-6","ISSN":"1065-9471","issue":"2","journalAbbreviation":"Hum Brain Mapp","language":"eng","note":"PMID: 11169874\nPMCID: PMC6871906","page":"100-109","source":"PubMed","title":"Event-related fMRI study of response inhibition","volume":"12","author":[{"family":"Liddle","given":"P. F."},{"family":"Kiehl","given":"K. A."},{"family":"Smith","given":"A. M."}],"issued":{"date-parts":[["2001",2]]}}}],"schema":"https://github.com/citation-style-language/schema/raw/master/csl-citation.json"} </w:instrText>
      </w:r>
      <w:r w:rsidRPr="001D3A0C">
        <w:fldChar w:fldCharType="separate"/>
      </w:r>
      <w:r w:rsidR="005203C4" w:rsidRPr="005203C4">
        <w:rPr>
          <w:vertAlign w:val="superscript"/>
        </w:rPr>
        <w:t>22,23</w:t>
      </w:r>
      <w:r w:rsidRPr="001D3A0C">
        <w:fldChar w:fldCharType="end"/>
      </w:r>
      <w:r w:rsidRPr="001D3A0C">
        <w:t xml:space="preserve"> and provides goal-directed feedback to motor areas </w:t>
      </w:r>
      <w:r w:rsidRPr="001D3A0C">
        <w:fldChar w:fldCharType="begin"/>
      </w:r>
      <w:r w:rsidR="005203C4">
        <w:instrText xml:space="preserve"> ADDIN ZOTERO_ITEM CSL_CITATION {"citationID":"xFYMNZn8","properties":{"formattedCitation":"\\super 24\\nosupersub{}","plainCitation":"24","noteIndex":0},"citationItems":[{"id":393,"uris":["http://zotero.org/groups/5008963/items/D7KG34I3"],"itemData":{"id":393,"type":"article-journal","abstract":"Inhibiting unwanted thoughts, actions and emotions figures centrally in daily life, and the prefrontal cortex is widely viewed as a source of this inhibitory control. We argue that the function of the prefrontal cortex is best understood in terms of representing and actively maintaining abstract information such as goals, which produces two types of inhibitory effects on other brain regions. Inhibition of some subcortical regions takes a directed, global form, with prefrontal regions providing contextual information relevant to when to inhibit all processing in a region. Inhibition within neocortical (and some subcortical) regions takes an indirect, competitive form, with prefrontal regions providing excitation of goal-relevant options. These distinctions are critical for understanding the mechanisms of inhibition and how they can be impaired or improved.","container-title":"Trends in cognitive sciences","DOI":"10.1016/j.tics.2011.07.011","ISSN":"1364-6613","issue":"10","journalAbbreviation":"Trends Cogn Sci","note":"PMID: 21889391\nPMCID: PMC3189388","page":"453-459","source":"PubMed Central","title":"A unified framework for inhibitory control","volume":"15","author":[{"family":"Munakata","given":"Yuko"},{"family":"Herd","given":"Seth A."},{"family":"Chatham","given":"Christopher H."},{"family":"Depue","given":"Brendan E."},{"family":"Banich","given":"Marie T."},{"family":"O’Reilly","given":"Randall C."}],"issued":{"date-parts":[["2011",10]]}}}],"schema":"https://github.com/citation-style-language/schema/raw/master/csl-citation.json"} </w:instrText>
      </w:r>
      <w:r w:rsidRPr="001D3A0C">
        <w:fldChar w:fldCharType="separate"/>
      </w:r>
      <w:r w:rsidR="005203C4" w:rsidRPr="005203C4">
        <w:rPr>
          <w:vertAlign w:val="superscript"/>
        </w:rPr>
        <w:t>24</w:t>
      </w:r>
      <w:r w:rsidRPr="001D3A0C">
        <w:fldChar w:fldCharType="end"/>
      </w:r>
      <w:r w:rsidRPr="001D3A0C">
        <w:t xml:space="preserve">. The IFG is important in alerting and shifting attention during salient events </w:t>
      </w:r>
      <w:r w:rsidRPr="001D3A0C">
        <w:fldChar w:fldCharType="begin"/>
      </w:r>
      <w:r w:rsidR="005203C4">
        <w:instrText xml:space="preserve"> ADDIN ZOTERO_ITEM CSL_CITATION {"citationID":"ZWyNMLtw","properties":{"formattedCitation":"\\super 25\\nosupersub{}","plainCitation":"25","noteIndex":0},"citationItems":[{"id":415,"uris":["http://zotero.org/groups/5008963/items/C389TNQS"],"itemData":{"id":415,"type":"article-journal","abstract":"The popular go/no-go paradigm is supposed to ensure a reliable probing of response inhibition mechanisms. Functional magnetic resonance imaging (fMRI) studies have repeatedly found a large number of structures, usually including a right lateralized parieto-frontal network and the pre-supplementary motor area (pre-SMA). However, it is unlikely that all these regions are directly related to the mechanism that actively suppresses the motor command. Since most go/no-go designs involve complex stimulus identification/detection processes, these activations may rather reflect the engagement of different cognitive processes that are intrinsically related and quite difficult to disentangle. The current critical review is based on repeated meta-analyses of 30 go/no-go fMRI experiments using the Activation Likelihood Estimate method to contrast studies using simple vs. complex stimuli. The results show that most of the activity typically elicited by no-go signals, including pre-SMA hemodynamic response, is actually driven by the engagement of high attentional or working memory resources, not by inhibitory processes per se. Implications for current methods and theories of inhibitory control are discussed, and new lines of inquiry are proposed.","container-title":"Neuroscience &amp; Biobehavioral Reviews","DOI":"10.1016/j.neubiorev.2012.11.003","ISSN":"0149-7634","issue":"1","journalAbbreviation":"Neuroscience &amp; Biobehavioral Reviews","language":"en","page":"11-23","source":"ScienceDirect","title":"Have we been asking the right questions when assessing response inhibition in go/no-go tasks with fMRI? A meta-analysis and critical review","title-short":"Have we been asking the right questions when assessing response inhibition in go/no-go tasks with fMRI?","volume":"37","author":[{"family":"Criaud","given":"Marion"},{"family":"Boulinguez","given":"Philippe"}],"issued":{"date-parts":[["2013",1,1]]}}}],"schema":"https://github.com/citation-style-language/schema/raw/master/csl-citation.json"} </w:instrText>
      </w:r>
      <w:r w:rsidRPr="001D3A0C">
        <w:fldChar w:fldCharType="separate"/>
      </w:r>
      <w:r w:rsidR="005203C4" w:rsidRPr="005203C4">
        <w:rPr>
          <w:vertAlign w:val="superscript"/>
        </w:rPr>
        <w:t>25</w:t>
      </w:r>
      <w:r w:rsidRPr="001D3A0C">
        <w:fldChar w:fldCharType="end"/>
      </w:r>
      <w:r w:rsidRPr="001D3A0C">
        <w:t xml:space="preserve">. The dlPFC is essential in inhibitory control </w:t>
      </w:r>
      <w:r w:rsidRPr="001D3A0C">
        <w:fldChar w:fldCharType="begin"/>
      </w:r>
      <w:r w:rsidR="005203C4">
        <w:instrText xml:space="preserve"> ADDIN ZOTERO_ITEM CSL_CITATION {"citationID":"8An3aBeD","properties":{"formattedCitation":"\\super 26\\nosupersub{}","plainCitation":"26","noteIndex":0},"citationItems":[{"id":397,"uris":["http://zotero.org/groups/5008963/items/BP76LJA9"],"itemData":{"id":397,"type":"article-journal","abstract":"This individual differences study examined the separability of three often postulated executive functions—mental set shifting (“Shifting”), information updating and monitoring (“Updating”), and inhibition of prepotent responses (“Inhibition”)—and their roles in complex “frontal lobe” or “executive” tasks. One hundred thirty-seven college students performed a set of relatively simple experimental tasks that are considered to predominantly tap each target executive function as well as a set of frequently used executive tasks: the Wisconsin Card Sorting Test (WCST), Tower of Hanoi (TOH), random number generation (RNG), operation span, and dual tasking. Confirmatory factor analysis indicated that the three target executive functions are moderately correlated with one another, but are clearly separable. Moreover, structural equation modeling suggested that the three functions contribute differentially to performance on complex executive tasks. Specifically, WCST performance was related most strongly to Shifting, TOH to Inhibition, RNG to Inhibition and Updating, and operation span to Updating. Dual task performance was not related to any of the three target functions. These results suggest that it is important to recognize both the unity and diversity of executive functions and that latent variable analysis is a useful approach to studying the organization and roles of executive functions.","container-title":"Cognitive Psychology","DOI":"10.1006/cogp.1999.0734","ISSN":"0010-0285","issue":"1","journalAbbreviation":"Cognitive Psychology","language":"en","page":"49-100","source":"ScienceDirect","title":"The Unity and Diversity of Executive Functions and Their Contributions to Complex “Frontal Lobe” Tasks: A Latent Variable Analysis","title-short":"The Unity and Diversity of Executive Functions and Their Contributions to Complex “Frontal Lobe” Tasks","volume":"41","author":[{"family":"Miyake","given":"Akira"},{"family":"Friedman","given":"Naomi P."},{"family":"Emerson","given":"Michael J."},{"family":"Witzki","given":"Alexander H."},{"family":"Howerter","given":"Amy"},{"family":"Wager","given":"Tor D."}],"issued":{"date-parts":[["2000",8,1]]}}}],"schema":"https://github.com/citation-style-language/schema/raw/master/csl-citation.json"} </w:instrText>
      </w:r>
      <w:r w:rsidRPr="001D3A0C">
        <w:fldChar w:fldCharType="separate"/>
      </w:r>
      <w:r w:rsidR="005203C4" w:rsidRPr="005203C4">
        <w:rPr>
          <w:vertAlign w:val="superscript"/>
        </w:rPr>
        <w:t>26</w:t>
      </w:r>
      <w:r w:rsidRPr="001D3A0C">
        <w:fldChar w:fldCharType="end"/>
      </w:r>
      <w:r w:rsidRPr="001D3A0C">
        <w:t xml:space="preserve">, sustained attention, and holding task-relevant information in working memory while presenting distractions </w:t>
      </w:r>
      <w:r w:rsidRPr="001D3A0C">
        <w:fldChar w:fldCharType="begin"/>
      </w:r>
      <w:r w:rsidR="005203C4">
        <w:instrText xml:space="preserve"> ADDIN ZOTERO_ITEM CSL_CITATION {"citationID":"vEYW33aL","properties":{"formattedCitation":"\\super 27\\nosupersub{}","plainCitation":"27","noteIndex":0},"citationItems":[{"id":396,"uris":["http://zotero.org/groups/5008963/items/3YJW6AJI"],"itemData":{"id":396,"type":"article-journal","abstract":"The role of prefrontal cortex (PFC) in influencing creative thinking has been investigated by many researchers who, while succeeding in proving an effective involvement of PFC, reported suggestive but sometimes conflicting results. In order to better understand the relationships between creative thinking and brain activation in a more specific area of the PFC, we explored the role of dorsolateral PFC (DLPFC). We devised an experimental protocol using transcranial direct-current stimulation (tDCS). The study was based on a 3 (kind of stimulation: anodal vs. cathodal vs. sham) × 2 (priming: divergent vs. convergent) design. Forty-five healthy adults were randomly assigned to one stimulation condition. Participants’ creativity skills were assessed using the Product Improvement subtest from the Torrance Tests of Creative Thinking (TTCT). After 20 min of tDCS stimulation, participants were presented with visual images of common objects. Half of the participants were instructed to visualize themselves using the object in an unusual way (divergent priming), whereas the other half were asked to visualize themselves while using the object in a common way (convergent priming). Priming was aimed at inducing participants to adopt different attitudes toward the creative task. Afterwards, participants were asked to describe all of the possible uses of the objects that were presented. Participants’ physiological activation was recorded using a biofeedback equipment. Results showed a significant effect of anodal stimulation that enhanced creative performance, but only after divergent priming. Participants showed lower skin temperature values after cathodal stimulation, a finding which is coherent with studies reporting that, when a task is not creative or creative thinking is not prompted, people show lower levels of arousal. Differences in individual levels of creativity as assessed by the Product Improvement test were not influential. The involvement of DLPFC in creativity has been supported, presumably in association to shift of attention modulated by priming.","container-title":"Frontiers in Human Neuroscience","ISSN":"1662-5161","source":"Frontiers","title":"The combined effects of neurostimulation and priming on creative thinking. A preliminary tDCS study on dorsolateral prefrontal cortex","URL":"https://www.frontiersin.org/articles/10.3389/fnhum.2015.00403","volume":"9","author":[{"family":"Colombo","given":"Barbara"},{"family":"Bartesaghi","given":"Noemi"},{"family":"Simonelli","given":"Luisa"},{"family":"Antonietti","given":"Alessandro"}],"accessed":{"date-parts":[["2023",6,25]]},"issued":{"date-parts":[["2015"]]}}}],"schema":"https://github.com/citation-style-language/schema/raw/master/csl-citation.json"} </w:instrText>
      </w:r>
      <w:r w:rsidRPr="001D3A0C">
        <w:fldChar w:fldCharType="separate"/>
      </w:r>
      <w:r w:rsidR="005203C4" w:rsidRPr="005203C4">
        <w:rPr>
          <w:vertAlign w:val="superscript"/>
        </w:rPr>
        <w:t>27</w:t>
      </w:r>
      <w:r w:rsidRPr="001D3A0C">
        <w:fldChar w:fldCharType="end"/>
      </w:r>
      <w:r w:rsidRPr="001D3A0C">
        <w:t xml:space="preserve">, including stimulus maintenance and retrieval. The striatum is important in stopping when an inhibitory response is warranted </w:t>
      </w:r>
      <w:r w:rsidRPr="001D3A0C">
        <w:fldChar w:fldCharType="begin"/>
      </w:r>
      <w:r w:rsidR="005203C4">
        <w:instrText xml:space="preserve"> ADDIN ZOTERO_ITEM CSL_CITATION {"citationID":"Djnl5Mrv","properties":{"formattedCitation":"\\super 22,28\\nosupersub{}","plainCitation":"22,28","noteIndex":0},"citationItems":[{"id":388,"uris":["http://zotero.org/groups/5008963/items/PQ2IBYYX"],"itemData":{"id":388,"type":"article-journal","abstract":"The concept of “inhibition” is widely used in synaptic, circuit, and systems neuroscience, where it has a clear meaning because it is clearly observable. The concept is also ubiquitous in psychology. One common use is to connote an active/willed process underlying cognitive control. Many authors claim that subjects execute cognitive control over unwanted stimuli, task sets, responses, memories, and emotions by inhibiting them, and that frontal lobe damage induces distractibility, impulsivity, and perseveration because of damage to an inhibitory mechanism. However, with the exception of the motor domain, the notion of an active inhibitory process underlying cognitive control has been heavily challenged. Alternative explanations have been provided that explain cognitive control without recourse to inhibition as concept, mechanism, or theory. This article examines the role that neuroscience can play when examining whether the psychological concept of active inhibition can be meaningfully applied in cognitive control research. NEUROSCIENTIST 13(3):214—228, 2007.","container-title":"The Neuroscientist","DOI":"10.1177/1073858407299288","ISSN":"1073-8584","issue":"3","journalAbbreviation":"Neuroscientist","language":"en","note":"publisher: SAGE Publications Inc STM","page":"214-228","source":"SAGE Journals","title":"The Neural Basis of Inhibition in Cognitive Control","volume":"13","author":[{"family":"Aron","given":"Adam R."}],"issued":{"date-parts":[["2007",6,1]]}}},{"id":401,"uris":["http://zotero.org/groups/5008963/items/QQS8865P"],"itemData":{"id":401,"type":"article-journal","abstract":"FMRI studies of response inhibition consistently reveal frontal lobe activation. Localization within the frontal cortex, however, varies across studies and appears dependent on the nature of the task. Activation likelihood estimate (ALE) meta-analysis is a powerful quantitative method of establishing concurrence of activation across functional neuroimaging studies. For this study, ALE was used to investigate concurrent neural correlates of successfully inhibited No-go stimuli across studies of healthy adults performing a Go/No-go task, a paradigm frequently used to measure response inhibition. Due to the potential overlap of neural circuits for response selection and response inhibition, the analysis included only event-related studies contrasting No-go activation with baseline, which allowed for inclusion of all regions that may be critical to visually guided motor response inhibition, including those involved in response selection. These Go/No-go studies were then divided into two groups: \"simple\" Go/No-go tasks in which the No-go stimulus was always the same, and \"complex\" Go/No-go tasks, in which the No-go stimulus changed depending on context, requiring frequent updating of stimulus-response associations in working memory. The simple and complex tasks demonstrated distinct patterns of concurrence, with right dorsolateral prefrontal and inferior parietal circuits recruited under conditions of increased working memory demand. Common to both simple and complex Go/No-go tasks was concurrence in the pre-SMA and the left fusiform gyrus. As the pre-SMA has also been shown to be involved in response selection, the results support the notion that the pre-SMA is critical for selection of appropriate behavior, whether selecting to execute an appropriate response or selecting to inhibit an inappropriate response.","container-title":"Neuropsychologia","DOI":"10.1016/j.neuropsychologia.2007.07.015","ISSN":"0028-3932","issue":"1","journalAbbreviation":"Neuropsychologia","language":"eng","note":"PMID: 17850833\nPMCID: PMC2327217","page":"224-232","source":"PubMed","title":"Meta-analysis of Go/No-go tasks demonstrating that fMRI activation associated with response inhibition is task-dependent","volume":"46","author":[{"family":"Simmonds","given":"Daniel J."},{"family":"Pekar","given":"James J."},{"family":"Mostofsky","given":"Stewart H."}],"issued":{"date-parts":[["2008",1,15]]}}}],"schema":"https://github.com/citation-style-language/schema/raw/master/csl-citation.json"} </w:instrText>
      </w:r>
      <w:r w:rsidRPr="001D3A0C">
        <w:fldChar w:fldCharType="separate"/>
      </w:r>
      <w:r w:rsidR="005203C4" w:rsidRPr="005203C4">
        <w:rPr>
          <w:vertAlign w:val="superscript"/>
        </w:rPr>
        <w:t>22,28</w:t>
      </w:r>
      <w:r w:rsidRPr="001D3A0C">
        <w:fldChar w:fldCharType="end"/>
      </w:r>
      <w:r w:rsidRPr="001D3A0C">
        <w:t xml:space="preserve">. Lastly, the hippocampus is key in context-cued response inhibition </w:t>
      </w:r>
      <w:r w:rsidRPr="001D3A0C">
        <w:fldChar w:fldCharType="begin"/>
      </w:r>
      <w:r w:rsidR="005203C4">
        <w:instrText xml:space="preserve"> ADDIN ZOTERO_ITEM CSL_CITATION {"citationID":"W7iaikPE","properties":{"formattedCitation":"\\super 29\\nosupersub{}","plainCitation":"29","noteIndex":0},"citationItems":[{"id":404,"uris":["http://zotero.org/groups/5008963/items/U9F5A8MM"],"itemData":{"id":404,"type":"article-journal","abstract":"It has been suggested that the hippocampus and the prefrontal cortex (PFC) play key roles in representing contextual memory and utilizing contextual information for flexible response selection. During response selection, a correct response should be facilitated and an incorrect response should be inhibited flexibly in association with a cueing stimulus. However, it is poorly understood how the hippocampal and PFC networks behave during such flexible control of facilitation and inhibition of behavioral responses. To find neural correlates of context-cued flexible response selection, the current study employed an object-place paired-associate (OPPA) task in which object A is only rewarded in place 1 and object B is associated with reward in place 2 while recording single units simultaneously from the hippocampus and PFC. During the task, response inhibition in front of a contextually wrong object is required for successful performance and such inhibitory responses were observed before the rat learned the task. A significant proportion of neurons that fired differentially depending on the existence of inhibitory behavior in the PFC was observed during the pre-learning stage. By contrast, the proportion of such neurons in the hippocampus was significantly greater than chance during post-learning stage. The results suggest that the development of inhibitory behavior is a critical behavioral marker that foretells an upcoming acquisition of the task and the hippocampus and PFC are involved in learning contextual response selection by learning how to control the inhibition of behavior as learning progresses.","container-title":"Experimental Neurobiology","DOI":"10.5607/en.2014.23.2.178","ISSN":"1226-2560","issue":"2","journalAbbreviation":"Exp Neurobiol","note":"PMID: 24963284\nPMCID: PMC4065833","page":"178-189","source":"PubMed Central","title":"Learning-dependent Changes in the Neuronal Correlates of Response Inhibition in the Prefrontal Cortex and Hippocampus","volume":"23","author":[{"family":"Lee","given":"Inah"},{"family":"Byeon","given":"Jung Seop"}],"issued":{"date-parts":[["2014",6]]}}}],"schema":"https://github.com/citation-style-language/schema/raw/master/csl-citation.json"} </w:instrText>
      </w:r>
      <w:r w:rsidRPr="001D3A0C">
        <w:fldChar w:fldCharType="separate"/>
      </w:r>
      <w:r w:rsidR="005203C4" w:rsidRPr="005203C4">
        <w:rPr>
          <w:vertAlign w:val="superscript"/>
        </w:rPr>
        <w:t>29</w:t>
      </w:r>
      <w:r w:rsidRPr="001D3A0C">
        <w:fldChar w:fldCharType="end"/>
      </w:r>
      <w:r w:rsidRPr="001D3A0C">
        <w:t xml:space="preserve">. Given the importance of these regions in inhibition, we will focus on these </w:t>
      </w:r>
      <w:r>
        <w:t>five</w:t>
      </w:r>
      <w:r w:rsidRPr="001D3A0C">
        <w:t xml:space="preserve"> ROIs for the inhibition domain.</w:t>
      </w:r>
    </w:p>
    <w:p w14:paraId="236B64A5" w14:textId="77777777" w:rsidR="00B530D9" w:rsidRDefault="00B530D9" w:rsidP="002260B9">
      <w:pPr>
        <w:spacing w:line="480" w:lineRule="auto"/>
        <w:ind w:firstLine="720"/>
      </w:pPr>
    </w:p>
    <w:p w14:paraId="3F1968B8" w14:textId="77777777" w:rsidR="00B530D9" w:rsidRDefault="00B530D9" w:rsidP="002260B9">
      <w:pPr>
        <w:spacing w:line="480" w:lineRule="auto"/>
        <w:ind w:firstLine="720"/>
      </w:pPr>
    </w:p>
    <w:p w14:paraId="5D28D44A" w14:textId="77777777" w:rsidR="00B530D9" w:rsidRDefault="00B530D9" w:rsidP="002260B9">
      <w:pPr>
        <w:spacing w:line="480" w:lineRule="auto"/>
        <w:ind w:firstLine="720"/>
      </w:pPr>
    </w:p>
    <w:p w14:paraId="7712C31B" w14:textId="77777777" w:rsidR="00B530D9" w:rsidRDefault="00B530D9" w:rsidP="002260B9">
      <w:pPr>
        <w:spacing w:line="480" w:lineRule="auto"/>
        <w:ind w:firstLine="720"/>
      </w:pPr>
    </w:p>
    <w:p w14:paraId="4DF22498" w14:textId="77777777" w:rsidR="00B530D9" w:rsidRDefault="00B530D9" w:rsidP="002260B9">
      <w:pPr>
        <w:spacing w:line="480" w:lineRule="auto"/>
        <w:ind w:firstLine="720"/>
      </w:pPr>
    </w:p>
    <w:p w14:paraId="13CCBB4E" w14:textId="77777777" w:rsidR="00B530D9" w:rsidRDefault="00B530D9" w:rsidP="002260B9">
      <w:pPr>
        <w:spacing w:line="480" w:lineRule="auto"/>
        <w:ind w:firstLine="720"/>
      </w:pPr>
    </w:p>
    <w:p w14:paraId="4C113E7F" w14:textId="77777777" w:rsidR="00B530D9" w:rsidRDefault="00B530D9" w:rsidP="002260B9">
      <w:pPr>
        <w:spacing w:line="480" w:lineRule="auto"/>
        <w:ind w:firstLine="720"/>
      </w:pPr>
    </w:p>
    <w:p w14:paraId="685A0988" w14:textId="77777777" w:rsidR="00B530D9" w:rsidRDefault="00B530D9" w:rsidP="002260B9">
      <w:pPr>
        <w:spacing w:line="480" w:lineRule="auto"/>
        <w:ind w:firstLine="720"/>
      </w:pPr>
    </w:p>
    <w:p w14:paraId="075FB31A" w14:textId="77777777" w:rsidR="00B530D9" w:rsidRDefault="00B530D9" w:rsidP="002260B9">
      <w:pPr>
        <w:spacing w:line="480" w:lineRule="auto"/>
        <w:ind w:firstLine="720"/>
      </w:pPr>
    </w:p>
    <w:p w14:paraId="6290EF3E" w14:textId="77777777" w:rsidR="00B530D9" w:rsidRDefault="00B530D9" w:rsidP="002260B9">
      <w:pPr>
        <w:spacing w:line="480" w:lineRule="auto"/>
        <w:ind w:firstLine="720"/>
      </w:pPr>
    </w:p>
    <w:p w14:paraId="762BBDDC" w14:textId="77777777" w:rsidR="00B530D9" w:rsidRDefault="00B530D9" w:rsidP="002260B9">
      <w:pPr>
        <w:spacing w:line="480" w:lineRule="auto"/>
        <w:ind w:firstLine="720"/>
      </w:pPr>
    </w:p>
    <w:p w14:paraId="636F5AA1" w14:textId="77777777" w:rsidR="00B530D9" w:rsidRDefault="00B530D9" w:rsidP="002260B9">
      <w:pPr>
        <w:spacing w:line="480" w:lineRule="auto"/>
        <w:ind w:firstLine="720"/>
      </w:pPr>
    </w:p>
    <w:p w14:paraId="64BA2AB5" w14:textId="77777777" w:rsidR="00B530D9" w:rsidRDefault="00B530D9" w:rsidP="002260B9">
      <w:pPr>
        <w:spacing w:line="480" w:lineRule="auto"/>
        <w:ind w:firstLine="720"/>
      </w:pPr>
    </w:p>
    <w:p w14:paraId="498BF12F" w14:textId="77777777" w:rsidR="00B530D9" w:rsidRDefault="00B530D9" w:rsidP="002260B9">
      <w:pPr>
        <w:spacing w:line="480" w:lineRule="auto"/>
        <w:ind w:firstLine="720"/>
      </w:pPr>
    </w:p>
    <w:p w14:paraId="415308BC" w14:textId="77777777" w:rsidR="005203C4" w:rsidRDefault="005203C4" w:rsidP="002260B9">
      <w:pPr>
        <w:spacing w:line="480" w:lineRule="auto"/>
        <w:ind w:firstLine="720"/>
      </w:pPr>
    </w:p>
    <w:p w14:paraId="4736AB57" w14:textId="02398A54" w:rsidR="00B530D9" w:rsidRPr="00B530D9" w:rsidRDefault="00B530D9" w:rsidP="00B530D9">
      <w:pPr>
        <w:spacing w:line="480" w:lineRule="auto"/>
        <w:ind w:firstLine="720"/>
        <w:jc w:val="center"/>
        <w:rPr>
          <w:b/>
          <w:bCs/>
        </w:rPr>
      </w:pPr>
      <w:r w:rsidRPr="00B530D9">
        <w:rPr>
          <w:b/>
          <w:bCs/>
        </w:rPr>
        <w:lastRenderedPageBreak/>
        <w:t>References</w:t>
      </w:r>
    </w:p>
    <w:p w14:paraId="2AA4814B" w14:textId="77777777" w:rsidR="005203C4" w:rsidRPr="005203C4" w:rsidRDefault="00B530D9" w:rsidP="005203C4">
      <w:pPr>
        <w:pStyle w:val="Bibliography"/>
      </w:pPr>
      <w:r>
        <w:fldChar w:fldCharType="begin"/>
      </w:r>
      <w:r w:rsidR="005203C4">
        <w:instrText xml:space="preserve"> ADDIN ZOTERO_BIBL {"uncited":[],"omitted":[],"custom":[]} CSL_BIBLIOGRAPHY </w:instrText>
      </w:r>
      <w:r>
        <w:fldChar w:fldCharType="separate"/>
      </w:r>
      <w:r w:rsidR="005203C4" w:rsidRPr="005203C4">
        <w:t xml:space="preserve">1. </w:t>
      </w:r>
      <w:r w:rsidR="005203C4" w:rsidRPr="005203C4">
        <w:tab/>
        <w:t xml:space="preserve">Petersen SE, </w:t>
      </w:r>
      <w:proofErr w:type="spellStart"/>
      <w:r w:rsidR="005203C4" w:rsidRPr="005203C4">
        <w:t>Dubis</w:t>
      </w:r>
      <w:proofErr w:type="spellEnd"/>
      <w:r w:rsidR="005203C4" w:rsidRPr="005203C4">
        <w:t xml:space="preserve"> JW. The mixed block/event-related design. </w:t>
      </w:r>
      <w:r w:rsidR="005203C4" w:rsidRPr="005203C4">
        <w:rPr>
          <w:i/>
          <w:iCs/>
        </w:rPr>
        <w:t>Neuroimage</w:t>
      </w:r>
      <w:r w:rsidR="005203C4" w:rsidRPr="005203C4">
        <w:t xml:space="preserve"> 2012; 62: 1177–1184.</w:t>
      </w:r>
    </w:p>
    <w:p w14:paraId="0400EDF2" w14:textId="77777777" w:rsidR="005203C4" w:rsidRPr="005203C4" w:rsidRDefault="005203C4" w:rsidP="005203C4">
      <w:pPr>
        <w:pStyle w:val="Bibliography"/>
      </w:pPr>
      <w:r w:rsidRPr="005203C4">
        <w:t xml:space="preserve">2. </w:t>
      </w:r>
      <w:r w:rsidRPr="005203C4">
        <w:tab/>
        <w:t xml:space="preserve">Friston KJ. Functional and effective connectivity in neuroimaging: A synthesis. </w:t>
      </w:r>
      <w:r w:rsidRPr="005203C4">
        <w:rPr>
          <w:i/>
          <w:iCs/>
        </w:rPr>
        <w:t>Human Brain Mapping</w:t>
      </w:r>
      <w:r w:rsidRPr="005203C4">
        <w:t xml:space="preserve"> 1994; 2: 56–78.</w:t>
      </w:r>
    </w:p>
    <w:p w14:paraId="32B50C45" w14:textId="77777777" w:rsidR="005203C4" w:rsidRPr="005203C4" w:rsidRDefault="005203C4" w:rsidP="005203C4">
      <w:pPr>
        <w:pStyle w:val="Bibliography"/>
      </w:pPr>
      <w:r w:rsidRPr="005203C4">
        <w:t xml:space="preserve">3. </w:t>
      </w:r>
      <w:r w:rsidRPr="005203C4">
        <w:tab/>
        <w:t xml:space="preserve">Schultz W. Neuronal Reward and Decision Signals: From Theories to Data. </w:t>
      </w:r>
      <w:proofErr w:type="spellStart"/>
      <w:r w:rsidRPr="005203C4">
        <w:rPr>
          <w:i/>
          <w:iCs/>
        </w:rPr>
        <w:t>Physiol</w:t>
      </w:r>
      <w:proofErr w:type="spellEnd"/>
      <w:r w:rsidRPr="005203C4">
        <w:rPr>
          <w:i/>
          <w:iCs/>
        </w:rPr>
        <w:t xml:space="preserve"> Rev</w:t>
      </w:r>
      <w:r w:rsidRPr="005203C4">
        <w:t xml:space="preserve"> 2015; 95: 853–951.</w:t>
      </w:r>
    </w:p>
    <w:p w14:paraId="66A4851C" w14:textId="77777777" w:rsidR="005203C4" w:rsidRPr="005203C4" w:rsidRDefault="005203C4" w:rsidP="005203C4">
      <w:pPr>
        <w:pStyle w:val="Bibliography"/>
      </w:pPr>
      <w:r w:rsidRPr="005203C4">
        <w:t xml:space="preserve">4. </w:t>
      </w:r>
      <w:r w:rsidRPr="005203C4">
        <w:tab/>
        <w:t xml:space="preserve">Hillman KL, </w:t>
      </w:r>
      <w:proofErr w:type="spellStart"/>
      <w:r w:rsidRPr="005203C4">
        <w:t>Bilkey</w:t>
      </w:r>
      <w:proofErr w:type="spellEnd"/>
      <w:r w:rsidRPr="005203C4">
        <w:t xml:space="preserve"> DK. Neural encoding of competitive effort in the anterior cingulate cortex. </w:t>
      </w:r>
      <w:r w:rsidRPr="005203C4">
        <w:rPr>
          <w:i/>
          <w:iCs/>
        </w:rPr>
        <w:t xml:space="preserve">Nat </w:t>
      </w:r>
      <w:proofErr w:type="spellStart"/>
      <w:r w:rsidRPr="005203C4">
        <w:rPr>
          <w:i/>
          <w:iCs/>
        </w:rPr>
        <w:t>Neurosci</w:t>
      </w:r>
      <w:proofErr w:type="spellEnd"/>
      <w:r w:rsidRPr="005203C4">
        <w:t xml:space="preserve"> 2012; 15: 1290–1297.</w:t>
      </w:r>
    </w:p>
    <w:p w14:paraId="50937F67" w14:textId="77777777" w:rsidR="005203C4" w:rsidRPr="005203C4" w:rsidRDefault="005203C4" w:rsidP="005203C4">
      <w:pPr>
        <w:pStyle w:val="Bibliography"/>
      </w:pPr>
      <w:r w:rsidRPr="005203C4">
        <w:t xml:space="preserve">5. </w:t>
      </w:r>
      <w:r w:rsidRPr="005203C4">
        <w:tab/>
        <w:t xml:space="preserve">Howard JD, </w:t>
      </w:r>
      <w:proofErr w:type="spellStart"/>
      <w:r w:rsidRPr="005203C4">
        <w:t>Kahnt</w:t>
      </w:r>
      <w:proofErr w:type="spellEnd"/>
      <w:r w:rsidRPr="005203C4">
        <w:t xml:space="preserve"> T. To be specific: the role of orbitofrontal cortex in signaling reward identity. </w:t>
      </w:r>
      <w:proofErr w:type="spellStart"/>
      <w:r w:rsidRPr="005203C4">
        <w:rPr>
          <w:i/>
          <w:iCs/>
        </w:rPr>
        <w:t>Behav</w:t>
      </w:r>
      <w:proofErr w:type="spellEnd"/>
      <w:r w:rsidRPr="005203C4">
        <w:rPr>
          <w:i/>
          <w:iCs/>
        </w:rPr>
        <w:t xml:space="preserve"> </w:t>
      </w:r>
      <w:proofErr w:type="spellStart"/>
      <w:r w:rsidRPr="005203C4">
        <w:rPr>
          <w:i/>
          <w:iCs/>
        </w:rPr>
        <w:t>Neurosci</w:t>
      </w:r>
      <w:proofErr w:type="spellEnd"/>
      <w:r w:rsidRPr="005203C4">
        <w:t xml:space="preserve"> 2021; 135: 210–217.</w:t>
      </w:r>
    </w:p>
    <w:p w14:paraId="458B7267" w14:textId="77777777" w:rsidR="005203C4" w:rsidRPr="005203C4" w:rsidRDefault="005203C4" w:rsidP="005203C4">
      <w:pPr>
        <w:pStyle w:val="Bibliography"/>
      </w:pPr>
      <w:r w:rsidRPr="005203C4">
        <w:t xml:space="preserve">6. </w:t>
      </w:r>
      <w:r w:rsidRPr="005203C4">
        <w:tab/>
        <w:t xml:space="preserve">Cai J, Tong Q. Anatomy and Function of Ventral Tegmental Area Glutamate Neurons. </w:t>
      </w:r>
      <w:r w:rsidRPr="005203C4">
        <w:rPr>
          <w:i/>
          <w:iCs/>
        </w:rPr>
        <w:t>Front Neural Circuits</w:t>
      </w:r>
      <w:r w:rsidRPr="005203C4">
        <w:t xml:space="preserve"> 2022; 16: 867053.</w:t>
      </w:r>
    </w:p>
    <w:p w14:paraId="11B0A70C" w14:textId="77777777" w:rsidR="005203C4" w:rsidRPr="005203C4" w:rsidRDefault="005203C4" w:rsidP="005203C4">
      <w:pPr>
        <w:pStyle w:val="Bibliography"/>
      </w:pPr>
      <w:r w:rsidRPr="005203C4">
        <w:t xml:space="preserve">7. </w:t>
      </w:r>
      <w:r w:rsidRPr="005203C4">
        <w:tab/>
        <w:t xml:space="preserve">Baxter MG, Murray EA. The amygdala and reward. </w:t>
      </w:r>
      <w:r w:rsidRPr="005203C4">
        <w:rPr>
          <w:i/>
          <w:iCs/>
        </w:rPr>
        <w:t xml:space="preserve">Nat Rev </w:t>
      </w:r>
      <w:proofErr w:type="spellStart"/>
      <w:r w:rsidRPr="005203C4">
        <w:rPr>
          <w:i/>
          <w:iCs/>
        </w:rPr>
        <w:t>Neurosci</w:t>
      </w:r>
      <w:proofErr w:type="spellEnd"/>
      <w:r w:rsidRPr="005203C4">
        <w:t xml:space="preserve"> 2002; 3: 563–573.</w:t>
      </w:r>
    </w:p>
    <w:p w14:paraId="410531BB" w14:textId="77777777" w:rsidR="005203C4" w:rsidRPr="005203C4" w:rsidRDefault="005203C4" w:rsidP="005203C4">
      <w:pPr>
        <w:pStyle w:val="Bibliography"/>
      </w:pPr>
      <w:r w:rsidRPr="005203C4">
        <w:t xml:space="preserve">8. </w:t>
      </w:r>
      <w:r w:rsidRPr="005203C4">
        <w:tab/>
        <w:t xml:space="preserve">Hien DA, López-Castro T, Fitzpatrick S, et al. A unifying translational framework to advance treatment research for comorbid PTSD and substance use disorders. </w:t>
      </w:r>
      <w:r w:rsidRPr="005203C4">
        <w:rPr>
          <w:i/>
          <w:iCs/>
        </w:rPr>
        <w:t>Neuroscience &amp; Biobehavioral Reviews</w:t>
      </w:r>
      <w:r w:rsidRPr="005203C4">
        <w:t xml:space="preserve"> 2021; 127: 779–794.</w:t>
      </w:r>
    </w:p>
    <w:p w14:paraId="7F519983" w14:textId="77777777" w:rsidR="005203C4" w:rsidRPr="005203C4" w:rsidRDefault="005203C4" w:rsidP="005203C4">
      <w:pPr>
        <w:pStyle w:val="Bibliography"/>
      </w:pPr>
      <w:r w:rsidRPr="005203C4">
        <w:t xml:space="preserve">9. </w:t>
      </w:r>
      <w:r w:rsidRPr="005203C4">
        <w:tab/>
      </w:r>
      <w:proofErr w:type="spellStart"/>
      <w:r w:rsidRPr="005203C4">
        <w:t>Koob</w:t>
      </w:r>
      <w:proofErr w:type="spellEnd"/>
      <w:r w:rsidRPr="005203C4">
        <w:t xml:space="preserve"> GF, Volkow ND. Neurobiology of addiction: a neurocircuitry analysis. </w:t>
      </w:r>
      <w:r w:rsidRPr="005203C4">
        <w:rPr>
          <w:i/>
          <w:iCs/>
        </w:rPr>
        <w:t>Lancet Psychiatry</w:t>
      </w:r>
      <w:r w:rsidRPr="005203C4">
        <w:t xml:space="preserve"> 2016; 3: 760–773.</w:t>
      </w:r>
    </w:p>
    <w:p w14:paraId="787B3AD6" w14:textId="77777777" w:rsidR="005203C4" w:rsidRPr="005203C4" w:rsidRDefault="005203C4" w:rsidP="005203C4">
      <w:pPr>
        <w:pStyle w:val="Bibliography"/>
      </w:pPr>
      <w:r w:rsidRPr="005203C4">
        <w:t xml:space="preserve">10. </w:t>
      </w:r>
      <w:r w:rsidRPr="005203C4">
        <w:tab/>
      </w:r>
      <w:proofErr w:type="spellStart"/>
      <w:r w:rsidRPr="005203C4">
        <w:t>Kwako</w:t>
      </w:r>
      <w:proofErr w:type="spellEnd"/>
      <w:r w:rsidRPr="005203C4">
        <w:t xml:space="preserve"> LE, </w:t>
      </w:r>
      <w:proofErr w:type="spellStart"/>
      <w:r w:rsidRPr="005203C4">
        <w:t>Momenan</w:t>
      </w:r>
      <w:proofErr w:type="spellEnd"/>
      <w:r w:rsidRPr="005203C4">
        <w:t xml:space="preserve"> R, </w:t>
      </w:r>
      <w:proofErr w:type="spellStart"/>
      <w:r w:rsidRPr="005203C4">
        <w:t>Litten</w:t>
      </w:r>
      <w:proofErr w:type="spellEnd"/>
      <w:r w:rsidRPr="005203C4">
        <w:t xml:space="preserve"> RZ, et al. Addictions </w:t>
      </w:r>
      <w:proofErr w:type="spellStart"/>
      <w:r w:rsidRPr="005203C4">
        <w:t>Neuroclinical</w:t>
      </w:r>
      <w:proofErr w:type="spellEnd"/>
      <w:r w:rsidRPr="005203C4">
        <w:t xml:space="preserve"> Assessment: A Neuroscience-Based Framework for Addictive Disorders. </w:t>
      </w:r>
      <w:r w:rsidRPr="005203C4">
        <w:rPr>
          <w:i/>
          <w:iCs/>
        </w:rPr>
        <w:t>Biol Psychiatry</w:t>
      </w:r>
      <w:r w:rsidRPr="005203C4">
        <w:t xml:space="preserve"> 2016; 80: 179–189.</w:t>
      </w:r>
    </w:p>
    <w:p w14:paraId="2A8D1483" w14:textId="77777777" w:rsidR="005203C4" w:rsidRPr="005203C4" w:rsidRDefault="005203C4" w:rsidP="005203C4">
      <w:pPr>
        <w:pStyle w:val="Bibliography"/>
      </w:pPr>
      <w:r w:rsidRPr="005203C4">
        <w:t xml:space="preserve">11. </w:t>
      </w:r>
      <w:r w:rsidRPr="005203C4">
        <w:tab/>
        <w:t xml:space="preserve">Jacobs DS, Moghaddam B. Chapter Two - Medial prefrontal cortex encoding of stress and anxiety. In: Brockett AT, </w:t>
      </w:r>
      <w:proofErr w:type="spellStart"/>
      <w:r w:rsidRPr="005203C4">
        <w:t>Amarante</w:t>
      </w:r>
      <w:proofErr w:type="spellEnd"/>
      <w:r w:rsidRPr="005203C4">
        <w:t xml:space="preserve"> LM, Laubach M, et al. (eds) </w:t>
      </w:r>
      <w:r w:rsidRPr="005203C4">
        <w:rPr>
          <w:i/>
          <w:iCs/>
        </w:rPr>
        <w:t>International Review of Neurobiology</w:t>
      </w:r>
      <w:r w:rsidRPr="005203C4">
        <w:t>. Academic Press, pp. 29–55.</w:t>
      </w:r>
    </w:p>
    <w:p w14:paraId="0158A74E" w14:textId="77777777" w:rsidR="005203C4" w:rsidRPr="005203C4" w:rsidRDefault="005203C4" w:rsidP="005203C4">
      <w:pPr>
        <w:pStyle w:val="Bibliography"/>
      </w:pPr>
      <w:r w:rsidRPr="005203C4">
        <w:t xml:space="preserve">12. </w:t>
      </w:r>
      <w:r w:rsidRPr="005203C4">
        <w:tab/>
        <w:t xml:space="preserve">Eysenck MW, </w:t>
      </w:r>
      <w:proofErr w:type="spellStart"/>
      <w:r w:rsidRPr="005203C4">
        <w:t>Derakshan</w:t>
      </w:r>
      <w:proofErr w:type="spellEnd"/>
      <w:r w:rsidRPr="005203C4">
        <w:t xml:space="preserve"> N, Santos R, et al. Anxiety and cognitive performance: Attentional control theory. </w:t>
      </w:r>
      <w:r w:rsidRPr="005203C4">
        <w:rPr>
          <w:i/>
          <w:iCs/>
        </w:rPr>
        <w:t>Emotion</w:t>
      </w:r>
      <w:r w:rsidRPr="005203C4">
        <w:t xml:space="preserve"> 2007; 7: 336–353.</w:t>
      </w:r>
    </w:p>
    <w:p w14:paraId="41171A47" w14:textId="77777777" w:rsidR="005203C4" w:rsidRPr="005203C4" w:rsidRDefault="005203C4" w:rsidP="005203C4">
      <w:pPr>
        <w:pStyle w:val="Bibliography"/>
      </w:pPr>
      <w:r w:rsidRPr="005203C4">
        <w:t xml:space="preserve">13. </w:t>
      </w:r>
      <w:r w:rsidRPr="005203C4">
        <w:tab/>
        <w:t xml:space="preserve">Sonia J. Bishop, John Duncan, Andrew D. Lawrence. State Anxiety Modulation of the Amygdala Response to Unattended Threat-Related Stimuli. </w:t>
      </w:r>
      <w:r w:rsidRPr="005203C4">
        <w:rPr>
          <w:i/>
          <w:iCs/>
        </w:rPr>
        <w:t xml:space="preserve">J </w:t>
      </w:r>
      <w:proofErr w:type="spellStart"/>
      <w:r w:rsidRPr="005203C4">
        <w:rPr>
          <w:i/>
          <w:iCs/>
        </w:rPr>
        <w:t>Neurosci</w:t>
      </w:r>
      <w:proofErr w:type="spellEnd"/>
      <w:r w:rsidRPr="005203C4">
        <w:t xml:space="preserve"> 2004; 24: 10364.</w:t>
      </w:r>
    </w:p>
    <w:p w14:paraId="2E57DF73" w14:textId="77777777" w:rsidR="005203C4" w:rsidRPr="005203C4" w:rsidRDefault="005203C4" w:rsidP="005203C4">
      <w:pPr>
        <w:pStyle w:val="Bibliography"/>
      </w:pPr>
      <w:r w:rsidRPr="005203C4">
        <w:t xml:space="preserve">14. </w:t>
      </w:r>
      <w:r w:rsidRPr="005203C4">
        <w:tab/>
        <w:t xml:space="preserve">Seeley WW, Menon V, </w:t>
      </w:r>
      <w:proofErr w:type="spellStart"/>
      <w:r w:rsidRPr="005203C4">
        <w:t>Schatzberg</w:t>
      </w:r>
      <w:proofErr w:type="spellEnd"/>
      <w:r w:rsidRPr="005203C4">
        <w:t xml:space="preserve"> AF, et al. Dissociable Intrinsic Connectivity Networks for Salience Processing and Executive Control. </w:t>
      </w:r>
      <w:r w:rsidRPr="005203C4">
        <w:rPr>
          <w:i/>
          <w:iCs/>
        </w:rPr>
        <w:t xml:space="preserve">J </w:t>
      </w:r>
      <w:proofErr w:type="spellStart"/>
      <w:r w:rsidRPr="005203C4">
        <w:rPr>
          <w:i/>
          <w:iCs/>
        </w:rPr>
        <w:t>Neurosci</w:t>
      </w:r>
      <w:proofErr w:type="spellEnd"/>
      <w:r w:rsidRPr="005203C4">
        <w:t xml:space="preserve"> 2007; 27: 2349–2356.</w:t>
      </w:r>
    </w:p>
    <w:p w14:paraId="7C2412EB" w14:textId="77777777" w:rsidR="005203C4" w:rsidRPr="005203C4" w:rsidRDefault="005203C4" w:rsidP="005203C4">
      <w:pPr>
        <w:pStyle w:val="Bibliography"/>
      </w:pPr>
      <w:r w:rsidRPr="005203C4">
        <w:t xml:space="preserve">15. </w:t>
      </w:r>
      <w:r w:rsidRPr="005203C4">
        <w:tab/>
        <w:t xml:space="preserve">Phelps EA. Human emotion and memory: interactions of the amygdala and hippocampal complex. </w:t>
      </w:r>
      <w:r w:rsidRPr="005203C4">
        <w:rPr>
          <w:i/>
          <w:iCs/>
        </w:rPr>
        <w:t>Current Opinion in Neurobiology</w:t>
      </w:r>
      <w:r w:rsidRPr="005203C4">
        <w:t xml:space="preserve"> 2004; 14: 198–202.</w:t>
      </w:r>
    </w:p>
    <w:p w14:paraId="0EF6C0E7" w14:textId="77777777" w:rsidR="005203C4" w:rsidRPr="005203C4" w:rsidRDefault="005203C4" w:rsidP="005203C4">
      <w:pPr>
        <w:pStyle w:val="Bibliography"/>
      </w:pPr>
      <w:r w:rsidRPr="005203C4">
        <w:lastRenderedPageBreak/>
        <w:t xml:space="preserve">16. </w:t>
      </w:r>
      <w:r w:rsidRPr="005203C4">
        <w:tab/>
      </w:r>
      <w:proofErr w:type="spellStart"/>
      <w:r w:rsidRPr="005203C4">
        <w:t>Aupperle</w:t>
      </w:r>
      <w:proofErr w:type="spellEnd"/>
      <w:r w:rsidRPr="005203C4">
        <w:t xml:space="preserve"> RL, Melrose AJ, Stein MB, et al. Executive Function and PTSD: Disengaging from Trauma. </w:t>
      </w:r>
      <w:r w:rsidRPr="005203C4">
        <w:rPr>
          <w:i/>
          <w:iCs/>
        </w:rPr>
        <w:t>Neuropharmacology</w:t>
      </w:r>
      <w:r w:rsidRPr="005203C4">
        <w:t xml:space="preserve"> 2012; 62: 686–694.</w:t>
      </w:r>
    </w:p>
    <w:p w14:paraId="2B53173D" w14:textId="77777777" w:rsidR="005203C4" w:rsidRPr="005203C4" w:rsidRDefault="005203C4" w:rsidP="005203C4">
      <w:pPr>
        <w:pStyle w:val="Bibliography"/>
      </w:pPr>
      <w:r w:rsidRPr="005203C4">
        <w:t xml:space="preserve">17. </w:t>
      </w:r>
      <w:r w:rsidRPr="005203C4">
        <w:tab/>
        <w:t xml:space="preserve">Bickel WK, </w:t>
      </w:r>
      <w:proofErr w:type="spellStart"/>
      <w:r w:rsidRPr="005203C4">
        <w:t>Jarmolowicz</w:t>
      </w:r>
      <w:proofErr w:type="spellEnd"/>
      <w:r w:rsidRPr="005203C4">
        <w:t xml:space="preserve"> DP, Mueller ET, et al. Excessive Discounting of Delayed Reinforcers as a Trans-Disease Process Contributing to Addiction and Other Disease-Related Vulnerabilities: Emerging Evidence. </w:t>
      </w:r>
      <w:proofErr w:type="spellStart"/>
      <w:r w:rsidRPr="005203C4">
        <w:rPr>
          <w:i/>
          <w:iCs/>
        </w:rPr>
        <w:t>Pharmacol</w:t>
      </w:r>
      <w:proofErr w:type="spellEnd"/>
      <w:r w:rsidRPr="005203C4">
        <w:rPr>
          <w:i/>
          <w:iCs/>
        </w:rPr>
        <w:t xml:space="preserve"> </w:t>
      </w:r>
      <w:proofErr w:type="spellStart"/>
      <w:r w:rsidRPr="005203C4">
        <w:rPr>
          <w:i/>
          <w:iCs/>
        </w:rPr>
        <w:t>Ther</w:t>
      </w:r>
      <w:proofErr w:type="spellEnd"/>
      <w:r w:rsidRPr="005203C4">
        <w:t xml:space="preserve"> 2012; 134: 287–297.</w:t>
      </w:r>
    </w:p>
    <w:p w14:paraId="2DAF5747" w14:textId="77777777" w:rsidR="005203C4" w:rsidRPr="005203C4" w:rsidRDefault="005203C4" w:rsidP="005203C4">
      <w:pPr>
        <w:pStyle w:val="Bibliography"/>
      </w:pPr>
      <w:r w:rsidRPr="005203C4">
        <w:t xml:space="preserve">18. </w:t>
      </w:r>
      <w:r w:rsidRPr="005203C4">
        <w:tab/>
        <w:t xml:space="preserve">Powers A, Hinojosa CA, Stevens JS, et al. Right inferior frontal gyrus and ventromedial prefrontal activation during response inhibition is implicated in the development of PTSD symptoms. </w:t>
      </w:r>
      <w:r w:rsidRPr="005203C4">
        <w:rPr>
          <w:i/>
          <w:iCs/>
        </w:rPr>
        <w:t xml:space="preserve">European Journal of </w:t>
      </w:r>
      <w:proofErr w:type="spellStart"/>
      <w:r w:rsidRPr="005203C4">
        <w:rPr>
          <w:i/>
          <w:iCs/>
        </w:rPr>
        <w:t>Psychotraumatology</w:t>
      </w:r>
      <w:proofErr w:type="spellEnd"/>
      <w:r w:rsidRPr="005203C4">
        <w:t xml:space="preserve">; 13. </w:t>
      </w:r>
      <w:proofErr w:type="spellStart"/>
      <w:r w:rsidRPr="005203C4">
        <w:t>Epub</w:t>
      </w:r>
      <w:proofErr w:type="spellEnd"/>
      <w:r w:rsidRPr="005203C4">
        <w:t xml:space="preserve"> ahead of print 2022. DOI: 10.1080/20008198.2022.2059993.</w:t>
      </w:r>
    </w:p>
    <w:p w14:paraId="3AB409A6" w14:textId="77777777" w:rsidR="005203C4" w:rsidRPr="005203C4" w:rsidRDefault="005203C4" w:rsidP="005203C4">
      <w:pPr>
        <w:pStyle w:val="Bibliography"/>
      </w:pPr>
      <w:r w:rsidRPr="005203C4">
        <w:t xml:space="preserve">19. </w:t>
      </w:r>
      <w:r w:rsidRPr="005203C4">
        <w:tab/>
        <w:t xml:space="preserve">van Rooij SJH, Stevens JS, Ely TD, et al. The role of the hippocampus in predicting future PTSD symptoms in recently traumatized civilians. </w:t>
      </w:r>
      <w:r w:rsidRPr="005203C4">
        <w:rPr>
          <w:i/>
          <w:iCs/>
        </w:rPr>
        <w:t>Biol Psychiatry</w:t>
      </w:r>
      <w:r w:rsidRPr="005203C4">
        <w:t xml:space="preserve"> 2018; 84: 106–115.</w:t>
      </w:r>
    </w:p>
    <w:p w14:paraId="27E2EA64" w14:textId="77777777" w:rsidR="005203C4" w:rsidRPr="005203C4" w:rsidRDefault="005203C4" w:rsidP="005203C4">
      <w:pPr>
        <w:pStyle w:val="Bibliography"/>
      </w:pPr>
      <w:r w:rsidRPr="005203C4">
        <w:t xml:space="preserve">20. </w:t>
      </w:r>
      <w:r w:rsidRPr="005203C4">
        <w:tab/>
      </w:r>
      <w:proofErr w:type="spellStart"/>
      <w:r w:rsidRPr="005203C4">
        <w:t>Stavro</w:t>
      </w:r>
      <w:proofErr w:type="spellEnd"/>
      <w:r w:rsidRPr="005203C4">
        <w:t xml:space="preserve"> K, Pelletier J, Potvin S. Widespread and sustained cognitive deficits in alcoholism: a meta-analysis. </w:t>
      </w:r>
      <w:r w:rsidRPr="005203C4">
        <w:rPr>
          <w:i/>
          <w:iCs/>
        </w:rPr>
        <w:t>Addiction Biology</w:t>
      </w:r>
      <w:r w:rsidRPr="005203C4">
        <w:t xml:space="preserve"> 2013; 18: 203–213.</w:t>
      </w:r>
    </w:p>
    <w:p w14:paraId="4746C3F0" w14:textId="77777777" w:rsidR="005203C4" w:rsidRPr="005203C4" w:rsidRDefault="005203C4" w:rsidP="005203C4">
      <w:pPr>
        <w:pStyle w:val="Bibliography"/>
      </w:pPr>
      <w:r w:rsidRPr="005203C4">
        <w:t xml:space="preserve">21. </w:t>
      </w:r>
      <w:r w:rsidRPr="005203C4">
        <w:tab/>
        <w:t xml:space="preserve">Murphy P, </w:t>
      </w:r>
      <w:proofErr w:type="spellStart"/>
      <w:r w:rsidRPr="005203C4">
        <w:t>Garavan</w:t>
      </w:r>
      <w:proofErr w:type="spellEnd"/>
      <w:r w:rsidRPr="005203C4">
        <w:t xml:space="preserve"> H. Cognitive predictors of problem drinking and AUDIT scores among college students. </w:t>
      </w:r>
      <w:r w:rsidRPr="005203C4">
        <w:rPr>
          <w:i/>
          <w:iCs/>
        </w:rPr>
        <w:t>Drug Alcohol Depend</w:t>
      </w:r>
      <w:r w:rsidRPr="005203C4">
        <w:t xml:space="preserve"> 2011; 115: 94–100.</w:t>
      </w:r>
    </w:p>
    <w:p w14:paraId="00D79E37" w14:textId="77777777" w:rsidR="005203C4" w:rsidRPr="005203C4" w:rsidRDefault="005203C4" w:rsidP="005203C4">
      <w:pPr>
        <w:pStyle w:val="Bibliography"/>
      </w:pPr>
      <w:r w:rsidRPr="005203C4">
        <w:t xml:space="preserve">22. </w:t>
      </w:r>
      <w:r w:rsidRPr="005203C4">
        <w:tab/>
        <w:t xml:space="preserve">Aron AR. The Neural Basis of Inhibition in Cognitive Control. </w:t>
      </w:r>
      <w:r w:rsidRPr="005203C4">
        <w:rPr>
          <w:i/>
          <w:iCs/>
        </w:rPr>
        <w:t>Neuroscientist</w:t>
      </w:r>
      <w:r w:rsidRPr="005203C4">
        <w:t xml:space="preserve"> 2007; 13: 214–228.</w:t>
      </w:r>
    </w:p>
    <w:p w14:paraId="6ADD5727" w14:textId="77777777" w:rsidR="005203C4" w:rsidRPr="005203C4" w:rsidRDefault="005203C4" w:rsidP="005203C4">
      <w:pPr>
        <w:pStyle w:val="Bibliography"/>
      </w:pPr>
      <w:r w:rsidRPr="005203C4">
        <w:t xml:space="preserve">23. </w:t>
      </w:r>
      <w:r w:rsidRPr="005203C4">
        <w:tab/>
        <w:t xml:space="preserve">Liddle PF, </w:t>
      </w:r>
      <w:proofErr w:type="spellStart"/>
      <w:r w:rsidRPr="005203C4">
        <w:t>Kiehl</w:t>
      </w:r>
      <w:proofErr w:type="spellEnd"/>
      <w:r w:rsidRPr="005203C4">
        <w:t xml:space="preserve"> KA, Smith AM. Event-related fMRI study of response inhibition. </w:t>
      </w:r>
      <w:r w:rsidRPr="005203C4">
        <w:rPr>
          <w:i/>
          <w:iCs/>
        </w:rPr>
        <w:t>Hum Brain Mapp</w:t>
      </w:r>
      <w:r w:rsidRPr="005203C4">
        <w:t xml:space="preserve"> 2001; 12: 100–109.</w:t>
      </w:r>
    </w:p>
    <w:p w14:paraId="486575B2" w14:textId="77777777" w:rsidR="005203C4" w:rsidRPr="005203C4" w:rsidRDefault="005203C4" w:rsidP="005203C4">
      <w:pPr>
        <w:pStyle w:val="Bibliography"/>
      </w:pPr>
      <w:r w:rsidRPr="005203C4">
        <w:t xml:space="preserve">24. </w:t>
      </w:r>
      <w:r w:rsidRPr="005203C4">
        <w:tab/>
      </w:r>
      <w:proofErr w:type="spellStart"/>
      <w:r w:rsidRPr="005203C4">
        <w:t>Munakata</w:t>
      </w:r>
      <w:proofErr w:type="spellEnd"/>
      <w:r w:rsidRPr="005203C4">
        <w:t xml:space="preserve"> Y, Herd SA, Chatham CH, et al. A unified framework for inhibitory control. </w:t>
      </w:r>
      <w:r w:rsidRPr="005203C4">
        <w:rPr>
          <w:i/>
          <w:iCs/>
        </w:rPr>
        <w:t xml:space="preserve">Trends </w:t>
      </w:r>
      <w:proofErr w:type="spellStart"/>
      <w:r w:rsidRPr="005203C4">
        <w:rPr>
          <w:i/>
          <w:iCs/>
        </w:rPr>
        <w:t>Cogn</w:t>
      </w:r>
      <w:proofErr w:type="spellEnd"/>
      <w:r w:rsidRPr="005203C4">
        <w:rPr>
          <w:i/>
          <w:iCs/>
        </w:rPr>
        <w:t xml:space="preserve"> Sci</w:t>
      </w:r>
      <w:r w:rsidRPr="005203C4">
        <w:t xml:space="preserve"> 2011; 15: 453–459.</w:t>
      </w:r>
    </w:p>
    <w:p w14:paraId="7760FCB6" w14:textId="77777777" w:rsidR="005203C4" w:rsidRPr="005203C4" w:rsidRDefault="005203C4" w:rsidP="005203C4">
      <w:pPr>
        <w:pStyle w:val="Bibliography"/>
      </w:pPr>
      <w:r w:rsidRPr="005203C4">
        <w:t xml:space="preserve">25. </w:t>
      </w:r>
      <w:r w:rsidRPr="005203C4">
        <w:tab/>
      </w:r>
      <w:proofErr w:type="spellStart"/>
      <w:r w:rsidRPr="005203C4">
        <w:t>Criaud</w:t>
      </w:r>
      <w:proofErr w:type="spellEnd"/>
      <w:r w:rsidRPr="005203C4">
        <w:t xml:space="preserve"> M, </w:t>
      </w:r>
      <w:proofErr w:type="spellStart"/>
      <w:r w:rsidRPr="005203C4">
        <w:t>Boulinguez</w:t>
      </w:r>
      <w:proofErr w:type="spellEnd"/>
      <w:r w:rsidRPr="005203C4">
        <w:t xml:space="preserve"> P. Have we been asking the right questions when assessing response inhibition in go/no-go tasks with fMRI? A meta-analysis and critical review. </w:t>
      </w:r>
      <w:r w:rsidRPr="005203C4">
        <w:rPr>
          <w:i/>
          <w:iCs/>
        </w:rPr>
        <w:t>Neuroscience &amp; Biobehavioral Reviews</w:t>
      </w:r>
      <w:r w:rsidRPr="005203C4">
        <w:t xml:space="preserve"> 2013; 37: 11–23.</w:t>
      </w:r>
    </w:p>
    <w:p w14:paraId="5ECBC428" w14:textId="77777777" w:rsidR="005203C4" w:rsidRPr="005203C4" w:rsidRDefault="005203C4" w:rsidP="005203C4">
      <w:pPr>
        <w:pStyle w:val="Bibliography"/>
      </w:pPr>
      <w:r w:rsidRPr="005203C4">
        <w:t xml:space="preserve">26. </w:t>
      </w:r>
      <w:r w:rsidRPr="005203C4">
        <w:tab/>
        <w:t xml:space="preserve">Miyake A, Friedman NP, Emerson MJ, et al. The Unity and Diversity of Executive Functions and Their Contributions to Complex “Frontal Lobe” Tasks: A Latent Variable Analysis. </w:t>
      </w:r>
      <w:r w:rsidRPr="005203C4">
        <w:rPr>
          <w:i/>
          <w:iCs/>
        </w:rPr>
        <w:t>Cognitive Psychology</w:t>
      </w:r>
      <w:r w:rsidRPr="005203C4">
        <w:t xml:space="preserve"> 2000; 41: 49–100.</w:t>
      </w:r>
    </w:p>
    <w:p w14:paraId="4A311DE7" w14:textId="77777777" w:rsidR="005203C4" w:rsidRPr="005203C4" w:rsidRDefault="005203C4" w:rsidP="005203C4">
      <w:pPr>
        <w:pStyle w:val="Bibliography"/>
      </w:pPr>
      <w:r w:rsidRPr="005203C4">
        <w:t xml:space="preserve">27. </w:t>
      </w:r>
      <w:r w:rsidRPr="005203C4">
        <w:tab/>
        <w:t xml:space="preserve">Colombo B, </w:t>
      </w:r>
      <w:proofErr w:type="spellStart"/>
      <w:r w:rsidRPr="005203C4">
        <w:t>Bartesaghi</w:t>
      </w:r>
      <w:proofErr w:type="spellEnd"/>
      <w:r w:rsidRPr="005203C4">
        <w:t xml:space="preserve"> N, Simonelli L, et al. The combined effects of neurostimulation and priming on creative thinking. A preliminary </w:t>
      </w:r>
      <w:proofErr w:type="spellStart"/>
      <w:r w:rsidRPr="005203C4">
        <w:t>tDCS</w:t>
      </w:r>
      <w:proofErr w:type="spellEnd"/>
      <w:r w:rsidRPr="005203C4">
        <w:t xml:space="preserve"> study on dorsolateral prefrontal cortex. </w:t>
      </w:r>
      <w:r w:rsidRPr="005203C4">
        <w:rPr>
          <w:i/>
          <w:iCs/>
        </w:rPr>
        <w:t>Frontiers in Human Neuroscience</w:t>
      </w:r>
      <w:r w:rsidRPr="005203C4">
        <w:t>; 9, https://www.frontiersin.org/articles/10.3389/fnhum.2015.00403 (2015, accessed 25 June 2023).</w:t>
      </w:r>
    </w:p>
    <w:p w14:paraId="59550BEC" w14:textId="77777777" w:rsidR="005203C4" w:rsidRPr="005203C4" w:rsidRDefault="005203C4" w:rsidP="005203C4">
      <w:pPr>
        <w:pStyle w:val="Bibliography"/>
      </w:pPr>
      <w:r w:rsidRPr="005203C4">
        <w:t xml:space="preserve">28. </w:t>
      </w:r>
      <w:r w:rsidRPr="005203C4">
        <w:tab/>
        <w:t xml:space="preserve">Simmonds DJ, </w:t>
      </w:r>
      <w:proofErr w:type="spellStart"/>
      <w:r w:rsidRPr="005203C4">
        <w:t>Pekar</w:t>
      </w:r>
      <w:proofErr w:type="spellEnd"/>
      <w:r w:rsidRPr="005203C4">
        <w:t xml:space="preserve"> JJ, </w:t>
      </w:r>
      <w:proofErr w:type="spellStart"/>
      <w:r w:rsidRPr="005203C4">
        <w:t>Mostofsky</w:t>
      </w:r>
      <w:proofErr w:type="spellEnd"/>
      <w:r w:rsidRPr="005203C4">
        <w:t xml:space="preserve"> SH. Meta-analysis of Go/No-go tasks demonstrating that fMRI activation associated with response inhibition is </w:t>
      </w:r>
      <w:proofErr w:type="gramStart"/>
      <w:r w:rsidRPr="005203C4">
        <w:t>task-dependent</w:t>
      </w:r>
      <w:proofErr w:type="gramEnd"/>
      <w:r w:rsidRPr="005203C4">
        <w:t xml:space="preserve">. </w:t>
      </w:r>
      <w:proofErr w:type="spellStart"/>
      <w:r w:rsidRPr="005203C4">
        <w:rPr>
          <w:i/>
          <w:iCs/>
        </w:rPr>
        <w:t>Neuropsychologia</w:t>
      </w:r>
      <w:proofErr w:type="spellEnd"/>
      <w:r w:rsidRPr="005203C4">
        <w:t xml:space="preserve"> 2008; 46: 224–232.</w:t>
      </w:r>
    </w:p>
    <w:p w14:paraId="2EB730E1" w14:textId="77777777" w:rsidR="005203C4" w:rsidRPr="005203C4" w:rsidRDefault="005203C4" w:rsidP="005203C4">
      <w:pPr>
        <w:pStyle w:val="Bibliography"/>
      </w:pPr>
      <w:r w:rsidRPr="005203C4">
        <w:lastRenderedPageBreak/>
        <w:t xml:space="preserve">29. </w:t>
      </w:r>
      <w:r w:rsidRPr="005203C4">
        <w:tab/>
        <w:t xml:space="preserve">Lee I, </w:t>
      </w:r>
      <w:proofErr w:type="spellStart"/>
      <w:r w:rsidRPr="005203C4">
        <w:t>Byeon</w:t>
      </w:r>
      <w:proofErr w:type="spellEnd"/>
      <w:r w:rsidRPr="005203C4">
        <w:t xml:space="preserve"> JS. Learning-dependent Changes in the Neuronal Correlates of Response Inhibition in the Prefrontal Cortex and Hippocampus. </w:t>
      </w:r>
      <w:r w:rsidRPr="005203C4">
        <w:rPr>
          <w:i/>
          <w:iCs/>
        </w:rPr>
        <w:t xml:space="preserve">Exp </w:t>
      </w:r>
      <w:proofErr w:type="spellStart"/>
      <w:r w:rsidRPr="005203C4">
        <w:rPr>
          <w:i/>
          <w:iCs/>
        </w:rPr>
        <w:t>Neurobiol</w:t>
      </w:r>
      <w:proofErr w:type="spellEnd"/>
      <w:r w:rsidRPr="005203C4">
        <w:t xml:space="preserve"> 2014; 23: 178–189.</w:t>
      </w:r>
    </w:p>
    <w:p w14:paraId="0E5D63D6" w14:textId="20BE7D9B" w:rsidR="00E30A76" w:rsidRDefault="00B530D9">
      <w:r>
        <w:fldChar w:fldCharType="end"/>
      </w:r>
    </w:p>
    <w:sectPr w:rsidR="00E30A76" w:rsidSect="009570DF">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DFAD1" w14:textId="77777777" w:rsidR="009570DF" w:rsidRDefault="009570DF" w:rsidP="00DE7693">
      <w:r>
        <w:separator/>
      </w:r>
    </w:p>
  </w:endnote>
  <w:endnote w:type="continuationSeparator" w:id="0">
    <w:p w14:paraId="616789D6" w14:textId="77777777" w:rsidR="009570DF" w:rsidRDefault="009570DF" w:rsidP="00DE7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5F03D" w14:textId="77777777" w:rsidR="009570DF" w:rsidRDefault="009570DF" w:rsidP="00DE7693">
      <w:r>
        <w:separator/>
      </w:r>
    </w:p>
  </w:footnote>
  <w:footnote w:type="continuationSeparator" w:id="0">
    <w:p w14:paraId="3B584EC5" w14:textId="77777777" w:rsidR="009570DF" w:rsidRDefault="009570DF" w:rsidP="00DE7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58C87" w14:textId="64F20CC7" w:rsidR="00B530D9" w:rsidRDefault="00B530D9">
    <w:pPr>
      <w:pStyle w:val="Header"/>
    </w:pPr>
    <w:r>
      <w:t>NEUROIMAGING STUDIES OF SUBSTANCE USE AND TRAUMA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0B9"/>
    <w:rsid w:val="00017ED3"/>
    <w:rsid w:val="000712D0"/>
    <w:rsid w:val="000B176D"/>
    <w:rsid w:val="00103BD3"/>
    <w:rsid w:val="00107617"/>
    <w:rsid w:val="00114759"/>
    <w:rsid w:val="00122A13"/>
    <w:rsid w:val="001751DD"/>
    <w:rsid w:val="00175D28"/>
    <w:rsid w:val="001F63D7"/>
    <w:rsid w:val="002260B9"/>
    <w:rsid w:val="00251BD9"/>
    <w:rsid w:val="002F7DF3"/>
    <w:rsid w:val="003013DE"/>
    <w:rsid w:val="0033223F"/>
    <w:rsid w:val="003830C5"/>
    <w:rsid w:val="003A062C"/>
    <w:rsid w:val="003B0498"/>
    <w:rsid w:val="003C4C03"/>
    <w:rsid w:val="003C4CE2"/>
    <w:rsid w:val="003D28E9"/>
    <w:rsid w:val="004130D9"/>
    <w:rsid w:val="00486A91"/>
    <w:rsid w:val="004964E7"/>
    <w:rsid w:val="004E70FB"/>
    <w:rsid w:val="005203C4"/>
    <w:rsid w:val="00590DE0"/>
    <w:rsid w:val="005B3285"/>
    <w:rsid w:val="00605C37"/>
    <w:rsid w:val="00607CFD"/>
    <w:rsid w:val="00684037"/>
    <w:rsid w:val="006C288F"/>
    <w:rsid w:val="00716DF9"/>
    <w:rsid w:val="00794E48"/>
    <w:rsid w:val="00825F5D"/>
    <w:rsid w:val="00871901"/>
    <w:rsid w:val="009046DC"/>
    <w:rsid w:val="009318F7"/>
    <w:rsid w:val="009570DF"/>
    <w:rsid w:val="009C7F47"/>
    <w:rsid w:val="00A358C1"/>
    <w:rsid w:val="00AA0561"/>
    <w:rsid w:val="00B3014C"/>
    <w:rsid w:val="00B530D9"/>
    <w:rsid w:val="00B86C22"/>
    <w:rsid w:val="00BC29B0"/>
    <w:rsid w:val="00BE5F7E"/>
    <w:rsid w:val="00C00386"/>
    <w:rsid w:val="00C10AB2"/>
    <w:rsid w:val="00C24DC2"/>
    <w:rsid w:val="00C3201B"/>
    <w:rsid w:val="00C53DBE"/>
    <w:rsid w:val="00CC32AD"/>
    <w:rsid w:val="00CD2487"/>
    <w:rsid w:val="00D265E9"/>
    <w:rsid w:val="00D36C1D"/>
    <w:rsid w:val="00D86A3F"/>
    <w:rsid w:val="00DA00E7"/>
    <w:rsid w:val="00DA6A7D"/>
    <w:rsid w:val="00DB59F1"/>
    <w:rsid w:val="00DE7693"/>
    <w:rsid w:val="00E30A76"/>
    <w:rsid w:val="00E3251D"/>
    <w:rsid w:val="00EC2184"/>
    <w:rsid w:val="00ED10EF"/>
    <w:rsid w:val="00F11652"/>
    <w:rsid w:val="00F215DE"/>
    <w:rsid w:val="00F32705"/>
    <w:rsid w:val="00FE0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2A3E45"/>
  <w15:chartTrackingRefBased/>
  <w15:docId w15:val="{3E588CB4-B625-AE47-BC5D-1C66CC83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0B9"/>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260B9"/>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260B9"/>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260B9"/>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260B9"/>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260B9"/>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260B9"/>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260B9"/>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260B9"/>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260B9"/>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0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0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0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0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0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0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0B9"/>
    <w:rPr>
      <w:rFonts w:eastAsiaTheme="majorEastAsia" w:cstheme="majorBidi"/>
      <w:color w:val="272727" w:themeColor="text1" w:themeTint="D8"/>
    </w:rPr>
  </w:style>
  <w:style w:type="paragraph" w:styleId="Title">
    <w:name w:val="Title"/>
    <w:basedOn w:val="Normal"/>
    <w:next w:val="Normal"/>
    <w:link w:val="TitleChar"/>
    <w:uiPriority w:val="10"/>
    <w:qFormat/>
    <w:rsid w:val="002260B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26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0B9"/>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260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0B9"/>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260B9"/>
    <w:rPr>
      <w:i/>
      <w:iCs/>
      <w:color w:val="404040" w:themeColor="text1" w:themeTint="BF"/>
    </w:rPr>
  </w:style>
  <w:style w:type="paragraph" w:styleId="ListParagraph">
    <w:name w:val="List Paragraph"/>
    <w:basedOn w:val="Normal"/>
    <w:uiPriority w:val="34"/>
    <w:qFormat/>
    <w:rsid w:val="002260B9"/>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260B9"/>
    <w:rPr>
      <w:i/>
      <w:iCs/>
      <w:color w:val="0F4761" w:themeColor="accent1" w:themeShade="BF"/>
    </w:rPr>
  </w:style>
  <w:style w:type="paragraph" w:styleId="IntenseQuote">
    <w:name w:val="Intense Quote"/>
    <w:basedOn w:val="Normal"/>
    <w:next w:val="Normal"/>
    <w:link w:val="IntenseQuoteChar"/>
    <w:uiPriority w:val="30"/>
    <w:qFormat/>
    <w:rsid w:val="002260B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260B9"/>
    <w:rPr>
      <w:i/>
      <w:iCs/>
      <w:color w:val="0F4761" w:themeColor="accent1" w:themeShade="BF"/>
    </w:rPr>
  </w:style>
  <w:style w:type="character" w:styleId="IntenseReference">
    <w:name w:val="Intense Reference"/>
    <w:basedOn w:val="DefaultParagraphFont"/>
    <w:uiPriority w:val="32"/>
    <w:qFormat/>
    <w:rsid w:val="002260B9"/>
    <w:rPr>
      <w:b/>
      <w:bCs/>
      <w:smallCaps/>
      <w:color w:val="0F4761" w:themeColor="accent1" w:themeShade="BF"/>
      <w:spacing w:val="5"/>
    </w:rPr>
  </w:style>
  <w:style w:type="character" w:styleId="LineNumber">
    <w:name w:val="line number"/>
    <w:basedOn w:val="DefaultParagraphFont"/>
    <w:uiPriority w:val="99"/>
    <w:semiHidden/>
    <w:unhideWhenUsed/>
    <w:rsid w:val="002260B9"/>
  </w:style>
  <w:style w:type="paragraph" w:styleId="Header">
    <w:name w:val="header"/>
    <w:basedOn w:val="Normal"/>
    <w:link w:val="HeaderChar"/>
    <w:uiPriority w:val="99"/>
    <w:unhideWhenUsed/>
    <w:rsid w:val="00DE7693"/>
    <w:pPr>
      <w:tabs>
        <w:tab w:val="center" w:pos="4680"/>
        <w:tab w:val="right" w:pos="9360"/>
      </w:tabs>
    </w:pPr>
  </w:style>
  <w:style w:type="character" w:customStyle="1" w:styleId="HeaderChar">
    <w:name w:val="Header Char"/>
    <w:basedOn w:val="DefaultParagraphFont"/>
    <w:link w:val="Header"/>
    <w:uiPriority w:val="99"/>
    <w:rsid w:val="00DE7693"/>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DE7693"/>
    <w:pPr>
      <w:tabs>
        <w:tab w:val="center" w:pos="4680"/>
        <w:tab w:val="right" w:pos="9360"/>
      </w:tabs>
    </w:pPr>
  </w:style>
  <w:style w:type="character" w:customStyle="1" w:styleId="FooterChar">
    <w:name w:val="Footer Char"/>
    <w:basedOn w:val="DefaultParagraphFont"/>
    <w:link w:val="Footer"/>
    <w:uiPriority w:val="99"/>
    <w:rsid w:val="00DE7693"/>
    <w:rPr>
      <w:rFonts w:ascii="Times New Roman" w:eastAsia="Times New Roman" w:hAnsi="Times New Roman" w:cs="Times New Roman"/>
      <w:kern w:val="0"/>
      <w14:ligatures w14:val="none"/>
    </w:rPr>
  </w:style>
  <w:style w:type="paragraph" w:styleId="Bibliography">
    <w:name w:val="Bibliography"/>
    <w:basedOn w:val="Normal"/>
    <w:next w:val="Normal"/>
    <w:uiPriority w:val="37"/>
    <w:unhideWhenUsed/>
    <w:rsid w:val="00B530D9"/>
    <w:pPr>
      <w:tabs>
        <w:tab w:val="left" w:pos="380"/>
        <w:tab w:val="left" w:pos="500"/>
      </w:tabs>
      <w:spacing w:after="240"/>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13528</Words>
  <Characters>77115</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Hinojosa, Ceci</dc:creator>
  <cp:keywords/>
  <dc:description/>
  <cp:lastModifiedBy>Hinojosa, Ceci</cp:lastModifiedBy>
  <cp:revision>4</cp:revision>
  <dcterms:created xsi:type="dcterms:W3CDTF">2024-03-20T20:14:00Z</dcterms:created>
  <dcterms:modified xsi:type="dcterms:W3CDTF">2024-04-08T20:09:00Z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id="eNbAtvIU"/&gt;&lt;style id="http://www.zotero.org/styles/sage-vancouver" hasBibliography="1" bibliographyStyleHasBeenSet="1"/&gt;&lt;prefs&gt;&lt;pref name="fieldType" value="Field"/&gt;&lt;/prefs&gt;&lt;/data&gt;</vt:lpwstr>
  </property>
</Properties>
</file>