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CFEC1" w14:textId="2F3F6ECE" w:rsidR="001D0B82" w:rsidRPr="001D0B82" w:rsidRDefault="001D0B82" w:rsidP="001D0B82">
      <w:pPr>
        <w:pStyle w:val="Prrafodelista2"/>
        <w:spacing w:before="360" w:after="120" w:line="360" w:lineRule="auto"/>
        <w:ind w:left="0" w:firstLine="0"/>
        <w:jc w:val="center"/>
        <w:rPr>
          <w:rFonts w:eastAsiaTheme="majorEastAsia" w:cstheme="majorBidi"/>
          <w:b/>
          <w:bCs/>
          <w:sz w:val="32"/>
          <w:szCs w:val="32"/>
          <w:lang w:val="en-US"/>
        </w:rPr>
      </w:pPr>
      <w:r w:rsidRPr="001D0B82">
        <w:rPr>
          <w:rFonts w:eastAsiaTheme="majorEastAsia" w:cstheme="majorBidi"/>
          <w:b/>
          <w:bCs/>
          <w:sz w:val="32"/>
          <w:szCs w:val="32"/>
          <w:lang w:val="en-US"/>
        </w:rPr>
        <w:t>Electronic Supporting Material on the Microchimica Acta publication entitled</w:t>
      </w:r>
    </w:p>
    <w:p w14:paraId="61971B56" w14:textId="77777777" w:rsidR="001D0B82" w:rsidRDefault="001D0B82" w:rsidP="00C30DA6">
      <w:pPr>
        <w:pStyle w:val="Prrafodelista2"/>
        <w:spacing w:before="360" w:after="120" w:line="360" w:lineRule="auto"/>
        <w:ind w:left="0" w:firstLine="0"/>
        <w:jc w:val="center"/>
        <w:rPr>
          <w:rFonts w:eastAsia="MS Mincho" w:cs="Times New Roman"/>
          <w:b/>
          <w:sz w:val="36"/>
          <w:szCs w:val="36"/>
          <w:lang w:val="en-US" w:eastAsia="ja-JP"/>
        </w:rPr>
      </w:pPr>
      <w:r w:rsidRPr="001D0B82">
        <w:rPr>
          <w:rFonts w:eastAsia="MS Mincho" w:cs="Times New Roman"/>
          <w:b/>
          <w:sz w:val="36"/>
          <w:szCs w:val="36"/>
          <w:lang w:val="en-US" w:eastAsia="ja-JP"/>
        </w:rPr>
        <w:t>Micro-paper-based analytical device decorated with metal-organic frameworks for the assay of synthetic cannabinoids in oral fluids coupled to ion mobility spectrometry</w:t>
      </w:r>
    </w:p>
    <w:p w14:paraId="0155F9D8" w14:textId="23B3C54F" w:rsidR="00532DCC" w:rsidRPr="001D0B82" w:rsidRDefault="00532DCC" w:rsidP="00C30DA6">
      <w:pPr>
        <w:pStyle w:val="Prrafodelista2"/>
        <w:spacing w:before="360" w:after="120" w:line="360" w:lineRule="auto"/>
        <w:ind w:left="0" w:firstLine="0"/>
        <w:jc w:val="center"/>
        <w:rPr>
          <w:rFonts w:eastAsiaTheme="minorHAnsi" w:cstheme="minorBidi"/>
          <w:b/>
          <w:bCs/>
          <w:sz w:val="28"/>
          <w:szCs w:val="28"/>
          <w:lang w:eastAsia="en-US"/>
        </w:rPr>
      </w:pPr>
      <w:r w:rsidRPr="001D0B82">
        <w:rPr>
          <w:rFonts w:eastAsiaTheme="minorHAnsi" w:cstheme="minorBidi"/>
          <w:b/>
          <w:bCs/>
          <w:sz w:val="28"/>
          <w:szCs w:val="28"/>
          <w:lang w:eastAsia="en-US"/>
        </w:rPr>
        <w:t>Héctor Martínez-Pérez-Cejuela</w:t>
      </w:r>
      <w:r w:rsidR="005607F0" w:rsidRPr="001D0B82">
        <w:rPr>
          <w:rFonts w:eastAsiaTheme="minorHAnsi" w:cstheme="minorBidi"/>
          <w:b/>
          <w:bCs/>
          <w:sz w:val="28"/>
          <w:szCs w:val="28"/>
          <w:lang w:eastAsia="en-US"/>
        </w:rPr>
        <w:t>*</w:t>
      </w:r>
      <w:r w:rsidRPr="001D0B82">
        <w:rPr>
          <w:rFonts w:eastAsiaTheme="minorHAnsi" w:cstheme="minorBidi"/>
          <w:b/>
          <w:bCs/>
          <w:sz w:val="28"/>
          <w:szCs w:val="28"/>
          <w:lang w:eastAsia="en-US"/>
        </w:rPr>
        <w:t xml:space="preserve">, Patricia García-Atienza, Ernesto Francisco Simó-Alfonso, </w:t>
      </w:r>
      <w:r w:rsidR="005607F0" w:rsidRPr="001D0B82">
        <w:rPr>
          <w:rFonts w:eastAsiaTheme="minorHAnsi" w:cstheme="minorBidi"/>
          <w:b/>
          <w:bCs/>
          <w:sz w:val="28"/>
          <w:szCs w:val="28"/>
          <w:lang w:eastAsia="en-US"/>
        </w:rPr>
        <w:t>José Manuel Herrero-Martínez</w:t>
      </w:r>
      <w:r w:rsidR="00C30DA6" w:rsidRPr="001D0B82">
        <w:rPr>
          <w:rFonts w:eastAsiaTheme="minorHAnsi" w:cstheme="minorBidi"/>
          <w:b/>
          <w:bCs/>
          <w:sz w:val="28"/>
          <w:szCs w:val="28"/>
          <w:lang w:eastAsia="en-US"/>
        </w:rPr>
        <w:t xml:space="preserve">, </w:t>
      </w:r>
      <w:r w:rsidR="001D0B82">
        <w:rPr>
          <w:rFonts w:eastAsiaTheme="minorHAnsi" w:cstheme="minorBidi"/>
          <w:b/>
          <w:bCs/>
          <w:sz w:val="28"/>
          <w:szCs w:val="28"/>
          <w:lang w:eastAsia="en-US"/>
        </w:rPr>
        <w:t>Sergio </w:t>
      </w:r>
      <w:r w:rsidR="00C30DA6" w:rsidRPr="001D0B82">
        <w:rPr>
          <w:rFonts w:eastAsiaTheme="minorHAnsi" w:cstheme="minorBidi"/>
          <w:b/>
          <w:bCs/>
          <w:sz w:val="28"/>
          <w:szCs w:val="28"/>
          <w:lang w:eastAsia="en-US"/>
        </w:rPr>
        <w:t>Armenta*</w:t>
      </w:r>
    </w:p>
    <w:p w14:paraId="5DD3FEAC" w14:textId="5BDFC027" w:rsidR="00532DCC" w:rsidRPr="001D0B82" w:rsidRDefault="00532DCC" w:rsidP="001D0B82">
      <w:pPr>
        <w:pStyle w:val="Prrafodelista2"/>
        <w:spacing w:before="360" w:after="120" w:line="360" w:lineRule="auto"/>
        <w:ind w:left="0" w:firstLine="0"/>
        <w:jc w:val="center"/>
        <w:rPr>
          <w:rFonts w:eastAsiaTheme="minorHAnsi" w:cstheme="minorBidi"/>
          <w:b/>
          <w:bCs/>
          <w:szCs w:val="24"/>
          <w:lang w:val="en-GB" w:eastAsia="en-US"/>
        </w:rPr>
      </w:pPr>
      <w:r w:rsidRPr="001D0B82">
        <w:rPr>
          <w:rFonts w:eastAsiaTheme="minorHAnsi" w:cstheme="minorBidi"/>
          <w:b/>
          <w:bCs/>
          <w:szCs w:val="24"/>
          <w:lang w:val="en-GB" w:eastAsia="en-US"/>
        </w:rPr>
        <w:t>Department of Analytical Chemistry, University of Valencia, C/Dr. Moliner, 50, 46100 Burjassot, Valencia, Spain</w:t>
      </w:r>
    </w:p>
    <w:p w14:paraId="27F30D17" w14:textId="39BEC3AF" w:rsidR="001D0B82" w:rsidRDefault="001D0B82">
      <w:pPr>
        <w:spacing w:after="160" w:line="259" w:lineRule="auto"/>
        <w:rPr>
          <w:sz w:val="22"/>
          <w:szCs w:val="20"/>
          <w:lang w:val="es-ES"/>
        </w:rPr>
      </w:pPr>
      <w:r>
        <w:rPr>
          <w:sz w:val="22"/>
          <w:szCs w:val="20"/>
        </w:rPr>
        <w:br w:type="page"/>
      </w:r>
    </w:p>
    <w:p w14:paraId="72EA8569" w14:textId="1C4DD501" w:rsidR="00483A78" w:rsidRPr="008000F2" w:rsidRDefault="0035518B" w:rsidP="001D0B82">
      <w:pPr>
        <w:pStyle w:val="Prrafodelista2"/>
        <w:spacing w:before="360" w:after="480" w:line="360" w:lineRule="auto"/>
        <w:ind w:left="0" w:firstLine="0"/>
        <w:rPr>
          <w:b/>
          <w:sz w:val="32"/>
          <w:szCs w:val="32"/>
          <w:lang w:val="en-US"/>
        </w:rPr>
      </w:pPr>
      <w:bookmarkStart w:id="0" w:name="_GoBack"/>
      <w:bookmarkEnd w:id="0"/>
      <w:r w:rsidRPr="008000F2">
        <w:rPr>
          <w:b/>
          <w:sz w:val="32"/>
          <w:szCs w:val="32"/>
          <w:lang w:val="en-US"/>
        </w:rPr>
        <w:lastRenderedPageBreak/>
        <w:t>Table of contents</w:t>
      </w:r>
    </w:p>
    <w:p w14:paraId="79DD4C30" w14:textId="77777777" w:rsidR="001D0B82" w:rsidRPr="008000F2" w:rsidRDefault="005D34C7" w:rsidP="0009396C">
      <w:pPr>
        <w:pStyle w:val="Prrafodelista2"/>
        <w:spacing w:after="120" w:line="600" w:lineRule="auto"/>
        <w:ind w:left="0" w:firstLine="0"/>
        <w:rPr>
          <w:szCs w:val="24"/>
          <w:lang w:val="en-US"/>
        </w:rPr>
      </w:pPr>
      <w:r w:rsidRPr="008000F2">
        <w:rPr>
          <w:b/>
          <w:bCs/>
          <w:szCs w:val="24"/>
          <w:lang w:val="en-US"/>
        </w:rPr>
        <w:t>Page S1-S2</w:t>
      </w:r>
      <w:r w:rsidR="00002A40" w:rsidRPr="008000F2">
        <w:rPr>
          <w:b/>
          <w:bCs/>
          <w:szCs w:val="24"/>
          <w:lang w:val="en-US"/>
        </w:rPr>
        <w:t>.</w:t>
      </w:r>
      <w:r w:rsidR="0035518B" w:rsidRPr="008000F2">
        <w:rPr>
          <w:szCs w:val="24"/>
          <w:lang w:val="en-US"/>
        </w:rPr>
        <w:t xml:space="preserve"> </w:t>
      </w:r>
      <w:r w:rsidR="001D0B82" w:rsidRPr="008000F2">
        <w:rPr>
          <w:szCs w:val="24"/>
          <w:lang w:val="en-US"/>
        </w:rPr>
        <w:t xml:space="preserve">Experimental Section </w:t>
      </w:r>
    </w:p>
    <w:p w14:paraId="2E88647B" w14:textId="77777777" w:rsidR="001D0B82" w:rsidRPr="008000F2" w:rsidRDefault="001D0B82" w:rsidP="0009396C">
      <w:pPr>
        <w:pStyle w:val="Prrafodelista2"/>
        <w:spacing w:after="120" w:line="600" w:lineRule="auto"/>
        <w:ind w:left="0" w:firstLine="0"/>
        <w:rPr>
          <w:szCs w:val="24"/>
          <w:lang w:val="en-US"/>
        </w:rPr>
      </w:pPr>
      <w:r w:rsidRPr="008000F2">
        <w:rPr>
          <w:b/>
          <w:bCs/>
          <w:szCs w:val="24"/>
          <w:lang w:val="en-US"/>
        </w:rPr>
        <w:t>Page S2-S5.</w:t>
      </w:r>
      <w:r w:rsidRPr="008000F2">
        <w:rPr>
          <w:szCs w:val="24"/>
          <w:lang w:val="en-US"/>
        </w:rPr>
        <w:t xml:space="preserve"> Results and Discussion </w:t>
      </w:r>
    </w:p>
    <w:p w14:paraId="58AE6F8F" w14:textId="3976F373" w:rsidR="00D35B24" w:rsidRPr="008000F2" w:rsidRDefault="001D0B82" w:rsidP="0009396C">
      <w:pPr>
        <w:pStyle w:val="Prrafodelista2"/>
        <w:spacing w:after="120" w:line="600" w:lineRule="auto"/>
        <w:ind w:left="0" w:firstLine="0"/>
        <w:rPr>
          <w:rFonts w:cs="Times New Roman"/>
          <w:lang w:val="en-GB"/>
        </w:rPr>
      </w:pPr>
      <w:r w:rsidRPr="008000F2">
        <w:rPr>
          <w:b/>
          <w:bCs/>
          <w:szCs w:val="24"/>
          <w:lang w:val="en-US"/>
        </w:rPr>
        <w:t>Page S6.</w:t>
      </w:r>
      <w:r w:rsidRPr="008000F2">
        <w:rPr>
          <w:szCs w:val="24"/>
          <w:lang w:val="en-US"/>
        </w:rPr>
        <w:t xml:space="preserve"> </w:t>
      </w:r>
      <w:r w:rsidR="005D34C7" w:rsidRPr="008000F2">
        <w:rPr>
          <w:rFonts w:cs="Times New Roman"/>
          <w:lang w:val="en-GB"/>
        </w:rPr>
        <w:t>Physico-chemical parameters of SCRAs (Table S1)</w:t>
      </w:r>
    </w:p>
    <w:p w14:paraId="186CADF1" w14:textId="618CB3C3" w:rsidR="00002A40" w:rsidRPr="008000F2" w:rsidRDefault="005D34C7" w:rsidP="0009396C">
      <w:pPr>
        <w:pStyle w:val="Prrafodelista2"/>
        <w:spacing w:after="120" w:line="600" w:lineRule="auto"/>
        <w:ind w:left="0" w:firstLine="0"/>
        <w:rPr>
          <w:szCs w:val="24"/>
          <w:lang w:val="en-US"/>
        </w:rPr>
      </w:pPr>
      <w:r w:rsidRPr="008000F2">
        <w:rPr>
          <w:b/>
          <w:bCs/>
          <w:szCs w:val="24"/>
          <w:lang w:val="en-US"/>
        </w:rPr>
        <w:t>Pages S</w:t>
      </w:r>
      <w:r w:rsidR="001D0B82" w:rsidRPr="008000F2">
        <w:rPr>
          <w:b/>
          <w:bCs/>
          <w:szCs w:val="24"/>
          <w:lang w:val="en-US"/>
        </w:rPr>
        <w:t>7</w:t>
      </w:r>
      <w:r w:rsidR="00002A40" w:rsidRPr="008000F2">
        <w:rPr>
          <w:b/>
          <w:bCs/>
          <w:szCs w:val="24"/>
          <w:lang w:val="en-US"/>
        </w:rPr>
        <w:t>.</w:t>
      </w:r>
      <w:r w:rsidR="00002A40" w:rsidRPr="008000F2">
        <w:rPr>
          <w:szCs w:val="24"/>
          <w:lang w:val="en-US"/>
        </w:rPr>
        <w:t xml:space="preserve"> </w:t>
      </w:r>
      <w:r w:rsidRPr="008000F2">
        <w:rPr>
          <w:szCs w:val="24"/>
          <w:lang w:val="en-US"/>
        </w:rPr>
        <w:t xml:space="preserve">EDX </w:t>
      </w:r>
      <w:r w:rsidR="0009396C" w:rsidRPr="008000F2">
        <w:rPr>
          <w:szCs w:val="24"/>
          <w:lang w:val="en-US"/>
        </w:rPr>
        <w:t>and mapping analyse</w:t>
      </w:r>
      <w:r w:rsidRPr="008000F2">
        <w:rPr>
          <w:szCs w:val="24"/>
          <w:lang w:val="en-US"/>
        </w:rPr>
        <w:t>s of paper (Figure S1)</w:t>
      </w:r>
    </w:p>
    <w:p w14:paraId="4D25E5E2" w14:textId="0CEAE8FE" w:rsidR="003411D8" w:rsidRPr="008000F2" w:rsidRDefault="005D34C7" w:rsidP="0009396C">
      <w:pPr>
        <w:pStyle w:val="Prrafodelista2"/>
        <w:spacing w:after="120" w:line="600" w:lineRule="auto"/>
        <w:ind w:left="0" w:firstLine="0"/>
        <w:rPr>
          <w:szCs w:val="24"/>
          <w:lang w:val="en-US"/>
        </w:rPr>
      </w:pPr>
      <w:r w:rsidRPr="008000F2">
        <w:rPr>
          <w:b/>
          <w:bCs/>
          <w:szCs w:val="24"/>
          <w:lang w:val="en-US"/>
        </w:rPr>
        <w:t>Pages S</w:t>
      </w:r>
      <w:r w:rsidR="008000F2" w:rsidRPr="008000F2">
        <w:rPr>
          <w:b/>
          <w:bCs/>
          <w:szCs w:val="24"/>
          <w:lang w:val="en-US"/>
        </w:rPr>
        <w:t>7</w:t>
      </w:r>
      <w:r w:rsidR="003411D8" w:rsidRPr="008000F2">
        <w:rPr>
          <w:b/>
          <w:bCs/>
          <w:szCs w:val="24"/>
          <w:lang w:val="en-US"/>
        </w:rPr>
        <w:t>.</w:t>
      </w:r>
      <w:r w:rsidR="003411D8" w:rsidRPr="008000F2">
        <w:rPr>
          <w:szCs w:val="24"/>
          <w:lang w:val="en-US"/>
        </w:rPr>
        <w:t xml:space="preserve"> </w:t>
      </w:r>
      <w:r w:rsidRPr="008000F2">
        <w:rPr>
          <w:szCs w:val="24"/>
          <w:lang w:val="en-US"/>
        </w:rPr>
        <w:t xml:space="preserve">EDX </w:t>
      </w:r>
      <w:r w:rsidR="0009396C" w:rsidRPr="008000F2">
        <w:rPr>
          <w:szCs w:val="24"/>
          <w:lang w:val="en-US"/>
        </w:rPr>
        <w:t>and mapping analyse</w:t>
      </w:r>
      <w:r w:rsidRPr="008000F2">
        <w:rPr>
          <w:szCs w:val="24"/>
          <w:lang w:val="en-US"/>
        </w:rPr>
        <w:t>s of NH</w:t>
      </w:r>
      <w:r w:rsidRPr="008000F2">
        <w:rPr>
          <w:szCs w:val="24"/>
          <w:vertAlign w:val="subscript"/>
          <w:lang w:val="en-US"/>
        </w:rPr>
        <w:t>2</w:t>
      </w:r>
      <w:r w:rsidRPr="008000F2">
        <w:rPr>
          <w:szCs w:val="24"/>
          <w:lang w:val="en-US"/>
        </w:rPr>
        <w:t>-UiO@paper (Figure S2)</w:t>
      </w:r>
    </w:p>
    <w:p w14:paraId="099C7AEC" w14:textId="289F0468" w:rsidR="00002A40" w:rsidRPr="008000F2" w:rsidRDefault="008000F2" w:rsidP="0009396C">
      <w:pPr>
        <w:pStyle w:val="Prrafodelista2"/>
        <w:spacing w:after="120" w:line="600" w:lineRule="auto"/>
        <w:ind w:left="0" w:firstLine="0"/>
        <w:rPr>
          <w:lang w:val="en-GB"/>
        </w:rPr>
      </w:pPr>
      <w:r w:rsidRPr="008000F2">
        <w:rPr>
          <w:b/>
          <w:bCs/>
          <w:szCs w:val="24"/>
          <w:lang w:val="en-US"/>
        </w:rPr>
        <w:t>Pages S8</w:t>
      </w:r>
      <w:r w:rsidR="00002A40" w:rsidRPr="008000F2">
        <w:rPr>
          <w:b/>
          <w:bCs/>
          <w:szCs w:val="24"/>
          <w:lang w:val="en-US"/>
        </w:rPr>
        <w:t xml:space="preserve">. </w:t>
      </w:r>
      <w:r w:rsidR="005D34C7" w:rsidRPr="008000F2">
        <w:rPr>
          <w:lang w:val="en-GB"/>
        </w:rPr>
        <w:t>SEM images (Figure S3)</w:t>
      </w:r>
    </w:p>
    <w:p w14:paraId="7778BF6D" w14:textId="44098600" w:rsidR="008000F2" w:rsidRPr="008000F2" w:rsidRDefault="008000F2" w:rsidP="008000F2">
      <w:pPr>
        <w:pStyle w:val="Prrafodelista2"/>
        <w:spacing w:after="120" w:line="600" w:lineRule="auto"/>
        <w:ind w:left="0" w:firstLine="0"/>
        <w:rPr>
          <w:lang w:val="en-GB"/>
        </w:rPr>
      </w:pPr>
      <w:r w:rsidRPr="008000F2">
        <w:rPr>
          <w:b/>
          <w:bCs/>
          <w:lang w:val="en-GB"/>
        </w:rPr>
        <w:t>Page S9.</w:t>
      </w:r>
      <w:r w:rsidRPr="008000F2">
        <w:rPr>
          <w:lang w:val="en-GB"/>
        </w:rPr>
        <w:t xml:space="preserve"> </w:t>
      </w:r>
      <w:r w:rsidRPr="008000F2">
        <w:t>SCRAs desorption temperature studies</w:t>
      </w:r>
      <w:r w:rsidRPr="008000F2">
        <w:t xml:space="preserve"> (Figure S4)</w:t>
      </w:r>
    </w:p>
    <w:p w14:paraId="08673014" w14:textId="52231597" w:rsidR="003411D8" w:rsidRPr="008000F2" w:rsidRDefault="008000F2" w:rsidP="0009396C">
      <w:pPr>
        <w:pStyle w:val="Prrafodelista2"/>
        <w:spacing w:after="120" w:line="600" w:lineRule="auto"/>
        <w:ind w:left="0" w:firstLine="0"/>
        <w:rPr>
          <w:lang w:val="en-GB"/>
        </w:rPr>
      </w:pPr>
      <w:r w:rsidRPr="008000F2">
        <w:rPr>
          <w:b/>
          <w:bCs/>
          <w:lang w:val="en-GB"/>
        </w:rPr>
        <w:t>Pages S10.</w:t>
      </w:r>
      <w:r w:rsidR="005D34C7" w:rsidRPr="008000F2">
        <w:rPr>
          <w:rFonts w:cs="Times New Roman"/>
          <w:szCs w:val="24"/>
          <w:lang w:val="en-GB"/>
        </w:rPr>
        <w:t xml:space="preserve"> Method optimization, solvent nature and temperature</w:t>
      </w:r>
      <w:r w:rsidR="005D34C7" w:rsidRPr="008000F2">
        <w:rPr>
          <w:lang w:val="en-GB"/>
        </w:rPr>
        <w:t xml:space="preserve"> </w:t>
      </w:r>
      <w:r w:rsidRPr="008000F2">
        <w:rPr>
          <w:lang w:val="en-GB"/>
        </w:rPr>
        <w:t>(Figure S5</w:t>
      </w:r>
      <w:r w:rsidR="00E270AB" w:rsidRPr="008000F2">
        <w:rPr>
          <w:lang w:val="en-GB"/>
        </w:rPr>
        <w:t>)</w:t>
      </w:r>
    </w:p>
    <w:p w14:paraId="270023B7" w14:textId="58B801A3" w:rsidR="008000F2" w:rsidRPr="005D34C7" w:rsidRDefault="008000F2" w:rsidP="0009396C">
      <w:pPr>
        <w:pStyle w:val="Prrafodelista2"/>
        <w:spacing w:after="120" w:line="600" w:lineRule="auto"/>
        <w:ind w:left="0" w:firstLine="0"/>
        <w:rPr>
          <w:lang w:val="en-GB"/>
        </w:rPr>
      </w:pPr>
      <w:r w:rsidRPr="008000F2">
        <w:rPr>
          <w:b/>
          <w:bCs/>
          <w:lang w:val="en-GB"/>
        </w:rPr>
        <w:t>Page S11.</w:t>
      </w:r>
      <w:r w:rsidRPr="008000F2">
        <w:rPr>
          <w:lang w:val="en-GB"/>
        </w:rPr>
        <w:t xml:space="preserve"> References</w:t>
      </w:r>
    </w:p>
    <w:p w14:paraId="6F78AD5A" w14:textId="3F62E16C" w:rsidR="005D34C7" w:rsidRDefault="005D34C7">
      <w:pPr>
        <w:spacing w:after="160" w:line="259" w:lineRule="auto"/>
        <w:rPr>
          <w:rFonts w:eastAsia="Times New Roman" w:cs="Calibri"/>
          <w:szCs w:val="24"/>
          <w:lang w:val="en-GB" w:eastAsia="es-ES"/>
        </w:rPr>
      </w:pPr>
    </w:p>
    <w:p w14:paraId="4F6ECDCA" w14:textId="77777777" w:rsidR="005D34C7" w:rsidRDefault="005D34C7">
      <w:pPr>
        <w:spacing w:after="160" w:line="259" w:lineRule="auto"/>
        <w:rPr>
          <w:rFonts w:eastAsia="Times New Roman" w:cs="Calibri"/>
          <w:szCs w:val="24"/>
          <w:lang w:val="en-GB" w:eastAsia="es-ES"/>
        </w:rPr>
        <w:sectPr w:rsidR="005D34C7" w:rsidSect="00B21CF7">
          <w:footerReference w:type="default" r:id="rId8"/>
          <w:pgSz w:w="11906" w:h="16838"/>
          <w:pgMar w:top="1417" w:right="1701" w:bottom="1417" w:left="1701" w:header="708" w:footer="708" w:gutter="0"/>
          <w:cols w:space="708"/>
          <w:docGrid w:linePitch="360"/>
        </w:sectPr>
      </w:pPr>
    </w:p>
    <w:p w14:paraId="3C380A22" w14:textId="77777777" w:rsidR="00D35B24" w:rsidRDefault="00D35B24">
      <w:pPr>
        <w:spacing w:after="160" w:line="259" w:lineRule="auto"/>
        <w:rPr>
          <w:rFonts w:cs="Times New Roman"/>
          <w:b/>
          <w:lang w:val="en-GB" w:eastAsia="es-ES"/>
        </w:rPr>
      </w:pPr>
      <w:r>
        <w:rPr>
          <w:rFonts w:cs="Times New Roman"/>
          <w:b/>
          <w:lang w:val="en-GB" w:eastAsia="es-ES"/>
        </w:rPr>
        <w:lastRenderedPageBreak/>
        <w:t>Experimental Section</w:t>
      </w:r>
    </w:p>
    <w:p w14:paraId="3D5B0DE7" w14:textId="77777777" w:rsidR="00D35B24" w:rsidRDefault="00D35B24" w:rsidP="00D35B24">
      <w:pPr>
        <w:spacing w:before="480" w:after="120" w:line="480" w:lineRule="auto"/>
        <w:jc w:val="both"/>
        <w:rPr>
          <w:i/>
          <w:iCs/>
          <w:lang w:val="en-GB"/>
        </w:rPr>
      </w:pPr>
      <w:r>
        <w:rPr>
          <w:i/>
          <w:iCs/>
        </w:rPr>
        <w:t>Reagents and materials</w:t>
      </w:r>
    </w:p>
    <w:p w14:paraId="69313972" w14:textId="77777777" w:rsidR="00D35B24" w:rsidRDefault="00D35B24" w:rsidP="00D35B24">
      <w:pPr>
        <w:spacing w:before="120" w:after="120" w:line="480" w:lineRule="auto"/>
        <w:jc w:val="both"/>
      </w:pPr>
      <w:r>
        <w:t>Zirconium tetrachloride, 2-aminoterephthalic acid, N,N-dimethylfomamide (DMF), methanol, ethanol, sodium hydroxide, sodium chloroacetate, Whatmann #1 (W1) papers were all purchased from Merck-Sigma-Aldrich. Other reagents and organic solvents (e.g. chloroform, acetonitrile, etc.) were from analytical grade unless otherwise stated.</w:t>
      </w:r>
    </w:p>
    <w:p w14:paraId="2075C526" w14:textId="77777777" w:rsidR="00D35B24" w:rsidRDefault="00D35B24" w:rsidP="00D35B24">
      <w:pPr>
        <w:spacing w:before="120" w:after="120" w:line="480" w:lineRule="auto"/>
        <w:jc w:val="both"/>
      </w:pPr>
      <w:r>
        <w:t>The SCRAs (JWH-081, JWH-210, MDMB-4en-PINACA, 5F-NPB-22, ADB-CHMICA, THJ-2201, MDMB-CHMZCA) were obtained from Sigma-Aldrich (San Louis, USA), LGC standards (Barcelona, Spain) and “Drug Control Laboratory from Valencian Community Government” (Valencia, Spain). Name, common abbreviation, molecular weight and chemical structure of the different analyzed SCRAs are summarized in Table S1. Individual stock solution at 1000 mg L</w:t>
      </w:r>
      <w:r>
        <w:rPr>
          <w:vertAlign w:val="superscript"/>
        </w:rPr>
        <w:t>-1</w:t>
      </w:r>
      <w:r>
        <w:t xml:space="preserve"> were prepared and stored at -20 ºC. Daily mixture solutions at 1 mg L</w:t>
      </w:r>
      <w:r>
        <w:rPr>
          <w:vertAlign w:val="superscript"/>
        </w:rPr>
        <w:t>-1</w:t>
      </w:r>
      <w:r>
        <w:t xml:space="preserve"> were used. </w:t>
      </w:r>
    </w:p>
    <w:p w14:paraId="071B6646" w14:textId="06C3C384" w:rsidR="00D35B24" w:rsidRPr="00D35B24" w:rsidRDefault="00D35B24" w:rsidP="00D35B24">
      <w:pPr>
        <w:spacing w:before="120" w:after="120" w:line="480" w:lineRule="auto"/>
        <w:jc w:val="both"/>
      </w:pPr>
      <w:r>
        <w:t>Milli-Q water (Millipore, Bedford, MA, USA) with a resistivity lower than 18 MΩ cm</w:t>
      </w:r>
      <w:r w:rsidR="0029362F" w:rsidRPr="0029362F">
        <w:rPr>
          <w:vertAlign w:val="superscript"/>
        </w:rPr>
        <w:t>-1</w:t>
      </w:r>
      <w:r>
        <w:t xml:space="preserve"> was used.</w:t>
      </w:r>
    </w:p>
    <w:p w14:paraId="412F48CC" w14:textId="77777777" w:rsidR="00D35B24" w:rsidRDefault="00D35B24" w:rsidP="00D35B24">
      <w:pPr>
        <w:spacing w:before="360" w:after="120" w:line="480" w:lineRule="auto"/>
        <w:jc w:val="both"/>
        <w:rPr>
          <w:i/>
          <w:iCs/>
        </w:rPr>
      </w:pPr>
      <w:r>
        <w:rPr>
          <w:i/>
          <w:iCs/>
        </w:rPr>
        <w:t>Instrumentation</w:t>
      </w:r>
    </w:p>
    <w:p w14:paraId="4E088AE2" w14:textId="77777777" w:rsidR="00D35B24" w:rsidRDefault="00D35B24" w:rsidP="00D35B24">
      <w:pPr>
        <w:spacing w:before="120" w:after="120" w:line="480" w:lineRule="auto"/>
        <w:jc w:val="both"/>
      </w:pPr>
      <w:r>
        <w:t xml:space="preserve">Analyte detection was performed using an IONSCAN-LS IMS from Smiths Detection (Morristown, NJ, USA), equipped with a 63Ni foil radioactive ionization source and IM station software (V5.389). For material characterization, scanning electron microscopy with focused ion beam (SEM-FIB) micrographs were acquired with the microscope model SCIOS 2 (ThermoFisher Scientific), which was also coupled to an energy dispersive X-ray analyser (EDAX). A transmission electron microscope (TEM) coupled to a digital camera AMT RX80 model JEM-1010 JEOL (Akishima, Japan) was employed. </w:t>
      </w:r>
      <w:r>
        <w:lastRenderedPageBreak/>
        <w:t xml:space="preserve">Powder X-ray Diffraction (p-XRD) spectra were obtained by using a D8 Advance A25 diffractometer (Bruker). Attenuated total reflection Fourier-transform infrared (FTIR) spectra were acquired on a Bruker spectrometer (Bremen, Germany) model Tensor 27, equipped with a 9 reflection diamond/ZnSe plate and DuraSamplIR II accessories (Smiths Detection Inc., Warrington, UK). </w:t>
      </w:r>
    </w:p>
    <w:p w14:paraId="10511608" w14:textId="4E90B64C" w:rsidR="00D35B24" w:rsidRDefault="00D35B24" w:rsidP="00D35B24">
      <w:pPr>
        <w:spacing w:before="480" w:after="240"/>
        <w:rPr>
          <w:i/>
          <w:iCs/>
          <w:lang w:val="en-GB"/>
        </w:rPr>
      </w:pPr>
      <w:r>
        <w:rPr>
          <w:i/>
          <w:iCs/>
        </w:rPr>
        <w:t>Paper carboxymethylation</w:t>
      </w:r>
    </w:p>
    <w:p w14:paraId="038C465B" w14:textId="4A30DB7B" w:rsidR="009C0674" w:rsidRDefault="00D35B24" w:rsidP="00D35B24">
      <w:pPr>
        <w:spacing w:before="120" w:after="240" w:line="480" w:lineRule="auto"/>
        <w:jc w:val="both"/>
      </w:pPr>
      <w:r>
        <w:t>For paper derivatization, a filter paper W1 was immersed (diameter of 70 mm) in a solution of 3.75 M sodium hydroxide for 1 min. Then, 2.9 g of sodium chloroacetate were added (final conc. 1 M) and the mixture was homogenized. The piece of paper was kept in this solution for 24 h at atmospheric conditions. After this period, the modified paper was rinsed three times with ethanol and water, respectively. Next, the carboxymethylated pa</w:t>
      </w:r>
      <w:r w:rsidR="001D0B82">
        <w:t>per was dried at 75 ºC for 8 h.</w:t>
      </w:r>
    </w:p>
    <w:p w14:paraId="553F3292" w14:textId="5F20128D" w:rsidR="009C0674" w:rsidRDefault="009C0674" w:rsidP="009C0674">
      <w:pPr>
        <w:spacing w:before="360" w:after="120" w:line="480" w:lineRule="auto"/>
        <w:jc w:val="both"/>
        <w:rPr>
          <w:b/>
          <w:bCs/>
        </w:rPr>
      </w:pPr>
      <w:r>
        <w:rPr>
          <w:b/>
          <w:bCs/>
        </w:rPr>
        <w:t>Results and D</w:t>
      </w:r>
      <w:r w:rsidRPr="009C0674">
        <w:rPr>
          <w:b/>
          <w:bCs/>
        </w:rPr>
        <w:t>iscussion</w:t>
      </w:r>
    </w:p>
    <w:p w14:paraId="6C748AD4" w14:textId="13DF5D6B" w:rsidR="009C0674" w:rsidRPr="00A948F1" w:rsidRDefault="009C0674" w:rsidP="009C0674">
      <w:pPr>
        <w:spacing w:before="120" w:after="120" w:line="480" w:lineRule="auto"/>
        <w:jc w:val="both"/>
        <w:rPr>
          <w:i/>
          <w:iCs/>
        </w:rPr>
      </w:pPr>
      <w:r w:rsidRPr="00A948F1">
        <w:rPr>
          <w:i/>
          <w:iCs/>
        </w:rPr>
        <w:t>Characterization of NH</w:t>
      </w:r>
      <w:r w:rsidRPr="00A948F1">
        <w:rPr>
          <w:i/>
          <w:iCs/>
          <w:vertAlign w:val="subscript"/>
        </w:rPr>
        <w:t>2</w:t>
      </w:r>
      <w:r w:rsidRPr="00A948F1">
        <w:rPr>
          <w:i/>
          <w:iCs/>
        </w:rPr>
        <w:t>-UiO-66@paper</w:t>
      </w:r>
    </w:p>
    <w:p w14:paraId="7DD3F0B9" w14:textId="33DAE3EB" w:rsidR="009C0674" w:rsidRDefault="009C0674" w:rsidP="009C0674">
      <w:pPr>
        <w:spacing w:before="120" w:after="120" w:line="480" w:lineRule="auto"/>
        <w:jc w:val="both"/>
      </w:pPr>
      <w:r>
        <w:t>TGA was performed from both bare MOF (red trace), bare paper (purple trace), carboxymehylated paper (purple trace) and NH</w:t>
      </w:r>
      <w:r w:rsidRPr="009C0674">
        <w:rPr>
          <w:vertAlign w:val="subscript"/>
        </w:rPr>
        <w:t>2</w:t>
      </w:r>
      <w:r>
        <w:t xml:space="preserve">-UiO-66@paper (red trace) (Figure 2B) First, the bare paper is completely destroyed around 350 ºC, which is expected due to the organic nature of the support. In contrast, the carboxymethyl cellulosic paper presented an increased thermal stability </w:t>
      </w:r>
      <w:r>
        <w:fldChar w:fldCharType="begin" w:fldLock="1"/>
      </w:r>
      <w:r w:rsidR="00412586">
        <w:instrText>ADDIN CSL_CITATION {"citationItems":[{"id":"ITEM-1","itemData":{"DOI":"10.1016/j.carbpol.2011.08.005","ISSN":"01448617","abstract":"The periodate oxidation reaction of carboxymethyl cellulose involve the primary and secondary hydroxyl groups of the pyranose ring. The reaction is accompanied by the opening of the pyranose ring and resulting product is dialdehyde carboxymethyl cellulose along with some hydrated forms. In this process the glucosidic bond becomes weaker; the formation of carboxyl groups induces a depolymerization, thus reducing the polymerization degree and the physical and mechanical strength of the material. The reaction has been has been carried out at pH 3.5, temperature 45 °C for 0.5-4 h. © 2011 Elsevier Ltd. All Rights Reserved.","author":[{"dropping-particle":"","family":"Anjali","given":"Teotia","non-dropping-particle":"","parse-names":false,"suffix":""}],"container-title":"Carbohydrate Polymers","id":"ITEM-1","issued":{"date-parts":[["2012"]]},"page":"457-460","publisher":"Elsevier Ltd.","title":"Modification of carboxymethyl cellulose through oxidation","type":"article-journal","volume":"87"},"uris":["http://www.mendeley.com/documents/?uuid=b6d5f056-1a23-4f86-8a3b-6d1690876592"]}],"mendeley":{"formattedCitation":"[1]","plainTextFormattedCitation":"[1]","previouslyFormattedCitation":"&lt;sup&gt;1&lt;/sup&gt;"},"properties":{"noteIndex":0},"schema":"https://github.com/citation-style-language/schema/raw/master/csl-citation.json"}</w:instrText>
      </w:r>
      <w:r>
        <w:fldChar w:fldCharType="separate"/>
      </w:r>
      <w:r w:rsidR="00412586" w:rsidRPr="00412586">
        <w:rPr>
          <w:noProof/>
        </w:rPr>
        <w:t>[1]</w:t>
      </w:r>
      <w:r>
        <w:fldChar w:fldCharType="end"/>
      </w:r>
      <w:r>
        <w:t>, being the first weight loss at 75 ºC (moisture) and a second big loss at 200 ºC. This later material was able to maintain up to 50 % (w/w) o</w:t>
      </w:r>
      <w:r w:rsidR="001D0B82">
        <w:t>f the initial mass over 600 ºC.</w:t>
      </w:r>
    </w:p>
    <w:p w14:paraId="39957EC0" w14:textId="77777777" w:rsidR="009C0674" w:rsidRDefault="009C0674" w:rsidP="009C0674">
      <w:pPr>
        <w:spacing w:before="120" w:after="120" w:line="480" w:lineRule="auto"/>
        <w:jc w:val="both"/>
      </w:pPr>
      <w:r>
        <w:t>On the other hand, the TGA depicts a different behaviour between the carboxymethylated paper and the NH</w:t>
      </w:r>
      <w:r>
        <w:rPr>
          <w:vertAlign w:val="subscript"/>
        </w:rPr>
        <w:t>2</w:t>
      </w:r>
      <w:r>
        <w:t xml:space="preserve">@UiO-66, which can be explained due to the presence of the MOF </w:t>
      </w:r>
      <w:r>
        <w:lastRenderedPageBreak/>
        <w:t>particles. The red trace, representing the pristine powdered NH</w:t>
      </w:r>
      <w:r>
        <w:rPr>
          <w:vertAlign w:val="subscript"/>
        </w:rPr>
        <w:t>2</w:t>
      </w:r>
      <w:r>
        <w:t>-UiO-66, shows no significant weight loss until 400 ºC, indicating the thermostability of this material. In this sense, our hypothesis revolves around the effective coating of the surface with the MOF particles by using the several active sites previously created in the carboxymethylation step. Hence, the many coordination bonds between Zr(IV) metal nodes and the –COOH residues allows the complete covering of the paper. The subsequent growth of the NH</w:t>
      </w:r>
      <w:r>
        <w:rPr>
          <w:vertAlign w:val="subscript"/>
        </w:rPr>
        <w:t>2</w:t>
      </w:r>
      <w:r>
        <w:t xml:space="preserve">-UiO-66 confers great stability to the final composite not only in terms of thermal resistance, but also towards different solvents used in this work. </w:t>
      </w:r>
    </w:p>
    <w:p w14:paraId="5B0A8DFD" w14:textId="07EF0846" w:rsidR="009C0674" w:rsidRDefault="009C0674" w:rsidP="009C0674">
      <w:pPr>
        <w:spacing w:before="120" w:after="120" w:line="480" w:lineRule="auto"/>
        <w:jc w:val="both"/>
      </w:pPr>
      <w:r>
        <w:t>Prompted by the need of stablishing an amount of MOFs onto the surface, a single device (1x1 cm) underwent EDX-ray and elemental analyses. The former (Figure S1 and S2) indicates that the Zr content is ca. 3 % wt. (n= 10), and the elemental analysis suggests a total content of N in the final device around 0.07 % wt. On the other hand, EDX from NH</w:t>
      </w:r>
      <w:r>
        <w:rPr>
          <w:vertAlign w:val="subscript"/>
        </w:rPr>
        <w:t>2</w:t>
      </w:r>
      <w:r>
        <w:t>-UiO-66 powder indicates a Zr amount of ca. 30 % and 6% of N, which is in accordance with theoretical calculations from the molecular formula (C</w:t>
      </w:r>
      <w:r>
        <w:rPr>
          <w:vertAlign w:val="subscript"/>
        </w:rPr>
        <w:t>48</w:t>
      </w:r>
      <w:r>
        <w:t>H</w:t>
      </w:r>
      <w:r>
        <w:rPr>
          <w:vertAlign w:val="subscript"/>
        </w:rPr>
        <w:t>34</w:t>
      </w:r>
      <w:r>
        <w:t>N</w:t>
      </w:r>
      <w:r>
        <w:rPr>
          <w:vertAlign w:val="subscript"/>
        </w:rPr>
        <w:t>6</w:t>
      </w:r>
      <w:r>
        <w:t>O</w:t>
      </w:r>
      <w:r>
        <w:rPr>
          <w:vertAlign w:val="subscript"/>
        </w:rPr>
        <w:t>32</w:t>
      </w:r>
      <w:r>
        <w:t>Zr</w:t>
      </w:r>
      <w:r>
        <w:rPr>
          <w:vertAlign w:val="subscript"/>
        </w:rPr>
        <w:t>6</w:t>
      </w:r>
      <w:r>
        <w:t>) 31% and 5 % for Zr and N, respectively. As it can be easily calculated, the proportion between MOF and paper can be estimated at 1/100 mass ratio. Therefore, one paper device, which weighs approximately 10.5-11.3 mg (n=25), should contain around 100 µg of NH</w:t>
      </w:r>
      <w:r>
        <w:rPr>
          <w:vertAlign w:val="subscript"/>
        </w:rPr>
        <w:t>2</w:t>
      </w:r>
      <w:r>
        <w:t>-UiO-66.</w:t>
      </w:r>
    </w:p>
    <w:p w14:paraId="5FDC1FF7" w14:textId="0B7538DA" w:rsidR="009C0674" w:rsidRDefault="009C0674" w:rsidP="009C0674">
      <w:pPr>
        <w:spacing w:before="360" w:after="120" w:line="480" w:lineRule="auto"/>
        <w:jc w:val="both"/>
      </w:pPr>
      <w:r>
        <w:rPr>
          <w:i/>
          <w:iCs/>
        </w:rPr>
        <w:t>Evaluation of thermal desorption</w:t>
      </w:r>
    </w:p>
    <w:p w14:paraId="3522AC4F" w14:textId="77777777" w:rsidR="009C0674" w:rsidRDefault="009C0674" w:rsidP="009C0674">
      <w:pPr>
        <w:spacing w:before="120" w:after="120" w:line="480" w:lineRule="auto"/>
        <w:jc w:val="both"/>
        <w:rPr>
          <w:lang w:val="en-GB"/>
        </w:rPr>
      </w:pPr>
      <w:r>
        <w:t xml:space="preserve">Thermal desorption is an extraction process based on the combination of heat and a flow of inert gas, which provides a significant concentration enhancement. It becomes a good alternative to solvent desorption because of their main advantages including increased sensitivity (since the whole sample is analyzed) and reduction of organic solvents consumption in the extraction step. However, the solid sorbent used for analyte </w:t>
      </w:r>
      <w:r>
        <w:lastRenderedPageBreak/>
        <w:t xml:space="preserve">preconcentration should be thermally stable at the high temperatures employed in the desorption process. </w:t>
      </w:r>
    </w:p>
    <w:p w14:paraId="0E3910AB" w14:textId="287848F2" w:rsidR="009C0674" w:rsidRDefault="009C0674" w:rsidP="009C0674">
      <w:pPr>
        <w:spacing w:before="120" w:after="120" w:line="480" w:lineRule="auto"/>
        <w:jc w:val="both"/>
      </w:pPr>
      <w:r>
        <w:t>Desorption temperature should be fixed as high as possible to quantitatively desorb the analytes without compromising the thermal stability of the material. Thus, further complementary studies to TGA were carried out in order to in-depth explore the thermal stability of the NH</w:t>
      </w:r>
      <w:r>
        <w:rPr>
          <w:vertAlign w:val="subscript"/>
        </w:rPr>
        <w:t>2</w:t>
      </w:r>
      <w:r>
        <w:t>-UiO-66@paper using MDMB-4en-PINACA as model compound. The effect of the desorption temperatures on the analyte signals and NH</w:t>
      </w:r>
      <w:r>
        <w:rPr>
          <w:vertAlign w:val="subscript"/>
        </w:rPr>
        <w:t>2</w:t>
      </w:r>
      <w:r>
        <w:t>-UiO-66@paper integrity was evaluated in the range between 200 and 285 ºC. The obtained r</w:t>
      </w:r>
      <w:r w:rsidR="00A948F1">
        <w:t>esults were depicted in Figure S4</w:t>
      </w:r>
      <w:r>
        <w:t xml:space="preserve">. The selection of these temperatures has been done considering the previous TGA results and the maximum temperature of the thermal desorber of the IMS instrument, which is 300 ºC. As it can be observed in Figure </w:t>
      </w:r>
      <w:r w:rsidR="00A948F1">
        <w:t>S$</w:t>
      </w:r>
      <w:r>
        <w:t xml:space="preserve">A, the higher desorption temperature, the darker the filter becomes. This fact can be matched with its TGA profile (trace green), where it can be clearly observed that at temperatures lower than 230 ºC, the material remains stable. These findings ares also supported by the digital photographs, where the colour change is appreciable at temperatures higher than 250 ºC, and with SEM micrographs (Figure S3), with a partial degradation of the MOF coating. Delve into this study, the registered data from the amount of analyte desorbed is observed in the plot of Figure </w:t>
      </w:r>
      <w:r w:rsidR="00412586">
        <w:t>S4</w:t>
      </w:r>
      <w:r>
        <w:t xml:space="preserve">A. The first interesting thing to observe is the good precision obtained by the system, which assures the feasibility of this study. Figure </w:t>
      </w:r>
      <w:r w:rsidR="00412586">
        <w:t>S4</w:t>
      </w:r>
      <w:r>
        <w:t>B showed the IMS signal obtained after the analysis of the NH</w:t>
      </w:r>
      <w:r>
        <w:rPr>
          <w:vertAlign w:val="subscript"/>
        </w:rPr>
        <w:t>2</w:t>
      </w:r>
      <w:r>
        <w:t>-UiO-66@paper at different desorption temperatures. As it can be seen, the signal of MDMB-4en-PINACA can be observed at 17.7 ms with a mobility constant value (K</w:t>
      </w:r>
      <w:r>
        <w:rPr>
          <w:vertAlign w:val="subscript"/>
        </w:rPr>
        <w:t>0</w:t>
      </w:r>
      <w:r>
        <w:t>) of 1.0024  cm</w:t>
      </w:r>
      <w:r>
        <w:rPr>
          <w:vertAlign w:val="superscript"/>
        </w:rPr>
        <w:t>2</w:t>
      </w:r>
      <w:r>
        <w:t> V</w:t>
      </w:r>
      <w:r>
        <w:rPr>
          <w:vertAlign w:val="superscript"/>
        </w:rPr>
        <w:t>-1</w:t>
      </w:r>
      <w:r>
        <w:t> s</w:t>
      </w:r>
      <w:r>
        <w:rPr>
          <w:vertAlign w:val="superscript"/>
        </w:rPr>
        <w:t>-1</w:t>
      </w:r>
      <w:r>
        <w:t xml:space="preserve">. It can be observed that, in all the cases, MDMB-4en-PINACA appears isolated. However, when desorption temperatures increased, especially at higher temperatures than 250 ºC, a massive number of signals appeared from 6 to 15 ms. Those signals were probably due to partial MOF </w:t>
      </w:r>
      <w:r>
        <w:lastRenderedPageBreak/>
        <w:t xml:space="preserve">decomposition that could result in the release of the ligand, 2-aminoterephthalic acid, and related compounds. Although, the IMS signals of MOF thermal degradation products did not overlap with that of MDMB-4en-PINACA, competitive ionization mechanisms could be observed by charge competition in the ionization region with the target molecules. For all of these facts, the desorption temperature was set at 230 ºC for further studies. It has been previously described that addition of solvents can improve thermal desorption processes from PTFE swabs </w:t>
      </w:r>
      <w:r>
        <w:fldChar w:fldCharType="begin" w:fldLock="1"/>
      </w:r>
      <w:r w:rsidR="00412586">
        <w:instrText>ADDIN CSL_CITATION {"citationItems":[{"id":"ITEM-1","itemData":{"DOI":"10.1039/c9ay02202c","ISSN":"17599679","abstract":"Thermal desorption is widely used to transfer an analyte from a solid or liquid into the gas phase, and it is an indispensable step for the on-site detection of illegal drugs via gaseous ionization methods. A polytetrafluoroethylene (PTFE) swab is a common sampling substrate due to its excellent absorbability, and it is suited for the rapid sampling of drugs on any surface. In this article, systematic evaluation of the solvent effects for the thermal desorption of illegal drugs on the PTFE swab is carried out. Four solvents, diethyl ether, methanol, water and trichloromethane, with different volatilities and polarities were studied. After sampling with the PTFE swab, different solvents were loaded onto the PTFE swab separately to compare the intensity of the product ion. Methanol was found to be the best solvent for the detection of a series of polar fentanyl drugs, while trichloromethane enhances the sensitivity of a series of nonpolar drugs by around 5-fold compared to with no solvent. The amount of solvent loaded on the PTFE swab was subsequently optimized to within 3 μL, where the sensitivity was improved by about 6-fold for furanylfentanyl. The solvent assisted thermal desorption method was successfully used to analyze marijuana leaf samples and drugs in simulated saliva. These results indicate that solvent assisted thermal desorption is very suitable for reducing drug absorption on the PTFE swab and improving the sensitivity for the detection of illegal drugs.","author":[{"dropping-particle":"","family":"Wang","given":"Weimin","non-dropping-particle":"","parse-names":false,"suffix":""},{"dropping-particle":"","family":"Xu","given":"Chuting","non-dropping-particle":"","parse-names":false,"suffix":""},{"dropping-particle":"","family":"Ruan","given":"Huiwen","non-dropping-particle":"","parse-names":false,"suffix":""},{"dropping-particle":"","family":"Li","given":"Hong","non-dropping-particle":"","parse-names":false,"suffix":""},{"dropping-particle":"","family":"Xing","given":"Yuming","non-dropping-particle":"","parse-names":false,"suffix":""},{"dropping-particle":"","family":"Hou","given":"Keyong","non-dropping-particle":"","parse-names":false,"suffix":""},{"dropping-particle":"","family":"Li","given":"Haiyang","non-dropping-particle":"","parse-names":false,"suffix":""}],"container-title":"Analytical Methods","id":"ITEM-1","issued":{"date-parts":[["2020"]]},"page":"264-271","publisher":"Royal Society of Chemistry","title":"Solvent assisted thermal desorption for the on-site detection of illegal drugs by a miniature ion trap mass spectrometer","type":"article-journal","volume":"12"},"uris":["http://www.mendeley.com/documents/?uuid=be2cb780-b6cf-4c70-94b4-b8b446692e29"]}],"mendeley":{"formattedCitation":"[2]","plainTextFormattedCitation":"[2]","previouslyFormattedCitation":"&lt;sup&gt;2&lt;/sup&gt;"},"properties":{"noteIndex":0},"schema":"https://github.com/citation-style-language/schema/raw/master/csl-citation.json"}</w:instrText>
      </w:r>
      <w:r>
        <w:fldChar w:fldCharType="separate"/>
      </w:r>
      <w:r w:rsidR="00412586" w:rsidRPr="00412586">
        <w:rPr>
          <w:noProof/>
        </w:rPr>
        <w:t>[2]</w:t>
      </w:r>
      <w:r>
        <w:fldChar w:fldCharType="end"/>
      </w:r>
      <w:r>
        <w:t>. It is based on the preconcentration effect occurred when a liquid droplet containing analyte/s contacts a solid surface with a temperature much higher than the boiling temperature of the liquid. At the last moment of liquid evaporation, those analytes are desorbed from the tiny droplet with assistance from explosive solvent evaporation. Thus, the effect of the addition of 5 µL of different solvents on the thermal desorption of SCRAs from NH</w:t>
      </w:r>
      <w:r>
        <w:rPr>
          <w:vertAlign w:val="subscript"/>
        </w:rPr>
        <w:t>2</w:t>
      </w:r>
      <w:r>
        <w:t>-UiO-66@paper has been evaluated using MDMB-4en-PINACA (50 ng) as model compound. In all the cases, no analyte peak was observed during the smooth solvent evaporation process and MDMB-4en-PINACA appeared as a quite sharp peak, at 17.7 ms desorption time, probably corresponding to the explosive solvent evaporation event. In this sense, the enrichment factor can be estimated as 33-fold (100 µL of loading volume divided 3 µL of assistant solvent) multiplied by recoveries values (77% in average), giving values around 25 times.</w:t>
      </w:r>
    </w:p>
    <w:p w14:paraId="3E412BEA" w14:textId="1B0D0C33" w:rsidR="009C0674" w:rsidRDefault="00A948F1" w:rsidP="009C0674">
      <w:pPr>
        <w:spacing w:before="120" w:after="120" w:line="480" w:lineRule="auto"/>
        <w:jc w:val="both"/>
      </w:pPr>
      <w:r>
        <w:t>As it can be seen in Figure S5</w:t>
      </w:r>
      <w:r w:rsidR="009C0674">
        <w:t>A, IMS signals were doubled when 5 µL of acetonitrile or acetone were injected onto the NH</w:t>
      </w:r>
      <w:r w:rsidR="009C0674">
        <w:rPr>
          <w:vertAlign w:val="subscript"/>
        </w:rPr>
        <w:t>2</w:t>
      </w:r>
      <w:r w:rsidR="009C0674">
        <w:t>-UiO-66@paper before thermal desorption compared to the direct analysis of the NH</w:t>
      </w:r>
      <w:r w:rsidR="009C0674">
        <w:rPr>
          <w:vertAlign w:val="subscript"/>
        </w:rPr>
        <w:t>2</w:t>
      </w:r>
      <w:r w:rsidR="009C0674">
        <w:t>-UiO-66@paper.</w:t>
      </w:r>
    </w:p>
    <w:p w14:paraId="47A602EF" w14:textId="74CC2A15" w:rsidR="009C0674" w:rsidRDefault="009C0674" w:rsidP="009C0674">
      <w:pPr>
        <w:spacing w:before="120" w:after="120" w:line="480" w:lineRule="auto"/>
        <w:jc w:val="both"/>
        <w:rPr>
          <w:lang w:val="en-GB"/>
        </w:rPr>
      </w:pPr>
    </w:p>
    <w:p w14:paraId="09E9081A" w14:textId="4CBAE950" w:rsidR="00D35B24" w:rsidRPr="009C0674" w:rsidRDefault="00D35B24" w:rsidP="009C0674">
      <w:pPr>
        <w:spacing w:before="360" w:after="360" w:line="480" w:lineRule="auto"/>
        <w:jc w:val="both"/>
        <w:rPr>
          <w:rFonts w:cs="Times New Roman"/>
          <w:b/>
          <w:bCs/>
          <w:lang w:val="en-GB" w:eastAsia="es-ES"/>
        </w:rPr>
      </w:pPr>
      <w:r w:rsidRPr="009C0674">
        <w:rPr>
          <w:rFonts w:cs="Times New Roman"/>
          <w:b/>
          <w:bCs/>
          <w:lang w:val="en-GB" w:eastAsia="es-ES"/>
        </w:rPr>
        <w:br w:type="page"/>
      </w:r>
    </w:p>
    <w:p w14:paraId="1B75128E" w14:textId="104388F0" w:rsidR="005D6E5A" w:rsidRPr="00AD25DA" w:rsidRDefault="005D6E5A" w:rsidP="005D6E5A">
      <w:pPr>
        <w:jc w:val="both"/>
        <w:rPr>
          <w:rFonts w:cs="Times New Roman"/>
        </w:rPr>
      </w:pPr>
      <w:r w:rsidRPr="005607F0">
        <w:rPr>
          <w:rFonts w:cs="Times New Roman"/>
          <w:b/>
          <w:lang w:val="en-GB" w:eastAsia="es-ES"/>
        </w:rPr>
        <w:lastRenderedPageBreak/>
        <w:t>Table S1.</w:t>
      </w:r>
      <w:r w:rsidRPr="005607F0">
        <w:rPr>
          <w:rFonts w:cs="Times New Roman"/>
          <w:lang w:val="en-GB" w:eastAsia="es-ES"/>
        </w:rPr>
        <w:t xml:space="preserve"> Physico-chemical</w:t>
      </w:r>
      <w:r w:rsidRPr="00AD25DA">
        <w:rPr>
          <w:rFonts w:cs="Times New Roman"/>
          <w:lang w:val="en-GB" w:eastAsia="es-ES"/>
        </w:rPr>
        <w:t xml:space="preserve"> parameters and molecular s</w:t>
      </w:r>
      <w:r w:rsidRPr="00AD25DA">
        <w:rPr>
          <w:rFonts w:cs="Times New Roman"/>
          <w:lang w:eastAsia="es-ES"/>
        </w:rPr>
        <w:t xml:space="preserve">tructures of the studied analytes. </w:t>
      </w:r>
    </w:p>
    <w:tbl>
      <w:tblPr>
        <w:tblStyle w:val="Tablaconcuadrcula"/>
        <w:tblW w:w="74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7"/>
        <w:gridCol w:w="2771"/>
        <w:gridCol w:w="1382"/>
        <w:gridCol w:w="796"/>
        <w:gridCol w:w="930"/>
      </w:tblGrid>
      <w:tr w:rsidR="00A85A87" w:rsidRPr="006F400C" w14:paraId="38E3FD62" w14:textId="77777777" w:rsidTr="00D76E42">
        <w:trPr>
          <w:trHeight w:val="502"/>
          <w:jc w:val="center"/>
        </w:trPr>
        <w:tc>
          <w:tcPr>
            <w:tcW w:w="1667" w:type="dxa"/>
            <w:tcBorders>
              <w:top w:val="single" w:sz="4" w:space="0" w:color="auto"/>
              <w:left w:val="nil"/>
              <w:bottom w:val="single" w:sz="4" w:space="0" w:color="auto"/>
              <w:right w:val="nil"/>
            </w:tcBorders>
            <w:vAlign w:val="center"/>
            <w:hideMark/>
          </w:tcPr>
          <w:p w14:paraId="75559013" w14:textId="77777777" w:rsidR="00A85A87" w:rsidRPr="006F400C" w:rsidRDefault="00A85A87" w:rsidP="00D5293B">
            <w:pPr>
              <w:spacing w:after="120" w:line="240" w:lineRule="auto"/>
              <w:jc w:val="center"/>
              <w:rPr>
                <w:rFonts w:cs="Times New Roman"/>
                <w:b/>
                <w:sz w:val="22"/>
                <w:szCs w:val="24"/>
                <w:lang w:eastAsia="es-ES"/>
              </w:rPr>
            </w:pPr>
            <w:r>
              <w:rPr>
                <w:rFonts w:cs="Times New Roman"/>
                <w:b/>
                <w:sz w:val="22"/>
                <w:szCs w:val="24"/>
                <w:lang w:eastAsia="es-ES"/>
              </w:rPr>
              <w:t>Analytes</w:t>
            </w:r>
          </w:p>
        </w:tc>
        <w:tc>
          <w:tcPr>
            <w:tcW w:w="2831" w:type="dxa"/>
            <w:tcBorders>
              <w:top w:val="single" w:sz="4" w:space="0" w:color="auto"/>
              <w:left w:val="nil"/>
              <w:bottom w:val="single" w:sz="4" w:space="0" w:color="auto"/>
              <w:right w:val="nil"/>
            </w:tcBorders>
            <w:vAlign w:val="center"/>
            <w:hideMark/>
          </w:tcPr>
          <w:p w14:paraId="6E851579" w14:textId="77777777" w:rsidR="00A85A87" w:rsidRPr="006F400C" w:rsidRDefault="00A85A87" w:rsidP="00D5293B">
            <w:pPr>
              <w:spacing w:after="120" w:line="240" w:lineRule="auto"/>
              <w:jc w:val="center"/>
              <w:rPr>
                <w:rFonts w:cs="Times New Roman"/>
                <w:b/>
                <w:sz w:val="22"/>
                <w:szCs w:val="24"/>
                <w:lang w:eastAsia="es-ES"/>
              </w:rPr>
            </w:pPr>
            <w:r>
              <w:rPr>
                <w:rFonts w:cs="Times New Roman"/>
                <w:b/>
                <w:sz w:val="22"/>
                <w:szCs w:val="24"/>
                <w:lang w:eastAsia="es-ES"/>
              </w:rPr>
              <w:t>Molecular s</w:t>
            </w:r>
            <w:r w:rsidRPr="006F400C">
              <w:rPr>
                <w:rFonts w:cs="Times New Roman"/>
                <w:b/>
                <w:sz w:val="22"/>
                <w:szCs w:val="24"/>
                <w:lang w:eastAsia="es-ES"/>
              </w:rPr>
              <w:t>tructure</w:t>
            </w:r>
          </w:p>
        </w:tc>
        <w:tc>
          <w:tcPr>
            <w:tcW w:w="1218" w:type="dxa"/>
            <w:tcBorders>
              <w:top w:val="single" w:sz="4" w:space="0" w:color="auto"/>
              <w:left w:val="nil"/>
              <w:bottom w:val="single" w:sz="4" w:space="0" w:color="auto"/>
              <w:right w:val="nil"/>
            </w:tcBorders>
            <w:vAlign w:val="center"/>
          </w:tcPr>
          <w:p w14:paraId="7AABD16A" w14:textId="4517C4B6" w:rsidR="00A85A87" w:rsidRPr="006F400C" w:rsidRDefault="00A85A87" w:rsidP="00A85A87">
            <w:pPr>
              <w:spacing w:after="0" w:line="240" w:lineRule="auto"/>
              <w:jc w:val="center"/>
              <w:rPr>
                <w:rFonts w:cs="Times New Roman"/>
                <w:b/>
                <w:sz w:val="22"/>
                <w:szCs w:val="24"/>
                <w:lang w:eastAsia="es-ES"/>
              </w:rPr>
            </w:pPr>
            <w:r>
              <w:rPr>
                <w:rFonts w:cs="Times New Roman"/>
                <w:b/>
                <w:sz w:val="22"/>
                <w:szCs w:val="24"/>
                <w:lang w:eastAsia="es-ES"/>
              </w:rPr>
              <w:t>Chemical formula</w:t>
            </w:r>
          </w:p>
        </w:tc>
        <w:tc>
          <w:tcPr>
            <w:tcW w:w="817" w:type="dxa"/>
            <w:tcBorders>
              <w:top w:val="single" w:sz="4" w:space="0" w:color="auto"/>
              <w:left w:val="nil"/>
              <w:bottom w:val="single" w:sz="4" w:space="0" w:color="auto"/>
              <w:right w:val="nil"/>
            </w:tcBorders>
            <w:vAlign w:val="center"/>
            <w:hideMark/>
          </w:tcPr>
          <w:p w14:paraId="3A5455C4" w14:textId="271C1058" w:rsidR="00A85A87" w:rsidRPr="006F400C" w:rsidRDefault="00A85A87" w:rsidP="00D5293B">
            <w:pPr>
              <w:spacing w:after="0" w:line="240" w:lineRule="auto"/>
              <w:jc w:val="center"/>
              <w:rPr>
                <w:rFonts w:cs="Times New Roman"/>
                <w:b/>
                <w:sz w:val="22"/>
                <w:szCs w:val="24"/>
                <w:lang w:val="en-GB" w:eastAsia="es-ES"/>
              </w:rPr>
            </w:pPr>
            <w:r w:rsidRPr="006F400C">
              <w:rPr>
                <w:rFonts w:cs="Times New Roman"/>
                <w:b/>
                <w:sz w:val="22"/>
                <w:szCs w:val="24"/>
                <w:lang w:eastAsia="es-ES"/>
              </w:rPr>
              <w:t>Log P</w:t>
            </w:r>
            <w:r w:rsidRPr="006F400C">
              <w:rPr>
                <w:rFonts w:cs="Times New Roman"/>
                <w:b/>
                <w:sz w:val="22"/>
                <w:szCs w:val="24"/>
                <w:vertAlign w:val="subscript"/>
                <w:lang w:eastAsia="es-ES"/>
              </w:rPr>
              <w:t>O/W</w:t>
            </w:r>
            <w:r w:rsidRPr="006F400C">
              <w:rPr>
                <w:rFonts w:cs="Times New Roman"/>
                <w:b/>
                <w:sz w:val="22"/>
                <w:szCs w:val="24"/>
                <w:vertAlign w:val="superscript"/>
                <w:lang w:eastAsia="es-ES"/>
              </w:rPr>
              <w:t>a</w:t>
            </w:r>
          </w:p>
        </w:tc>
        <w:tc>
          <w:tcPr>
            <w:tcW w:w="963" w:type="dxa"/>
            <w:tcBorders>
              <w:top w:val="single" w:sz="4" w:space="0" w:color="auto"/>
              <w:left w:val="nil"/>
              <w:bottom w:val="single" w:sz="4" w:space="0" w:color="auto"/>
              <w:right w:val="nil"/>
            </w:tcBorders>
            <w:vAlign w:val="center"/>
          </w:tcPr>
          <w:p w14:paraId="1C2FB587" w14:textId="77777777" w:rsidR="00A85A87" w:rsidRDefault="00A85A87" w:rsidP="005D6E5A">
            <w:pPr>
              <w:spacing w:after="0" w:line="240" w:lineRule="auto"/>
              <w:ind w:hanging="20"/>
              <w:jc w:val="center"/>
              <w:rPr>
                <w:rFonts w:cs="Times New Roman"/>
                <w:b/>
                <w:sz w:val="22"/>
                <w:szCs w:val="24"/>
                <w:lang w:eastAsia="es-ES"/>
              </w:rPr>
            </w:pPr>
            <w:r w:rsidRPr="006F400C">
              <w:rPr>
                <w:rFonts w:cs="Times New Roman"/>
                <w:b/>
                <w:sz w:val="22"/>
                <w:szCs w:val="24"/>
                <w:lang w:eastAsia="es-ES"/>
              </w:rPr>
              <w:t>Mw</w:t>
            </w:r>
            <w:r>
              <w:rPr>
                <w:rFonts w:cs="Times New Roman"/>
                <w:b/>
                <w:sz w:val="22"/>
                <w:szCs w:val="24"/>
                <w:lang w:eastAsia="es-ES"/>
              </w:rPr>
              <w:t xml:space="preserve"> </w:t>
            </w:r>
          </w:p>
          <w:p w14:paraId="506B2129" w14:textId="6D53CD0A" w:rsidR="00A85A87" w:rsidRPr="006F400C" w:rsidRDefault="00A85A87" w:rsidP="005D6E5A">
            <w:pPr>
              <w:spacing w:after="120" w:line="240" w:lineRule="auto"/>
              <w:jc w:val="center"/>
              <w:rPr>
                <w:rFonts w:cs="Times New Roman"/>
                <w:b/>
                <w:sz w:val="22"/>
                <w:szCs w:val="24"/>
                <w:lang w:eastAsia="es-ES"/>
              </w:rPr>
            </w:pPr>
            <w:r>
              <w:rPr>
                <w:rFonts w:cs="Times New Roman"/>
                <w:b/>
                <w:sz w:val="22"/>
                <w:szCs w:val="24"/>
                <w:lang w:eastAsia="es-ES"/>
              </w:rPr>
              <w:t>(g mol</w:t>
            </w:r>
            <w:r w:rsidRPr="00C00E45">
              <w:rPr>
                <w:rFonts w:cs="Times New Roman"/>
                <w:b/>
                <w:sz w:val="22"/>
                <w:szCs w:val="24"/>
                <w:vertAlign w:val="superscript"/>
                <w:lang w:eastAsia="es-ES"/>
              </w:rPr>
              <w:t>-1</w:t>
            </w:r>
            <w:r>
              <w:rPr>
                <w:rFonts w:cs="Times New Roman"/>
                <w:b/>
                <w:sz w:val="22"/>
                <w:szCs w:val="24"/>
                <w:lang w:eastAsia="es-ES"/>
              </w:rPr>
              <w:t>)</w:t>
            </w:r>
          </w:p>
        </w:tc>
      </w:tr>
      <w:tr w:rsidR="00A85A87" w:rsidRPr="006F400C" w14:paraId="2313E101" w14:textId="77777777" w:rsidTr="00D76E42">
        <w:trPr>
          <w:trHeight w:val="1847"/>
          <w:jc w:val="center"/>
        </w:trPr>
        <w:tc>
          <w:tcPr>
            <w:tcW w:w="1667" w:type="dxa"/>
            <w:tcBorders>
              <w:top w:val="single" w:sz="4" w:space="0" w:color="auto"/>
              <w:left w:val="nil"/>
              <w:bottom w:val="nil"/>
              <w:right w:val="nil"/>
            </w:tcBorders>
            <w:vAlign w:val="center"/>
            <w:hideMark/>
          </w:tcPr>
          <w:p w14:paraId="1D7C6A20" w14:textId="511AAD7C" w:rsidR="00A85A87" w:rsidRPr="006F400C" w:rsidRDefault="00A85A87" w:rsidP="00D5293B">
            <w:pPr>
              <w:spacing w:after="0" w:line="240" w:lineRule="auto"/>
              <w:jc w:val="center"/>
              <w:rPr>
                <w:rFonts w:cs="Times New Roman"/>
                <w:sz w:val="22"/>
                <w:szCs w:val="24"/>
                <w:highlight w:val="yellow"/>
                <w:lang w:val="en-GB"/>
              </w:rPr>
            </w:pPr>
            <w:r w:rsidRPr="005D6E5A">
              <w:rPr>
                <w:rFonts w:cs="Times New Roman"/>
                <w:sz w:val="22"/>
                <w:szCs w:val="24"/>
              </w:rPr>
              <w:t>JWH-081</w:t>
            </w:r>
          </w:p>
        </w:tc>
        <w:tc>
          <w:tcPr>
            <w:tcW w:w="2831" w:type="dxa"/>
            <w:tcBorders>
              <w:top w:val="single" w:sz="4" w:space="0" w:color="auto"/>
              <w:left w:val="nil"/>
              <w:bottom w:val="nil"/>
              <w:right w:val="nil"/>
            </w:tcBorders>
            <w:vAlign w:val="center"/>
            <w:hideMark/>
          </w:tcPr>
          <w:p w14:paraId="49001914" w14:textId="77C926B0" w:rsidR="00A85A87" w:rsidRPr="006F400C" w:rsidRDefault="00D76E42" w:rsidP="00D5293B">
            <w:pPr>
              <w:spacing w:after="0" w:line="240" w:lineRule="auto"/>
              <w:jc w:val="center"/>
              <w:rPr>
                <w:rFonts w:cs="Times New Roman"/>
                <w:sz w:val="22"/>
                <w:szCs w:val="24"/>
                <w:lang w:val="en-GB"/>
              </w:rPr>
            </w:pPr>
            <w:r>
              <w:object w:dxaOrig="4628" w:dyaOrig="4827" w14:anchorId="205A4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9pt;height:92.2pt" o:ole="">
                  <v:imagedata r:id="rId9" o:title=""/>
                </v:shape>
                <o:OLEObject Type="Embed" ProgID="ChemDraw.Document.6.0" ShapeID="_x0000_i1025" DrawAspect="Content" ObjectID="_1745678687" r:id="rId10"/>
              </w:object>
            </w:r>
          </w:p>
        </w:tc>
        <w:tc>
          <w:tcPr>
            <w:tcW w:w="1218" w:type="dxa"/>
            <w:tcBorders>
              <w:top w:val="single" w:sz="4" w:space="0" w:color="auto"/>
              <w:left w:val="nil"/>
              <w:bottom w:val="nil"/>
              <w:right w:val="nil"/>
            </w:tcBorders>
            <w:vAlign w:val="center"/>
          </w:tcPr>
          <w:p w14:paraId="54330FCC" w14:textId="12B51862" w:rsidR="00A85A87" w:rsidRPr="006F400C" w:rsidRDefault="00A85A87" w:rsidP="00A85A87">
            <w:pPr>
              <w:spacing w:after="0" w:line="240" w:lineRule="auto"/>
              <w:jc w:val="center"/>
              <w:rPr>
                <w:rFonts w:cs="Times New Roman"/>
                <w:sz w:val="22"/>
                <w:szCs w:val="24"/>
                <w:lang w:val="en-GB"/>
              </w:rPr>
            </w:pPr>
            <w:r w:rsidRPr="00A85A87">
              <w:rPr>
                <w:rFonts w:cs="Times New Roman"/>
                <w:sz w:val="22"/>
                <w:szCs w:val="24"/>
                <w:lang w:val="en-GB"/>
              </w:rPr>
              <w:t>C</w:t>
            </w:r>
            <w:r w:rsidRPr="00A85A87">
              <w:rPr>
                <w:rFonts w:cs="Times New Roman"/>
                <w:sz w:val="22"/>
                <w:szCs w:val="24"/>
                <w:vertAlign w:val="subscript"/>
                <w:lang w:val="en-GB"/>
              </w:rPr>
              <w:t>25</w:t>
            </w:r>
            <w:r w:rsidRPr="00A85A87">
              <w:rPr>
                <w:rFonts w:cs="Times New Roman"/>
                <w:sz w:val="22"/>
                <w:szCs w:val="24"/>
                <w:lang w:val="en-GB"/>
              </w:rPr>
              <w:t>H</w:t>
            </w:r>
            <w:r w:rsidRPr="00A85A87">
              <w:rPr>
                <w:rFonts w:cs="Times New Roman"/>
                <w:sz w:val="22"/>
                <w:szCs w:val="24"/>
                <w:vertAlign w:val="subscript"/>
                <w:lang w:val="en-GB"/>
              </w:rPr>
              <w:t>25</w:t>
            </w:r>
            <w:r w:rsidRPr="00A85A87">
              <w:rPr>
                <w:rFonts w:cs="Times New Roman"/>
                <w:sz w:val="22"/>
                <w:szCs w:val="24"/>
                <w:lang w:val="en-GB"/>
              </w:rPr>
              <w:t>NO</w:t>
            </w:r>
            <w:r w:rsidRPr="00A85A87">
              <w:rPr>
                <w:rFonts w:cs="Times New Roman"/>
                <w:sz w:val="22"/>
                <w:szCs w:val="24"/>
                <w:vertAlign w:val="subscript"/>
                <w:lang w:val="en-GB"/>
              </w:rPr>
              <w:t>2</w:t>
            </w:r>
          </w:p>
        </w:tc>
        <w:tc>
          <w:tcPr>
            <w:tcW w:w="817" w:type="dxa"/>
            <w:tcBorders>
              <w:top w:val="single" w:sz="4" w:space="0" w:color="auto"/>
              <w:left w:val="nil"/>
              <w:bottom w:val="nil"/>
              <w:right w:val="nil"/>
            </w:tcBorders>
            <w:vAlign w:val="center"/>
          </w:tcPr>
          <w:p w14:paraId="540FF94D" w14:textId="321E4CEE" w:rsidR="00A85A87" w:rsidRPr="00A85A87" w:rsidRDefault="00A85A87" w:rsidP="00D5293B">
            <w:pPr>
              <w:spacing w:after="0" w:line="240" w:lineRule="auto"/>
              <w:jc w:val="center"/>
              <w:rPr>
                <w:rFonts w:asciiTheme="majorBidi" w:hAnsiTheme="majorBidi" w:cstheme="majorBidi"/>
                <w:sz w:val="22"/>
                <w:szCs w:val="24"/>
                <w:lang w:val="en-GB"/>
              </w:rPr>
            </w:pPr>
            <w:r>
              <w:rPr>
                <w:rFonts w:asciiTheme="majorBidi" w:hAnsiTheme="majorBidi" w:cstheme="majorBidi"/>
                <w:sz w:val="22"/>
                <w:szCs w:val="24"/>
                <w:lang w:val="en-GB"/>
              </w:rPr>
              <w:t>-</w:t>
            </w:r>
          </w:p>
        </w:tc>
        <w:tc>
          <w:tcPr>
            <w:tcW w:w="963" w:type="dxa"/>
            <w:tcBorders>
              <w:top w:val="single" w:sz="4" w:space="0" w:color="auto"/>
              <w:left w:val="nil"/>
              <w:bottom w:val="nil"/>
              <w:right w:val="nil"/>
            </w:tcBorders>
            <w:vAlign w:val="center"/>
          </w:tcPr>
          <w:p w14:paraId="03DBD1FF" w14:textId="78DB7D70" w:rsidR="00A85A87" w:rsidRPr="00A85A87" w:rsidRDefault="00A85A87" w:rsidP="00D5293B">
            <w:pPr>
              <w:spacing w:after="0" w:line="240" w:lineRule="auto"/>
              <w:jc w:val="center"/>
              <w:rPr>
                <w:rFonts w:asciiTheme="majorBidi" w:hAnsiTheme="majorBidi" w:cstheme="majorBidi"/>
                <w:sz w:val="22"/>
                <w:szCs w:val="24"/>
              </w:rPr>
            </w:pPr>
            <w:r w:rsidRPr="00A85A87">
              <w:rPr>
                <w:rFonts w:asciiTheme="majorBidi" w:hAnsiTheme="majorBidi" w:cstheme="majorBidi"/>
                <w:color w:val="000000"/>
                <w:sz w:val="21"/>
                <w:szCs w:val="21"/>
                <w:shd w:val="clear" w:color="auto" w:fill="FFFFFF"/>
              </w:rPr>
              <w:t>371.46</w:t>
            </w:r>
          </w:p>
        </w:tc>
      </w:tr>
      <w:tr w:rsidR="00A85A87" w:rsidRPr="006F400C" w14:paraId="0C4EAE78" w14:textId="77777777" w:rsidTr="00D76E42">
        <w:trPr>
          <w:trHeight w:val="1625"/>
          <w:jc w:val="center"/>
        </w:trPr>
        <w:tc>
          <w:tcPr>
            <w:tcW w:w="1667" w:type="dxa"/>
            <w:vAlign w:val="center"/>
            <w:hideMark/>
          </w:tcPr>
          <w:p w14:paraId="4CABB423" w14:textId="550A6793" w:rsidR="00A85A87" w:rsidRPr="006F400C" w:rsidRDefault="00A85A87" w:rsidP="00D5293B">
            <w:pPr>
              <w:spacing w:after="0" w:line="240" w:lineRule="auto"/>
              <w:jc w:val="center"/>
              <w:rPr>
                <w:rFonts w:cs="Times New Roman"/>
                <w:sz w:val="22"/>
                <w:szCs w:val="24"/>
                <w:highlight w:val="yellow"/>
                <w:lang w:val="en-GB"/>
              </w:rPr>
            </w:pPr>
            <w:r w:rsidRPr="005D6E5A">
              <w:rPr>
                <w:rFonts w:cs="Times New Roman"/>
                <w:sz w:val="22"/>
                <w:szCs w:val="24"/>
              </w:rPr>
              <w:t>JWH-210</w:t>
            </w:r>
          </w:p>
        </w:tc>
        <w:tc>
          <w:tcPr>
            <w:tcW w:w="2831" w:type="dxa"/>
            <w:vAlign w:val="center"/>
            <w:hideMark/>
          </w:tcPr>
          <w:p w14:paraId="722A7535" w14:textId="3C69758E" w:rsidR="00A85A87" w:rsidRPr="006F400C" w:rsidRDefault="00D76E42" w:rsidP="00D5293B">
            <w:pPr>
              <w:spacing w:after="0" w:line="240" w:lineRule="auto"/>
              <w:jc w:val="center"/>
              <w:rPr>
                <w:rFonts w:cs="Times New Roman"/>
                <w:sz w:val="22"/>
                <w:szCs w:val="24"/>
                <w:lang w:val="en-GB"/>
              </w:rPr>
            </w:pPr>
            <w:r>
              <w:object w:dxaOrig="5734" w:dyaOrig="4702" w14:anchorId="0CF86E06">
                <v:shape id="_x0000_i1026" type="#_x0000_t75" style="width:115.1pt;height:94.9pt" o:ole="">
                  <v:imagedata r:id="rId11" o:title=""/>
                </v:shape>
                <o:OLEObject Type="Embed" ProgID="ChemDraw.Document.6.0" ShapeID="_x0000_i1026" DrawAspect="Content" ObjectID="_1745678688" r:id="rId12"/>
              </w:object>
            </w:r>
          </w:p>
        </w:tc>
        <w:tc>
          <w:tcPr>
            <w:tcW w:w="1218" w:type="dxa"/>
            <w:vAlign w:val="center"/>
          </w:tcPr>
          <w:p w14:paraId="6AD20425" w14:textId="0C1E541E" w:rsidR="00A85A87" w:rsidRPr="006F400C" w:rsidRDefault="00A85A87" w:rsidP="00A85A87">
            <w:pPr>
              <w:spacing w:after="0" w:line="240" w:lineRule="auto"/>
              <w:jc w:val="center"/>
              <w:rPr>
                <w:rFonts w:cs="Times New Roman"/>
                <w:sz w:val="22"/>
                <w:szCs w:val="24"/>
                <w:lang w:val="en-GB"/>
              </w:rPr>
            </w:pPr>
            <w:r w:rsidRPr="00A85A87">
              <w:rPr>
                <w:rFonts w:cs="Times New Roman"/>
                <w:sz w:val="22"/>
                <w:szCs w:val="24"/>
                <w:lang w:val="en-GB"/>
              </w:rPr>
              <w:t>C</w:t>
            </w:r>
            <w:r w:rsidRPr="00A85A87">
              <w:rPr>
                <w:rFonts w:cs="Times New Roman"/>
                <w:sz w:val="22"/>
                <w:szCs w:val="24"/>
                <w:vertAlign w:val="subscript"/>
                <w:lang w:val="en-GB"/>
              </w:rPr>
              <w:t>26</w:t>
            </w:r>
            <w:r w:rsidRPr="00A85A87">
              <w:rPr>
                <w:rFonts w:cs="Times New Roman"/>
                <w:sz w:val="22"/>
                <w:szCs w:val="24"/>
                <w:lang w:val="en-GB"/>
              </w:rPr>
              <w:t>H</w:t>
            </w:r>
            <w:r w:rsidRPr="00A85A87">
              <w:rPr>
                <w:rFonts w:cs="Times New Roman"/>
                <w:sz w:val="22"/>
                <w:szCs w:val="24"/>
                <w:vertAlign w:val="subscript"/>
                <w:lang w:val="en-GB"/>
              </w:rPr>
              <w:t>27</w:t>
            </w:r>
            <w:r w:rsidRPr="00A85A87">
              <w:rPr>
                <w:rFonts w:cs="Times New Roman"/>
                <w:sz w:val="22"/>
                <w:szCs w:val="24"/>
                <w:lang w:val="en-GB"/>
              </w:rPr>
              <w:t>NO</w:t>
            </w:r>
          </w:p>
        </w:tc>
        <w:tc>
          <w:tcPr>
            <w:tcW w:w="817" w:type="dxa"/>
            <w:vAlign w:val="center"/>
          </w:tcPr>
          <w:p w14:paraId="5422A515" w14:textId="2D544098" w:rsidR="00A85A87" w:rsidRPr="006F400C" w:rsidRDefault="00A85A87" w:rsidP="00D5293B">
            <w:pPr>
              <w:spacing w:after="0" w:line="240" w:lineRule="auto"/>
              <w:jc w:val="center"/>
              <w:rPr>
                <w:rFonts w:cs="Times New Roman"/>
                <w:sz w:val="22"/>
                <w:szCs w:val="24"/>
                <w:lang w:val="en-GB"/>
              </w:rPr>
            </w:pPr>
            <w:r>
              <w:rPr>
                <w:rFonts w:cs="Times New Roman"/>
                <w:sz w:val="22"/>
                <w:szCs w:val="24"/>
                <w:lang w:val="en-GB"/>
              </w:rPr>
              <w:t>7.5</w:t>
            </w:r>
          </w:p>
        </w:tc>
        <w:tc>
          <w:tcPr>
            <w:tcW w:w="963" w:type="dxa"/>
            <w:vAlign w:val="center"/>
          </w:tcPr>
          <w:p w14:paraId="5023E680" w14:textId="27D57E11" w:rsidR="00A85A87" w:rsidRPr="006F400C" w:rsidRDefault="00A85A87" w:rsidP="00D5293B">
            <w:pPr>
              <w:spacing w:after="0" w:line="240" w:lineRule="auto"/>
              <w:jc w:val="center"/>
              <w:rPr>
                <w:rFonts w:cs="Times New Roman"/>
                <w:sz w:val="22"/>
                <w:szCs w:val="24"/>
              </w:rPr>
            </w:pPr>
            <w:r>
              <w:rPr>
                <w:rFonts w:cs="Times New Roman"/>
                <w:sz w:val="22"/>
                <w:szCs w:val="24"/>
              </w:rPr>
              <w:t>369.5</w:t>
            </w:r>
          </w:p>
        </w:tc>
      </w:tr>
      <w:tr w:rsidR="00A85A87" w:rsidRPr="006F400C" w14:paraId="78F31879" w14:textId="77777777" w:rsidTr="00D76E42">
        <w:trPr>
          <w:trHeight w:val="1702"/>
          <w:jc w:val="center"/>
        </w:trPr>
        <w:tc>
          <w:tcPr>
            <w:tcW w:w="1667" w:type="dxa"/>
            <w:tcBorders>
              <w:top w:val="nil"/>
              <w:left w:val="nil"/>
              <w:bottom w:val="nil"/>
              <w:right w:val="nil"/>
            </w:tcBorders>
            <w:vAlign w:val="center"/>
            <w:hideMark/>
          </w:tcPr>
          <w:p w14:paraId="4187EFA2" w14:textId="395EE759" w:rsidR="00A85A87" w:rsidRPr="006F400C" w:rsidRDefault="00A85A87" w:rsidP="005D6E5A">
            <w:pPr>
              <w:spacing w:after="0" w:line="240" w:lineRule="auto"/>
              <w:jc w:val="center"/>
              <w:rPr>
                <w:rFonts w:cs="Times New Roman"/>
                <w:sz w:val="22"/>
                <w:szCs w:val="24"/>
                <w:highlight w:val="yellow"/>
                <w:lang w:val="en-GB"/>
              </w:rPr>
            </w:pPr>
            <w:r w:rsidRPr="005D6E5A">
              <w:rPr>
                <w:rFonts w:cs="Times New Roman"/>
                <w:sz w:val="22"/>
                <w:szCs w:val="24"/>
              </w:rPr>
              <w:t>MDMB-4en-PINACA</w:t>
            </w:r>
          </w:p>
        </w:tc>
        <w:tc>
          <w:tcPr>
            <w:tcW w:w="2831" w:type="dxa"/>
            <w:tcBorders>
              <w:top w:val="nil"/>
              <w:left w:val="nil"/>
              <w:bottom w:val="nil"/>
              <w:right w:val="nil"/>
            </w:tcBorders>
            <w:vAlign w:val="center"/>
            <w:hideMark/>
          </w:tcPr>
          <w:p w14:paraId="170102FB" w14:textId="728902A0" w:rsidR="00A85A87" w:rsidRPr="006F400C" w:rsidRDefault="00A85A87" w:rsidP="005D6E5A">
            <w:pPr>
              <w:spacing w:after="0" w:line="240" w:lineRule="auto"/>
              <w:jc w:val="center"/>
              <w:rPr>
                <w:rFonts w:cs="Times New Roman"/>
                <w:sz w:val="22"/>
                <w:szCs w:val="24"/>
                <w:highlight w:val="yellow"/>
                <w:lang w:val="en-GB"/>
              </w:rPr>
            </w:pPr>
            <w:r>
              <w:rPr>
                <w:noProof/>
                <w:lang w:val="es-ES" w:eastAsia="es-ES" w:bidi="bo-CN"/>
              </w:rPr>
              <w:drawing>
                <wp:inline distT="0" distB="0" distL="0" distR="0" wp14:anchorId="0D36B262" wp14:editId="727738FA">
                  <wp:extent cx="1126399" cy="993421"/>
                  <wp:effectExtent l="0" t="0" r="0" b="0"/>
                  <wp:docPr id="11" name="Imagen 11" descr="MDMB-4en-PINACA (MDMB-PENINACA, ​MDMB-PINACA N1-pentyl-4-en isomer, CAS Number: 250410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DMB-4en-PINACA (MDMB-PENINACA, ​MDMB-PINACA N1-pentyl-4-en isomer, CAS Number: 2504100-7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6759" cy="1020197"/>
                          </a:xfrm>
                          <a:prstGeom prst="rect">
                            <a:avLst/>
                          </a:prstGeom>
                          <a:noFill/>
                          <a:ln>
                            <a:noFill/>
                          </a:ln>
                        </pic:spPr>
                      </pic:pic>
                    </a:graphicData>
                  </a:graphic>
                </wp:inline>
              </w:drawing>
            </w:r>
          </w:p>
        </w:tc>
        <w:tc>
          <w:tcPr>
            <w:tcW w:w="1218" w:type="dxa"/>
            <w:tcBorders>
              <w:top w:val="nil"/>
              <w:left w:val="nil"/>
              <w:bottom w:val="nil"/>
              <w:right w:val="nil"/>
            </w:tcBorders>
            <w:vAlign w:val="center"/>
          </w:tcPr>
          <w:p w14:paraId="184C1AE7" w14:textId="0C76439C" w:rsidR="00A85A87" w:rsidRDefault="00A85A87" w:rsidP="00A85A87">
            <w:pPr>
              <w:spacing w:after="0" w:line="240" w:lineRule="auto"/>
              <w:jc w:val="center"/>
              <w:rPr>
                <w:rFonts w:cs="Times New Roman"/>
                <w:sz w:val="22"/>
                <w:szCs w:val="24"/>
              </w:rPr>
            </w:pPr>
            <w:r w:rsidRPr="00A85A87">
              <w:rPr>
                <w:rFonts w:cs="Times New Roman"/>
                <w:sz w:val="22"/>
                <w:szCs w:val="24"/>
              </w:rPr>
              <w:t>C</w:t>
            </w:r>
            <w:r w:rsidRPr="00A85A87">
              <w:rPr>
                <w:rFonts w:cs="Times New Roman"/>
                <w:sz w:val="22"/>
                <w:szCs w:val="24"/>
                <w:vertAlign w:val="subscript"/>
              </w:rPr>
              <w:t>20</w:t>
            </w:r>
            <w:r w:rsidRPr="00A85A87">
              <w:rPr>
                <w:rFonts w:cs="Times New Roman"/>
                <w:sz w:val="22"/>
                <w:szCs w:val="24"/>
              </w:rPr>
              <w:t>H</w:t>
            </w:r>
            <w:r w:rsidRPr="00A85A87">
              <w:rPr>
                <w:rFonts w:cs="Times New Roman"/>
                <w:sz w:val="22"/>
                <w:szCs w:val="24"/>
                <w:vertAlign w:val="subscript"/>
              </w:rPr>
              <w:t>27</w:t>
            </w:r>
            <w:r w:rsidRPr="00A85A87">
              <w:rPr>
                <w:rFonts w:cs="Times New Roman"/>
                <w:sz w:val="22"/>
                <w:szCs w:val="24"/>
              </w:rPr>
              <w:t>N</w:t>
            </w:r>
            <w:r w:rsidRPr="00A85A87">
              <w:rPr>
                <w:rFonts w:cs="Times New Roman"/>
                <w:sz w:val="22"/>
                <w:szCs w:val="24"/>
                <w:vertAlign w:val="subscript"/>
              </w:rPr>
              <w:t>3</w:t>
            </w:r>
            <w:r w:rsidRPr="00A85A87">
              <w:rPr>
                <w:rFonts w:cs="Times New Roman"/>
                <w:sz w:val="22"/>
                <w:szCs w:val="24"/>
              </w:rPr>
              <w:t>O</w:t>
            </w:r>
            <w:r w:rsidRPr="00A85A87">
              <w:rPr>
                <w:rFonts w:cs="Times New Roman"/>
                <w:sz w:val="22"/>
                <w:szCs w:val="24"/>
                <w:vertAlign w:val="subscript"/>
              </w:rPr>
              <w:t>3</w:t>
            </w:r>
          </w:p>
        </w:tc>
        <w:tc>
          <w:tcPr>
            <w:tcW w:w="817" w:type="dxa"/>
            <w:tcBorders>
              <w:top w:val="nil"/>
              <w:left w:val="nil"/>
              <w:bottom w:val="nil"/>
              <w:right w:val="nil"/>
            </w:tcBorders>
            <w:vAlign w:val="center"/>
          </w:tcPr>
          <w:p w14:paraId="3FA8F18B" w14:textId="15F5F887" w:rsidR="00A85A87" w:rsidRPr="006F400C" w:rsidRDefault="00A85A87" w:rsidP="005D6E5A">
            <w:pPr>
              <w:spacing w:after="0" w:line="240" w:lineRule="auto"/>
              <w:jc w:val="center"/>
              <w:rPr>
                <w:rFonts w:cs="Times New Roman"/>
                <w:sz w:val="22"/>
                <w:szCs w:val="24"/>
                <w:highlight w:val="yellow"/>
                <w:lang w:val="en-GB"/>
              </w:rPr>
            </w:pPr>
            <w:r>
              <w:rPr>
                <w:rFonts w:cs="Times New Roman"/>
                <w:sz w:val="22"/>
                <w:szCs w:val="24"/>
              </w:rPr>
              <w:t>4.3</w:t>
            </w:r>
          </w:p>
        </w:tc>
        <w:tc>
          <w:tcPr>
            <w:tcW w:w="963" w:type="dxa"/>
            <w:tcBorders>
              <w:top w:val="nil"/>
              <w:left w:val="nil"/>
              <w:bottom w:val="nil"/>
              <w:right w:val="nil"/>
            </w:tcBorders>
            <w:vAlign w:val="center"/>
          </w:tcPr>
          <w:p w14:paraId="4F472F6C" w14:textId="53B4579B" w:rsidR="00A85A87" w:rsidRPr="006F400C" w:rsidRDefault="00A85A87" w:rsidP="005D6E5A">
            <w:pPr>
              <w:spacing w:after="0" w:line="240" w:lineRule="auto"/>
              <w:jc w:val="center"/>
              <w:rPr>
                <w:rFonts w:cs="Times New Roman"/>
                <w:sz w:val="22"/>
                <w:szCs w:val="24"/>
                <w:highlight w:val="yellow"/>
              </w:rPr>
            </w:pPr>
            <w:r>
              <w:rPr>
                <w:rFonts w:cs="Times New Roman"/>
                <w:sz w:val="22"/>
                <w:szCs w:val="24"/>
              </w:rPr>
              <w:t>357.4</w:t>
            </w:r>
          </w:p>
        </w:tc>
      </w:tr>
      <w:tr w:rsidR="00A85A87" w:rsidRPr="006F400C" w14:paraId="1229B136" w14:textId="77777777" w:rsidTr="00D76E42">
        <w:trPr>
          <w:trHeight w:val="1702"/>
          <w:jc w:val="center"/>
        </w:trPr>
        <w:tc>
          <w:tcPr>
            <w:tcW w:w="1667" w:type="dxa"/>
            <w:tcBorders>
              <w:top w:val="nil"/>
              <w:left w:val="nil"/>
              <w:bottom w:val="nil"/>
              <w:right w:val="nil"/>
            </w:tcBorders>
            <w:vAlign w:val="center"/>
          </w:tcPr>
          <w:p w14:paraId="20FEDCC9" w14:textId="6DE56461" w:rsidR="00A85A87" w:rsidRPr="006F400C" w:rsidRDefault="00A85A87" w:rsidP="005D6E5A">
            <w:pPr>
              <w:spacing w:after="0" w:line="240" w:lineRule="auto"/>
              <w:jc w:val="center"/>
              <w:rPr>
                <w:rFonts w:cs="Times New Roman"/>
                <w:sz w:val="22"/>
                <w:szCs w:val="24"/>
              </w:rPr>
            </w:pPr>
            <w:r w:rsidRPr="005D6E5A">
              <w:rPr>
                <w:rFonts w:cs="Times New Roman"/>
                <w:sz w:val="22"/>
                <w:szCs w:val="24"/>
              </w:rPr>
              <w:t>5F-NPB-22</w:t>
            </w:r>
          </w:p>
        </w:tc>
        <w:tc>
          <w:tcPr>
            <w:tcW w:w="2831" w:type="dxa"/>
            <w:tcBorders>
              <w:top w:val="nil"/>
              <w:left w:val="nil"/>
              <w:bottom w:val="nil"/>
              <w:right w:val="nil"/>
            </w:tcBorders>
            <w:vAlign w:val="center"/>
          </w:tcPr>
          <w:p w14:paraId="6C68C430" w14:textId="4BB1FD40" w:rsidR="00A85A87" w:rsidRDefault="00A85A87" w:rsidP="005D6E5A">
            <w:pPr>
              <w:spacing w:after="0" w:line="240" w:lineRule="auto"/>
              <w:jc w:val="center"/>
              <w:rPr>
                <w:noProof/>
                <w:lang w:val="es-ES" w:eastAsia="es-ES" w:bidi="bo-CN"/>
              </w:rPr>
            </w:pPr>
            <w:r>
              <w:rPr>
                <w:noProof/>
                <w:lang w:val="es-ES" w:eastAsia="es-ES" w:bidi="bo-CN"/>
              </w:rPr>
              <w:drawing>
                <wp:inline distT="0" distB="0" distL="0" distR="0" wp14:anchorId="064D6602" wp14:editId="5283A944">
                  <wp:extent cx="1088299" cy="1021988"/>
                  <wp:effectExtent l="0" t="0" r="0" b="6985"/>
                  <wp:docPr id="1170" name="Imagen 1170" descr="5-fluoro NPB-22 (CAS Number: 1445579-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5-fluoro NPB-22 (CAS Number: 1445579-79-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3544" cy="1045694"/>
                          </a:xfrm>
                          <a:prstGeom prst="rect">
                            <a:avLst/>
                          </a:prstGeom>
                          <a:noFill/>
                          <a:ln>
                            <a:noFill/>
                          </a:ln>
                        </pic:spPr>
                      </pic:pic>
                    </a:graphicData>
                  </a:graphic>
                </wp:inline>
              </w:drawing>
            </w:r>
          </w:p>
        </w:tc>
        <w:tc>
          <w:tcPr>
            <w:tcW w:w="1218" w:type="dxa"/>
            <w:tcBorders>
              <w:top w:val="nil"/>
              <w:left w:val="nil"/>
              <w:bottom w:val="nil"/>
              <w:right w:val="nil"/>
            </w:tcBorders>
            <w:vAlign w:val="center"/>
          </w:tcPr>
          <w:p w14:paraId="2B615E90" w14:textId="3806B2D4" w:rsidR="00A85A87" w:rsidRPr="006F400C" w:rsidRDefault="00A85A87" w:rsidP="00A85A87">
            <w:pPr>
              <w:spacing w:after="0" w:line="240" w:lineRule="auto"/>
              <w:jc w:val="center"/>
              <w:rPr>
                <w:rFonts w:cs="Times New Roman"/>
                <w:sz w:val="22"/>
                <w:szCs w:val="24"/>
              </w:rPr>
            </w:pPr>
            <w:r w:rsidRPr="00A85A87">
              <w:rPr>
                <w:rFonts w:cs="Times New Roman"/>
                <w:sz w:val="22"/>
                <w:szCs w:val="24"/>
              </w:rPr>
              <w:t>C</w:t>
            </w:r>
            <w:r w:rsidRPr="00A85A87">
              <w:rPr>
                <w:rFonts w:cs="Times New Roman"/>
                <w:sz w:val="22"/>
                <w:szCs w:val="24"/>
                <w:vertAlign w:val="subscript"/>
              </w:rPr>
              <w:t>22</w:t>
            </w:r>
            <w:r w:rsidRPr="00A85A87">
              <w:rPr>
                <w:rFonts w:cs="Times New Roman"/>
                <w:sz w:val="22"/>
                <w:szCs w:val="24"/>
              </w:rPr>
              <w:t>H</w:t>
            </w:r>
            <w:r w:rsidRPr="00A85A87">
              <w:rPr>
                <w:rFonts w:cs="Times New Roman"/>
                <w:sz w:val="22"/>
                <w:szCs w:val="24"/>
                <w:vertAlign w:val="subscript"/>
              </w:rPr>
              <w:t>20</w:t>
            </w:r>
            <w:r w:rsidRPr="00A85A87">
              <w:rPr>
                <w:rFonts w:cs="Times New Roman"/>
                <w:sz w:val="22"/>
                <w:szCs w:val="24"/>
              </w:rPr>
              <w:t>FN</w:t>
            </w:r>
            <w:r w:rsidRPr="00A85A87">
              <w:rPr>
                <w:rFonts w:cs="Times New Roman"/>
                <w:sz w:val="22"/>
                <w:szCs w:val="24"/>
                <w:vertAlign w:val="subscript"/>
              </w:rPr>
              <w:t>3</w:t>
            </w:r>
            <w:r w:rsidRPr="00A85A87">
              <w:rPr>
                <w:rFonts w:cs="Times New Roman"/>
                <w:sz w:val="22"/>
                <w:szCs w:val="24"/>
              </w:rPr>
              <w:t>O</w:t>
            </w:r>
            <w:r w:rsidRPr="00A85A87">
              <w:rPr>
                <w:rFonts w:cs="Times New Roman"/>
                <w:sz w:val="22"/>
                <w:szCs w:val="24"/>
                <w:vertAlign w:val="subscript"/>
              </w:rPr>
              <w:t>2</w:t>
            </w:r>
          </w:p>
        </w:tc>
        <w:tc>
          <w:tcPr>
            <w:tcW w:w="817" w:type="dxa"/>
            <w:tcBorders>
              <w:top w:val="nil"/>
              <w:left w:val="nil"/>
              <w:bottom w:val="nil"/>
              <w:right w:val="nil"/>
            </w:tcBorders>
            <w:vAlign w:val="center"/>
          </w:tcPr>
          <w:p w14:paraId="215E516E" w14:textId="3AB0CAD0" w:rsidR="00A85A87" w:rsidRPr="006F400C" w:rsidRDefault="00A85A87" w:rsidP="005D6E5A">
            <w:pPr>
              <w:spacing w:after="0" w:line="240" w:lineRule="auto"/>
              <w:jc w:val="center"/>
              <w:rPr>
                <w:rFonts w:cs="Times New Roman"/>
                <w:sz w:val="22"/>
                <w:szCs w:val="24"/>
              </w:rPr>
            </w:pPr>
            <w:r w:rsidRPr="006F400C">
              <w:rPr>
                <w:rFonts w:cs="Times New Roman"/>
                <w:sz w:val="22"/>
                <w:szCs w:val="24"/>
              </w:rPr>
              <w:t>4.9</w:t>
            </w:r>
          </w:p>
        </w:tc>
        <w:tc>
          <w:tcPr>
            <w:tcW w:w="963" w:type="dxa"/>
            <w:tcBorders>
              <w:top w:val="nil"/>
              <w:left w:val="nil"/>
              <w:bottom w:val="nil"/>
              <w:right w:val="nil"/>
            </w:tcBorders>
            <w:vAlign w:val="center"/>
          </w:tcPr>
          <w:p w14:paraId="3A66BB3C" w14:textId="633B4345" w:rsidR="00A85A87" w:rsidRPr="006F400C" w:rsidRDefault="00A85A87" w:rsidP="005D6E5A">
            <w:pPr>
              <w:spacing w:after="0" w:line="240" w:lineRule="auto"/>
              <w:jc w:val="center"/>
              <w:rPr>
                <w:rFonts w:cs="Times New Roman"/>
                <w:sz w:val="22"/>
                <w:szCs w:val="24"/>
              </w:rPr>
            </w:pPr>
            <w:r w:rsidRPr="006F400C">
              <w:rPr>
                <w:rFonts w:cs="Times New Roman"/>
                <w:sz w:val="22"/>
                <w:szCs w:val="24"/>
              </w:rPr>
              <w:t>377.4</w:t>
            </w:r>
          </w:p>
        </w:tc>
      </w:tr>
      <w:tr w:rsidR="00A85A87" w:rsidRPr="006F400C" w14:paraId="78CC3D73" w14:textId="77777777" w:rsidTr="00D76E42">
        <w:trPr>
          <w:trHeight w:val="1702"/>
          <w:jc w:val="center"/>
        </w:trPr>
        <w:tc>
          <w:tcPr>
            <w:tcW w:w="1667" w:type="dxa"/>
            <w:tcBorders>
              <w:top w:val="nil"/>
              <w:left w:val="nil"/>
              <w:bottom w:val="nil"/>
              <w:right w:val="nil"/>
            </w:tcBorders>
            <w:vAlign w:val="center"/>
          </w:tcPr>
          <w:p w14:paraId="648011DF" w14:textId="4FC5E3A2" w:rsidR="00A85A87" w:rsidRPr="006F400C" w:rsidRDefault="00A85A87" w:rsidP="005D6E5A">
            <w:pPr>
              <w:spacing w:after="0" w:line="240" w:lineRule="auto"/>
              <w:jc w:val="center"/>
              <w:rPr>
                <w:rFonts w:cs="Times New Roman"/>
                <w:sz w:val="22"/>
                <w:szCs w:val="24"/>
              </w:rPr>
            </w:pPr>
            <w:r w:rsidRPr="005D6E5A">
              <w:rPr>
                <w:rFonts w:cs="Times New Roman"/>
                <w:sz w:val="22"/>
                <w:szCs w:val="24"/>
              </w:rPr>
              <w:t>ADB-CHMICA</w:t>
            </w:r>
            <w:r w:rsidRPr="00E05211">
              <w:rPr>
                <w:rFonts w:cs="Times New Roman"/>
                <w:sz w:val="22"/>
                <w:szCs w:val="24"/>
              </w:rPr>
              <w:t>CA</w:t>
            </w:r>
          </w:p>
        </w:tc>
        <w:tc>
          <w:tcPr>
            <w:tcW w:w="2831" w:type="dxa"/>
            <w:tcBorders>
              <w:top w:val="nil"/>
              <w:left w:val="nil"/>
              <w:bottom w:val="nil"/>
              <w:right w:val="nil"/>
            </w:tcBorders>
            <w:vAlign w:val="center"/>
          </w:tcPr>
          <w:p w14:paraId="203A8D20" w14:textId="6154B928" w:rsidR="00A85A87" w:rsidRDefault="00A85A87" w:rsidP="005D6E5A">
            <w:pPr>
              <w:spacing w:after="0" w:line="240" w:lineRule="auto"/>
              <w:jc w:val="center"/>
              <w:rPr>
                <w:noProof/>
                <w:lang w:val="es-ES" w:eastAsia="es-ES" w:bidi="bo-CN"/>
              </w:rPr>
            </w:pPr>
            <w:r>
              <w:rPr>
                <w:noProof/>
                <w:lang w:val="es-ES" w:eastAsia="es-ES" w:bidi="bo-CN"/>
              </w:rPr>
              <w:drawing>
                <wp:inline distT="0" distB="0" distL="0" distR="0" wp14:anchorId="0A500D00" wp14:editId="1E3B57C4">
                  <wp:extent cx="1039313" cy="1039313"/>
                  <wp:effectExtent l="0" t="0" r="8890" b="8890"/>
                  <wp:docPr id="1168" name="Imagen 1168" descr="MAB-CHMINACA (CRM) (ADB-CHMINACA, CAS Number: 1863065-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B-CHMINACA (CRM) (ADB-CHMINACA, CAS Number: 1863065-9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2944" cy="1042944"/>
                          </a:xfrm>
                          <a:prstGeom prst="rect">
                            <a:avLst/>
                          </a:prstGeom>
                          <a:noFill/>
                          <a:ln>
                            <a:noFill/>
                          </a:ln>
                        </pic:spPr>
                      </pic:pic>
                    </a:graphicData>
                  </a:graphic>
                </wp:inline>
              </w:drawing>
            </w:r>
          </w:p>
        </w:tc>
        <w:tc>
          <w:tcPr>
            <w:tcW w:w="1218" w:type="dxa"/>
            <w:tcBorders>
              <w:top w:val="nil"/>
              <w:left w:val="nil"/>
              <w:bottom w:val="nil"/>
              <w:right w:val="nil"/>
            </w:tcBorders>
            <w:vAlign w:val="center"/>
          </w:tcPr>
          <w:p w14:paraId="2309F8A6" w14:textId="48DE37BA" w:rsidR="00A85A87" w:rsidRPr="006F400C" w:rsidRDefault="00A85A87" w:rsidP="00A85A87">
            <w:pPr>
              <w:spacing w:after="0" w:line="240" w:lineRule="auto"/>
              <w:jc w:val="center"/>
              <w:rPr>
                <w:rFonts w:cs="Times New Roman"/>
                <w:sz w:val="22"/>
                <w:szCs w:val="24"/>
              </w:rPr>
            </w:pPr>
            <w:r w:rsidRPr="00A85A87">
              <w:rPr>
                <w:rFonts w:cs="Times New Roman"/>
                <w:sz w:val="22"/>
                <w:szCs w:val="24"/>
              </w:rPr>
              <w:t>C</w:t>
            </w:r>
            <w:r w:rsidRPr="00A85A87">
              <w:rPr>
                <w:rFonts w:cs="Times New Roman"/>
                <w:sz w:val="22"/>
                <w:szCs w:val="24"/>
                <w:vertAlign w:val="subscript"/>
              </w:rPr>
              <w:t>21</w:t>
            </w:r>
            <w:r w:rsidRPr="00A85A87">
              <w:rPr>
                <w:rFonts w:cs="Times New Roman"/>
                <w:sz w:val="22"/>
                <w:szCs w:val="24"/>
              </w:rPr>
              <w:t>H</w:t>
            </w:r>
            <w:r w:rsidRPr="00A85A87">
              <w:rPr>
                <w:rFonts w:cs="Times New Roman"/>
                <w:sz w:val="22"/>
                <w:szCs w:val="24"/>
                <w:vertAlign w:val="subscript"/>
              </w:rPr>
              <w:t>30</w:t>
            </w:r>
            <w:r w:rsidRPr="00A85A87">
              <w:rPr>
                <w:rFonts w:cs="Times New Roman"/>
                <w:sz w:val="22"/>
                <w:szCs w:val="24"/>
              </w:rPr>
              <w:t>N</w:t>
            </w:r>
            <w:r w:rsidRPr="00A85A87">
              <w:rPr>
                <w:rFonts w:cs="Times New Roman"/>
                <w:sz w:val="22"/>
                <w:szCs w:val="24"/>
                <w:vertAlign w:val="subscript"/>
              </w:rPr>
              <w:t>4</w:t>
            </w:r>
            <w:r w:rsidRPr="00A85A87">
              <w:rPr>
                <w:rFonts w:cs="Times New Roman"/>
                <w:sz w:val="22"/>
                <w:szCs w:val="24"/>
              </w:rPr>
              <w:t>O</w:t>
            </w:r>
            <w:r w:rsidRPr="00A85A87">
              <w:rPr>
                <w:rFonts w:cs="Times New Roman"/>
                <w:sz w:val="22"/>
                <w:szCs w:val="24"/>
                <w:vertAlign w:val="subscript"/>
              </w:rPr>
              <w:t>2</w:t>
            </w:r>
          </w:p>
        </w:tc>
        <w:tc>
          <w:tcPr>
            <w:tcW w:w="817" w:type="dxa"/>
            <w:tcBorders>
              <w:top w:val="nil"/>
              <w:left w:val="nil"/>
              <w:bottom w:val="nil"/>
              <w:right w:val="nil"/>
            </w:tcBorders>
            <w:vAlign w:val="center"/>
          </w:tcPr>
          <w:p w14:paraId="498A733D" w14:textId="51757B59" w:rsidR="00A85A87" w:rsidRPr="006F400C" w:rsidRDefault="00A85A87" w:rsidP="005D6E5A">
            <w:pPr>
              <w:spacing w:after="0" w:line="240" w:lineRule="auto"/>
              <w:jc w:val="center"/>
              <w:rPr>
                <w:rFonts w:cs="Times New Roman"/>
                <w:sz w:val="22"/>
                <w:szCs w:val="24"/>
              </w:rPr>
            </w:pPr>
            <w:r w:rsidRPr="006F400C">
              <w:rPr>
                <w:rFonts w:cs="Times New Roman"/>
                <w:sz w:val="22"/>
                <w:szCs w:val="24"/>
              </w:rPr>
              <w:t>4.2</w:t>
            </w:r>
          </w:p>
        </w:tc>
        <w:tc>
          <w:tcPr>
            <w:tcW w:w="963" w:type="dxa"/>
            <w:tcBorders>
              <w:top w:val="nil"/>
              <w:left w:val="nil"/>
              <w:bottom w:val="nil"/>
              <w:right w:val="nil"/>
            </w:tcBorders>
            <w:vAlign w:val="center"/>
          </w:tcPr>
          <w:p w14:paraId="5F73CEAA" w14:textId="5A0583CC" w:rsidR="00A85A87" w:rsidRPr="006F400C" w:rsidRDefault="00A85A87" w:rsidP="005D6E5A">
            <w:pPr>
              <w:spacing w:after="0" w:line="240" w:lineRule="auto"/>
              <w:jc w:val="center"/>
              <w:rPr>
                <w:rFonts w:cs="Times New Roman"/>
                <w:sz w:val="22"/>
                <w:szCs w:val="24"/>
              </w:rPr>
            </w:pPr>
            <w:r w:rsidRPr="006F400C">
              <w:rPr>
                <w:rFonts w:cs="Times New Roman"/>
                <w:sz w:val="22"/>
                <w:szCs w:val="24"/>
              </w:rPr>
              <w:t>370.5</w:t>
            </w:r>
          </w:p>
        </w:tc>
      </w:tr>
      <w:tr w:rsidR="00A85A87" w:rsidRPr="006F400C" w14:paraId="5128287D" w14:textId="77777777" w:rsidTr="00D76E42">
        <w:trPr>
          <w:trHeight w:val="1702"/>
          <w:jc w:val="center"/>
        </w:trPr>
        <w:tc>
          <w:tcPr>
            <w:tcW w:w="1667" w:type="dxa"/>
            <w:tcBorders>
              <w:top w:val="nil"/>
              <w:left w:val="nil"/>
              <w:right w:val="nil"/>
            </w:tcBorders>
            <w:vAlign w:val="center"/>
          </w:tcPr>
          <w:p w14:paraId="4E5E61FB" w14:textId="23D9795C" w:rsidR="00A85A87" w:rsidRPr="00E05211" w:rsidRDefault="00A85A87" w:rsidP="00D5293B">
            <w:pPr>
              <w:spacing w:after="0" w:line="240" w:lineRule="auto"/>
              <w:jc w:val="center"/>
              <w:rPr>
                <w:rFonts w:cs="Times New Roman"/>
                <w:sz w:val="22"/>
                <w:szCs w:val="24"/>
              </w:rPr>
            </w:pPr>
            <w:r w:rsidRPr="005D6E5A">
              <w:rPr>
                <w:rFonts w:cs="Times New Roman"/>
                <w:sz w:val="22"/>
                <w:szCs w:val="24"/>
              </w:rPr>
              <w:t>THJ-220</w:t>
            </w:r>
            <w:r>
              <w:rPr>
                <w:rFonts w:cs="Times New Roman"/>
                <w:sz w:val="22"/>
                <w:szCs w:val="24"/>
              </w:rPr>
              <w:t>1</w:t>
            </w:r>
          </w:p>
        </w:tc>
        <w:tc>
          <w:tcPr>
            <w:tcW w:w="2831" w:type="dxa"/>
            <w:tcBorders>
              <w:top w:val="nil"/>
              <w:left w:val="nil"/>
              <w:right w:val="nil"/>
            </w:tcBorders>
            <w:vAlign w:val="center"/>
          </w:tcPr>
          <w:p w14:paraId="15E1C81B" w14:textId="0A134D10" w:rsidR="00A85A87" w:rsidRDefault="00A85A87" w:rsidP="00D5293B">
            <w:pPr>
              <w:spacing w:after="0" w:line="240" w:lineRule="auto"/>
              <w:jc w:val="center"/>
              <w:rPr>
                <w:noProof/>
                <w:lang w:val="es-ES" w:eastAsia="es-ES" w:bidi="bo-CN"/>
              </w:rPr>
            </w:pPr>
            <w:r>
              <w:rPr>
                <w:noProof/>
                <w:lang w:val="es-ES" w:eastAsia="es-ES" w:bidi="bo-CN"/>
              </w:rPr>
              <w:drawing>
                <wp:inline distT="0" distB="0" distL="0" distR="0" wp14:anchorId="4080AEC4" wp14:editId="328B5C6C">
                  <wp:extent cx="985157" cy="1035236"/>
                  <wp:effectExtent l="0" t="0" r="5715" b="0"/>
                  <wp:docPr id="15" name="Imagen 15" descr="THJ-2201.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HJ-2201.sv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5031" cy="1056121"/>
                          </a:xfrm>
                          <a:prstGeom prst="rect">
                            <a:avLst/>
                          </a:prstGeom>
                          <a:noFill/>
                          <a:ln>
                            <a:noFill/>
                          </a:ln>
                        </pic:spPr>
                      </pic:pic>
                    </a:graphicData>
                  </a:graphic>
                </wp:inline>
              </w:drawing>
            </w:r>
          </w:p>
        </w:tc>
        <w:tc>
          <w:tcPr>
            <w:tcW w:w="1218" w:type="dxa"/>
            <w:tcBorders>
              <w:top w:val="nil"/>
              <w:left w:val="nil"/>
              <w:right w:val="nil"/>
            </w:tcBorders>
            <w:vAlign w:val="center"/>
          </w:tcPr>
          <w:p w14:paraId="75B0E53E" w14:textId="35138FBB" w:rsidR="00A85A87" w:rsidRDefault="00A85A87" w:rsidP="00A85A87">
            <w:pPr>
              <w:spacing w:after="0" w:line="240" w:lineRule="auto"/>
              <w:jc w:val="center"/>
              <w:rPr>
                <w:rFonts w:cs="Times New Roman"/>
                <w:sz w:val="22"/>
                <w:szCs w:val="24"/>
              </w:rPr>
            </w:pPr>
            <w:r w:rsidRPr="00A85A87">
              <w:rPr>
                <w:rFonts w:cs="Times New Roman"/>
                <w:sz w:val="22"/>
                <w:szCs w:val="24"/>
              </w:rPr>
              <w:t>C</w:t>
            </w:r>
            <w:r w:rsidRPr="00A85A87">
              <w:rPr>
                <w:rFonts w:cs="Times New Roman"/>
                <w:sz w:val="22"/>
                <w:szCs w:val="24"/>
                <w:vertAlign w:val="subscript"/>
              </w:rPr>
              <w:t>23</w:t>
            </w:r>
            <w:r w:rsidRPr="00A85A87">
              <w:rPr>
                <w:rFonts w:cs="Times New Roman"/>
                <w:sz w:val="22"/>
                <w:szCs w:val="24"/>
              </w:rPr>
              <w:t>H</w:t>
            </w:r>
            <w:r w:rsidRPr="00A85A87">
              <w:rPr>
                <w:rFonts w:cs="Times New Roman"/>
                <w:sz w:val="22"/>
                <w:szCs w:val="24"/>
                <w:vertAlign w:val="subscript"/>
              </w:rPr>
              <w:t>21</w:t>
            </w:r>
            <w:r w:rsidRPr="00A85A87">
              <w:rPr>
                <w:rFonts w:cs="Times New Roman"/>
                <w:sz w:val="22"/>
                <w:szCs w:val="24"/>
              </w:rPr>
              <w:t>FN</w:t>
            </w:r>
            <w:r w:rsidRPr="00A85A87">
              <w:rPr>
                <w:rFonts w:cs="Times New Roman"/>
                <w:sz w:val="22"/>
                <w:szCs w:val="24"/>
                <w:vertAlign w:val="subscript"/>
              </w:rPr>
              <w:t>2</w:t>
            </w:r>
            <w:r w:rsidRPr="00A85A87">
              <w:rPr>
                <w:rFonts w:cs="Times New Roman"/>
                <w:sz w:val="22"/>
                <w:szCs w:val="24"/>
              </w:rPr>
              <w:t>O</w:t>
            </w:r>
          </w:p>
        </w:tc>
        <w:tc>
          <w:tcPr>
            <w:tcW w:w="817" w:type="dxa"/>
            <w:tcBorders>
              <w:top w:val="nil"/>
              <w:left w:val="nil"/>
              <w:right w:val="nil"/>
            </w:tcBorders>
            <w:vAlign w:val="center"/>
          </w:tcPr>
          <w:p w14:paraId="06242E49" w14:textId="1BA0BE46" w:rsidR="00A85A87" w:rsidRDefault="00A85A87" w:rsidP="00D5293B">
            <w:pPr>
              <w:spacing w:after="0" w:line="240" w:lineRule="auto"/>
              <w:jc w:val="center"/>
              <w:rPr>
                <w:rFonts w:cs="Times New Roman"/>
                <w:sz w:val="22"/>
                <w:szCs w:val="24"/>
              </w:rPr>
            </w:pPr>
            <w:r>
              <w:rPr>
                <w:rFonts w:cs="Times New Roman"/>
                <w:sz w:val="22"/>
                <w:szCs w:val="24"/>
              </w:rPr>
              <w:t>5.8</w:t>
            </w:r>
          </w:p>
        </w:tc>
        <w:tc>
          <w:tcPr>
            <w:tcW w:w="963" w:type="dxa"/>
            <w:tcBorders>
              <w:top w:val="nil"/>
              <w:left w:val="nil"/>
              <w:right w:val="nil"/>
            </w:tcBorders>
            <w:vAlign w:val="center"/>
          </w:tcPr>
          <w:p w14:paraId="3510660F" w14:textId="6FA17904" w:rsidR="00A85A87" w:rsidRDefault="00A85A87" w:rsidP="00D5293B">
            <w:pPr>
              <w:spacing w:after="0" w:line="240" w:lineRule="auto"/>
              <w:jc w:val="center"/>
              <w:rPr>
                <w:rFonts w:cs="Times New Roman"/>
                <w:sz w:val="22"/>
                <w:szCs w:val="24"/>
              </w:rPr>
            </w:pPr>
            <w:r w:rsidRPr="00A85A87">
              <w:rPr>
                <w:rFonts w:cs="Times New Roman"/>
                <w:sz w:val="22"/>
                <w:szCs w:val="24"/>
              </w:rPr>
              <w:t>360.4</w:t>
            </w:r>
          </w:p>
        </w:tc>
      </w:tr>
      <w:tr w:rsidR="00A85A87" w:rsidRPr="006F400C" w14:paraId="4B690118" w14:textId="77777777" w:rsidTr="00D76E42">
        <w:trPr>
          <w:trHeight w:val="1702"/>
          <w:jc w:val="center"/>
        </w:trPr>
        <w:tc>
          <w:tcPr>
            <w:tcW w:w="1667" w:type="dxa"/>
            <w:tcBorders>
              <w:top w:val="nil"/>
              <w:left w:val="nil"/>
              <w:bottom w:val="single" w:sz="4" w:space="0" w:color="auto"/>
              <w:right w:val="nil"/>
            </w:tcBorders>
            <w:vAlign w:val="center"/>
          </w:tcPr>
          <w:p w14:paraId="0CA6117D" w14:textId="21E9DB49" w:rsidR="00A85A87" w:rsidRPr="00E05211" w:rsidRDefault="00A85A87" w:rsidP="00D5293B">
            <w:pPr>
              <w:spacing w:after="0" w:line="240" w:lineRule="auto"/>
              <w:jc w:val="center"/>
              <w:rPr>
                <w:rFonts w:cs="Times New Roman"/>
                <w:sz w:val="22"/>
                <w:szCs w:val="24"/>
              </w:rPr>
            </w:pPr>
            <w:r w:rsidRPr="005D6E5A">
              <w:rPr>
                <w:rFonts w:cs="Times New Roman"/>
                <w:sz w:val="22"/>
                <w:szCs w:val="24"/>
              </w:rPr>
              <w:t>MDMB-CHMZCA</w:t>
            </w:r>
          </w:p>
        </w:tc>
        <w:tc>
          <w:tcPr>
            <w:tcW w:w="2831" w:type="dxa"/>
            <w:tcBorders>
              <w:top w:val="nil"/>
              <w:left w:val="nil"/>
              <w:bottom w:val="single" w:sz="4" w:space="0" w:color="auto"/>
              <w:right w:val="nil"/>
            </w:tcBorders>
            <w:vAlign w:val="center"/>
          </w:tcPr>
          <w:p w14:paraId="59F9A63A" w14:textId="1121F641" w:rsidR="00A85A87" w:rsidRDefault="00A85A87" w:rsidP="00D5293B">
            <w:pPr>
              <w:spacing w:after="0" w:line="240" w:lineRule="auto"/>
              <w:jc w:val="center"/>
              <w:rPr>
                <w:noProof/>
                <w:lang w:val="es-ES" w:eastAsia="es-ES" w:bidi="bo-CN"/>
              </w:rPr>
            </w:pPr>
            <w:r>
              <w:rPr>
                <w:noProof/>
                <w:lang w:val="es-ES" w:eastAsia="es-ES" w:bidi="bo-CN"/>
              </w:rPr>
              <w:drawing>
                <wp:inline distT="0" distB="0" distL="0" distR="0" wp14:anchorId="5EF0CC04" wp14:editId="38C83B65">
                  <wp:extent cx="1071562" cy="1111998"/>
                  <wp:effectExtent l="0" t="0" r="0" b="0"/>
                  <wp:docPr id="13" name="Imagen 13" descr="MDMB-CHMCZCA (EGMB-CHMINACA​​, CAS Number: 2219324-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DMB-CHMCZCA (EGMB-CHMINACA​​, CAS Number: 2219324-3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94645" cy="1135952"/>
                          </a:xfrm>
                          <a:prstGeom prst="rect">
                            <a:avLst/>
                          </a:prstGeom>
                          <a:noFill/>
                          <a:ln>
                            <a:noFill/>
                          </a:ln>
                        </pic:spPr>
                      </pic:pic>
                    </a:graphicData>
                  </a:graphic>
                </wp:inline>
              </w:drawing>
            </w:r>
          </w:p>
        </w:tc>
        <w:tc>
          <w:tcPr>
            <w:tcW w:w="1218" w:type="dxa"/>
            <w:tcBorders>
              <w:top w:val="nil"/>
              <w:left w:val="nil"/>
              <w:bottom w:val="single" w:sz="4" w:space="0" w:color="auto"/>
              <w:right w:val="nil"/>
            </w:tcBorders>
            <w:vAlign w:val="center"/>
          </w:tcPr>
          <w:p w14:paraId="1D4C3F15" w14:textId="64919599" w:rsidR="00A85A87" w:rsidRDefault="00A85A87" w:rsidP="00A85A87">
            <w:pPr>
              <w:spacing w:after="0" w:line="240" w:lineRule="auto"/>
              <w:jc w:val="center"/>
              <w:rPr>
                <w:rFonts w:cs="Times New Roman"/>
                <w:sz w:val="22"/>
                <w:szCs w:val="24"/>
              </w:rPr>
            </w:pPr>
            <w:r>
              <w:rPr>
                <w:rFonts w:cs="Times New Roman"/>
                <w:sz w:val="22"/>
                <w:szCs w:val="24"/>
              </w:rPr>
              <w:t>C</w:t>
            </w:r>
            <w:r w:rsidRPr="00A85A87">
              <w:rPr>
                <w:rFonts w:cs="Times New Roman"/>
                <w:sz w:val="22"/>
                <w:szCs w:val="24"/>
                <w:vertAlign w:val="subscript"/>
              </w:rPr>
              <w:t>23</w:t>
            </w:r>
            <w:r>
              <w:rPr>
                <w:rFonts w:cs="Times New Roman"/>
                <w:sz w:val="22"/>
                <w:szCs w:val="24"/>
              </w:rPr>
              <w:t>H</w:t>
            </w:r>
            <w:r w:rsidRPr="00A85A87">
              <w:rPr>
                <w:rFonts w:cs="Times New Roman"/>
                <w:sz w:val="22"/>
                <w:szCs w:val="24"/>
                <w:vertAlign w:val="subscript"/>
              </w:rPr>
              <w:t>32</w:t>
            </w:r>
            <w:r>
              <w:rPr>
                <w:rFonts w:cs="Times New Roman"/>
                <w:sz w:val="22"/>
                <w:szCs w:val="24"/>
              </w:rPr>
              <w:t>N</w:t>
            </w:r>
            <w:r w:rsidRPr="00A85A87">
              <w:rPr>
                <w:rFonts w:cs="Times New Roman"/>
                <w:sz w:val="22"/>
                <w:szCs w:val="24"/>
                <w:vertAlign w:val="subscript"/>
              </w:rPr>
              <w:t>2</w:t>
            </w:r>
            <w:r>
              <w:rPr>
                <w:rFonts w:cs="Times New Roman"/>
                <w:sz w:val="22"/>
                <w:szCs w:val="24"/>
              </w:rPr>
              <w:t>O</w:t>
            </w:r>
            <w:r w:rsidRPr="00A85A87">
              <w:rPr>
                <w:rFonts w:cs="Times New Roman"/>
                <w:sz w:val="22"/>
                <w:szCs w:val="24"/>
                <w:vertAlign w:val="subscript"/>
              </w:rPr>
              <w:t>3</w:t>
            </w:r>
          </w:p>
        </w:tc>
        <w:tc>
          <w:tcPr>
            <w:tcW w:w="817" w:type="dxa"/>
            <w:tcBorders>
              <w:top w:val="nil"/>
              <w:left w:val="nil"/>
              <w:bottom w:val="single" w:sz="4" w:space="0" w:color="auto"/>
              <w:right w:val="nil"/>
            </w:tcBorders>
            <w:vAlign w:val="center"/>
          </w:tcPr>
          <w:p w14:paraId="72389E03" w14:textId="1E577C67" w:rsidR="00A85A87" w:rsidRDefault="00A85A87" w:rsidP="00D5293B">
            <w:pPr>
              <w:spacing w:after="0" w:line="240" w:lineRule="auto"/>
              <w:jc w:val="center"/>
              <w:rPr>
                <w:rFonts w:cs="Times New Roman"/>
                <w:sz w:val="22"/>
                <w:szCs w:val="24"/>
              </w:rPr>
            </w:pPr>
            <w:r>
              <w:rPr>
                <w:rFonts w:cs="Times New Roman"/>
                <w:sz w:val="22"/>
                <w:szCs w:val="24"/>
              </w:rPr>
              <w:t>6.6</w:t>
            </w:r>
          </w:p>
        </w:tc>
        <w:tc>
          <w:tcPr>
            <w:tcW w:w="963" w:type="dxa"/>
            <w:tcBorders>
              <w:top w:val="nil"/>
              <w:left w:val="nil"/>
              <w:bottom w:val="single" w:sz="4" w:space="0" w:color="auto"/>
              <w:right w:val="nil"/>
            </w:tcBorders>
            <w:vAlign w:val="center"/>
          </w:tcPr>
          <w:p w14:paraId="0112DB05" w14:textId="2BFFF840" w:rsidR="00A85A87" w:rsidRDefault="00A85A87" w:rsidP="00D5293B">
            <w:pPr>
              <w:spacing w:after="0" w:line="240" w:lineRule="auto"/>
              <w:jc w:val="center"/>
              <w:rPr>
                <w:rFonts w:cs="Times New Roman"/>
                <w:sz w:val="22"/>
                <w:szCs w:val="24"/>
              </w:rPr>
            </w:pPr>
            <w:r>
              <w:rPr>
                <w:rFonts w:cs="Times New Roman"/>
                <w:sz w:val="22"/>
                <w:szCs w:val="24"/>
              </w:rPr>
              <w:t>434.6</w:t>
            </w:r>
          </w:p>
        </w:tc>
      </w:tr>
    </w:tbl>
    <w:p w14:paraId="5E33E42A" w14:textId="0070EB30" w:rsidR="006D337F" w:rsidRDefault="00452870" w:rsidP="002F6D5E">
      <w:pPr>
        <w:spacing w:before="80"/>
        <w:ind w:right="140"/>
        <w:jc w:val="both"/>
        <w:rPr>
          <w:rFonts w:cs="Times New Roman"/>
          <w:szCs w:val="24"/>
        </w:rPr>
      </w:pPr>
      <w:r w:rsidRPr="00452870">
        <w:rPr>
          <w:noProof/>
          <w:lang w:val="es-ES" w:eastAsia="es-ES" w:bidi="bo-CN"/>
        </w:rPr>
        <w:lastRenderedPageBreak/>
        <w:drawing>
          <wp:inline distT="0" distB="0" distL="0" distR="0" wp14:anchorId="38692FC7" wp14:editId="53A91DBC">
            <wp:extent cx="5400040" cy="2540883"/>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40" cy="2540883"/>
                    </a:xfrm>
                    <a:prstGeom prst="rect">
                      <a:avLst/>
                    </a:prstGeom>
                    <a:noFill/>
                    <a:ln>
                      <a:noFill/>
                    </a:ln>
                  </pic:spPr>
                </pic:pic>
              </a:graphicData>
            </a:graphic>
          </wp:inline>
        </w:drawing>
      </w:r>
    </w:p>
    <w:p w14:paraId="6140A4A6" w14:textId="3C89386A" w:rsidR="008D3D85" w:rsidRPr="008D3D85" w:rsidRDefault="005D34C7" w:rsidP="002F6D5E">
      <w:pPr>
        <w:spacing w:before="80"/>
        <w:ind w:right="140"/>
        <w:jc w:val="both"/>
        <w:rPr>
          <w:rFonts w:cs="Times New Roman"/>
          <w:b/>
          <w:bCs/>
          <w:szCs w:val="24"/>
        </w:rPr>
      </w:pPr>
      <w:r w:rsidRPr="005607F0">
        <w:rPr>
          <w:rFonts w:cs="Times New Roman"/>
          <w:b/>
          <w:bCs/>
          <w:szCs w:val="24"/>
        </w:rPr>
        <w:t>Figure S1</w:t>
      </w:r>
      <w:r w:rsidR="008D3D85" w:rsidRPr="005607F0">
        <w:rPr>
          <w:rFonts w:cs="Times New Roman"/>
          <w:b/>
          <w:bCs/>
          <w:szCs w:val="24"/>
        </w:rPr>
        <w:t>.</w:t>
      </w:r>
      <w:r w:rsidR="0009396C" w:rsidRPr="005607F0">
        <w:rPr>
          <w:rFonts w:cs="Times New Roman"/>
          <w:b/>
          <w:bCs/>
          <w:szCs w:val="24"/>
        </w:rPr>
        <w:t xml:space="preserve"> </w:t>
      </w:r>
      <w:r w:rsidR="0009396C" w:rsidRPr="005607F0">
        <w:rPr>
          <w:rFonts w:cs="Times New Roman"/>
          <w:szCs w:val="24"/>
        </w:rPr>
        <w:t>EDX</w:t>
      </w:r>
      <w:r w:rsidR="0009396C">
        <w:rPr>
          <w:rFonts w:cs="Times New Roman"/>
          <w:szCs w:val="24"/>
        </w:rPr>
        <w:t xml:space="preserve"> and mapping analysis of paper substrate.</w:t>
      </w:r>
    </w:p>
    <w:p w14:paraId="2FACDBCA" w14:textId="640CB65F" w:rsidR="008D3D85" w:rsidRDefault="008D3D85" w:rsidP="002F6D5E">
      <w:pPr>
        <w:spacing w:before="80"/>
        <w:ind w:right="140"/>
        <w:jc w:val="both"/>
        <w:rPr>
          <w:rFonts w:cs="Times New Roman"/>
          <w:szCs w:val="24"/>
        </w:rPr>
      </w:pPr>
    </w:p>
    <w:p w14:paraId="56BD5997" w14:textId="77777777" w:rsidR="00D76E42" w:rsidRDefault="00D76E42" w:rsidP="002F6D5E">
      <w:pPr>
        <w:spacing w:before="80"/>
        <w:ind w:right="140"/>
        <w:jc w:val="both"/>
        <w:rPr>
          <w:rFonts w:cs="Times New Roman"/>
          <w:szCs w:val="24"/>
        </w:rPr>
      </w:pPr>
    </w:p>
    <w:p w14:paraId="6902AC55" w14:textId="4CCEFE4D" w:rsidR="008D3D85" w:rsidRDefault="00E1195F" w:rsidP="002F6D5E">
      <w:pPr>
        <w:spacing w:before="80"/>
        <w:ind w:right="140"/>
        <w:jc w:val="both"/>
        <w:rPr>
          <w:rFonts w:cs="Times New Roman"/>
          <w:szCs w:val="24"/>
        </w:rPr>
      </w:pPr>
      <w:r w:rsidRPr="00E1195F">
        <w:rPr>
          <w:noProof/>
          <w:lang w:val="es-ES" w:eastAsia="es-ES" w:bidi="bo-CN"/>
        </w:rPr>
        <w:drawing>
          <wp:inline distT="0" distB="0" distL="0" distR="0" wp14:anchorId="0B25B4F6" wp14:editId="1B830BD6">
            <wp:extent cx="5400040" cy="3073436"/>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40" cy="3073436"/>
                    </a:xfrm>
                    <a:prstGeom prst="rect">
                      <a:avLst/>
                    </a:prstGeom>
                    <a:noFill/>
                    <a:ln>
                      <a:noFill/>
                    </a:ln>
                  </pic:spPr>
                </pic:pic>
              </a:graphicData>
            </a:graphic>
          </wp:inline>
        </w:drawing>
      </w:r>
    </w:p>
    <w:p w14:paraId="781A234C" w14:textId="6DBD4139" w:rsidR="008D3D85" w:rsidRPr="008D3D85" w:rsidRDefault="005D34C7" w:rsidP="008D3D85">
      <w:pPr>
        <w:spacing w:before="80"/>
        <w:ind w:right="140"/>
        <w:jc w:val="both"/>
        <w:rPr>
          <w:rFonts w:cs="Times New Roman"/>
          <w:b/>
          <w:bCs/>
          <w:szCs w:val="24"/>
        </w:rPr>
      </w:pPr>
      <w:r w:rsidRPr="005607F0">
        <w:rPr>
          <w:rFonts w:cs="Times New Roman"/>
          <w:b/>
          <w:bCs/>
          <w:szCs w:val="24"/>
        </w:rPr>
        <w:t>Figure S2</w:t>
      </w:r>
      <w:r w:rsidR="008D3D85" w:rsidRPr="005607F0">
        <w:rPr>
          <w:rFonts w:cs="Times New Roman"/>
          <w:b/>
          <w:bCs/>
          <w:szCs w:val="24"/>
        </w:rPr>
        <w:t>.</w:t>
      </w:r>
      <w:r w:rsidR="0009396C" w:rsidRPr="005607F0">
        <w:rPr>
          <w:rFonts w:cs="Times New Roman"/>
          <w:szCs w:val="24"/>
        </w:rPr>
        <w:t xml:space="preserve"> EDX</w:t>
      </w:r>
      <w:r w:rsidR="0009396C">
        <w:rPr>
          <w:rFonts w:cs="Times New Roman"/>
          <w:szCs w:val="24"/>
        </w:rPr>
        <w:t xml:space="preserve"> and mapping analysis of NH</w:t>
      </w:r>
      <w:r w:rsidR="0009396C" w:rsidRPr="0009396C">
        <w:rPr>
          <w:rFonts w:cs="Times New Roman"/>
          <w:szCs w:val="24"/>
          <w:vertAlign w:val="subscript"/>
        </w:rPr>
        <w:t>2</w:t>
      </w:r>
      <w:r w:rsidR="0009396C">
        <w:rPr>
          <w:rFonts w:cs="Times New Roman"/>
          <w:szCs w:val="24"/>
        </w:rPr>
        <w:t>-UiO-66@paper device.</w:t>
      </w:r>
    </w:p>
    <w:p w14:paraId="0BD30D22" w14:textId="0A35C61B" w:rsidR="008D3D85" w:rsidRDefault="00A7791C" w:rsidP="002F6D5E">
      <w:pPr>
        <w:spacing w:before="80"/>
        <w:ind w:right="140"/>
        <w:jc w:val="both"/>
        <w:rPr>
          <w:rFonts w:cs="Times New Roman"/>
          <w:szCs w:val="24"/>
        </w:rPr>
      </w:pPr>
      <w:r w:rsidRPr="00A7791C">
        <w:rPr>
          <w:noProof/>
          <w:lang w:val="es-ES" w:eastAsia="es-ES" w:bidi="bo-CN"/>
        </w:rPr>
        <w:lastRenderedPageBreak/>
        <w:drawing>
          <wp:inline distT="0" distB="0" distL="0" distR="0" wp14:anchorId="0F72C8DF" wp14:editId="5E87B083">
            <wp:extent cx="5400040" cy="3866771"/>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3866771"/>
                    </a:xfrm>
                    <a:prstGeom prst="rect">
                      <a:avLst/>
                    </a:prstGeom>
                    <a:noFill/>
                    <a:ln>
                      <a:noFill/>
                    </a:ln>
                  </pic:spPr>
                </pic:pic>
              </a:graphicData>
            </a:graphic>
          </wp:inline>
        </w:drawing>
      </w:r>
    </w:p>
    <w:p w14:paraId="7358730A" w14:textId="30E3E623" w:rsidR="00C45AA9" w:rsidRPr="008D3D85" w:rsidRDefault="00C45AA9" w:rsidP="00A948F1">
      <w:pPr>
        <w:spacing w:before="80" w:line="360" w:lineRule="auto"/>
        <w:ind w:right="140"/>
        <w:jc w:val="both"/>
        <w:rPr>
          <w:rFonts w:cs="Times New Roman"/>
          <w:b/>
          <w:bCs/>
          <w:szCs w:val="24"/>
        </w:rPr>
      </w:pPr>
      <w:r w:rsidRPr="005607F0">
        <w:rPr>
          <w:rFonts w:cs="Times New Roman"/>
          <w:b/>
          <w:bCs/>
          <w:szCs w:val="24"/>
        </w:rPr>
        <w:t>Figure S</w:t>
      </w:r>
      <w:r w:rsidR="002341A1" w:rsidRPr="005607F0">
        <w:rPr>
          <w:rFonts w:cs="Times New Roman"/>
          <w:b/>
          <w:bCs/>
          <w:szCs w:val="24"/>
        </w:rPr>
        <w:t>3</w:t>
      </w:r>
      <w:r w:rsidRPr="005607F0">
        <w:rPr>
          <w:rFonts w:cs="Times New Roman"/>
          <w:b/>
          <w:bCs/>
          <w:szCs w:val="24"/>
        </w:rPr>
        <w:t>.</w:t>
      </w:r>
      <w:r w:rsidR="00E12004" w:rsidRPr="005607F0">
        <w:rPr>
          <w:rFonts w:cs="Times New Roman"/>
          <w:b/>
          <w:bCs/>
          <w:szCs w:val="24"/>
        </w:rPr>
        <w:t xml:space="preserve"> </w:t>
      </w:r>
      <w:r w:rsidR="002341A1" w:rsidRPr="005607F0">
        <w:rPr>
          <w:rFonts w:cs="Times New Roman"/>
          <w:szCs w:val="24"/>
        </w:rPr>
        <w:t>SEM</w:t>
      </w:r>
      <w:r w:rsidR="002341A1" w:rsidRPr="002341A1">
        <w:rPr>
          <w:rFonts w:cs="Times New Roman"/>
          <w:szCs w:val="24"/>
        </w:rPr>
        <w:t xml:space="preserve"> micrograhs of</w:t>
      </w:r>
      <w:r w:rsidR="002341A1">
        <w:rPr>
          <w:rFonts w:cs="Times New Roman"/>
          <w:b/>
          <w:bCs/>
          <w:szCs w:val="24"/>
        </w:rPr>
        <w:t xml:space="preserve"> </w:t>
      </w:r>
      <w:r w:rsidR="002341A1">
        <w:rPr>
          <w:rFonts w:cs="Times New Roman"/>
          <w:szCs w:val="24"/>
        </w:rPr>
        <w:t xml:space="preserve">A) bare MOF, </w:t>
      </w:r>
      <w:r w:rsidR="00E12004" w:rsidRPr="002341A1">
        <w:rPr>
          <w:rFonts w:cs="Times New Roman"/>
          <w:szCs w:val="24"/>
        </w:rPr>
        <w:t>NH</w:t>
      </w:r>
      <w:r w:rsidR="00E12004" w:rsidRPr="002341A1">
        <w:rPr>
          <w:rFonts w:cs="Times New Roman"/>
          <w:szCs w:val="24"/>
          <w:vertAlign w:val="subscript"/>
        </w:rPr>
        <w:t>2</w:t>
      </w:r>
      <w:r w:rsidR="002341A1">
        <w:rPr>
          <w:rFonts w:cs="Times New Roman"/>
          <w:szCs w:val="24"/>
        </w:rPr>
        <w:t>-UiO-66; b) NH</w:t>
      </w:r>
      <w:r w:rsidR="00E12004" w:rsidRPr="002341A1">
        <w:rPr>
          <w:rFonts w:cs="Times New Roman"/>
          <w:szCs w:val="24"/>
          <w:vertAlign w:val="subscript"/>
        </w:rPr>
        <w:t>2</w:t>
      </w:r>
      <w:r w:rsidR="00E12004" w:rsidRPr="002341A1">
        <w:rPr>
          <w:rFonts w:cs="Times New Roman"/>
          <w:szCs w:val="24"/>
        </w:rPr>
        <w:t>-UiO-66</w:t>
      </w:r>
      <w:r w:rsidR="002341A1">
        <w:rPr>
          <w:rFonts w:cs="Times New Roman"/>
          <w:szCs w:val="24"/>
        </w:rPr>
        <w:t xml:space="preserve"> collected from the generated dispersion from the paper device synthesis</w:t>
      </w:r>
      <w:r w:rsidR="00E12004" w:rsidRPr="002341A1">
        <w:rPr>
          <w:rFonts w:cs="Times New Roman"/>
          <w:szCs w:val="24"/>
        </w:rPr>
        <w:t xml:space="preserve">; c) </w:t>
      </w:r>
      <w:r w:rsidR="00380AAD">
        <w:rPr>
          <w:rFonts w:cs="Times New Roman"/>
          <w:szCs w:val="24"/>
        </w:rPr>
        <w:t>after heating at 230 </w:t>
      </w:r>
      <w:r w:rsidR="002341A1">
        <w:rPr>
          <w:rFonts w:cs="Times New Roman"/>
          <w:szCs w:val="24"/>
        </w:rPr>
        <w:t xml:space="preserve">ºC for </w:t>
      </w:r>
      <w:r w:rsidR="00A82171">
        <w:rPr>
          <w:rFonts w:cs="Times New Roman"/>
          <w:szCs w:val="24"/>
        </w:rPr>
        <w:t>30 s</w:t>
      </w:r>
      <w:r w:rsidR="00E12004" w:rsidRPr="002341A1">
        <w:rPr>
          <w:rFonts w:cs="Times New Roman"/>
          <w:szCs w:val="24"/>
        </w:rPr>
        <w:t xml:space="preserve">; d) </w:t>
      </w:r>
      <w:r w:rsidR="002341A1">
        <w:rPr>
          <w:rFonts w:cs="Times New Roman"/>
          <w:szCs w:val="24"/>
        </w:rPr>
        <w:t>after heating at 280 ºC for</w:t>
      </w:r>
      <w:r w:rsidR="00A82171">
        <w:rPr>
          <w:rFonts w:cs="Times New Roman"/>
          <w:szCs w:val="24"/>
        </w:rPr>
        <w:t xml:space="preserve"> 30 s.</w:t>
      </w:r>
    </w:p>
    <w:p w14:paraId="22D1263A" w14:textId="77777777" w:rsidR="00A948F1" w:rsidRDefault="00B55261" w:rsidP="00A948F1">
      <w:pPr>
        <w:jc w:val="center"/>
      </w:pPr>
      <w:r>
        <w:rPr>
          <w:rFonts w:cs="Times New Roman"/>
          <w:szCs w:val="24"/>
        </w:rPr>
        <w:br w:type="page"/>
      </w:r>
      <w:r w:rsidR="00A948F1">
        <w:rPr>
          <w:noProof/>
          <w:lang w:val="es-ES" w:eastAsia="es-ES" w:bidi="bo-CN"/>
        </w:rPr>
        <w:lastRenderedPageBreak/>
        <w:drawing>
          <wp:inline distT="0" distB="0" distL="0" distR="0" wp14:anchorId="3B87AE0E" wp14:editId="5F2D1092">
            <wp:extent cx="3589020" cy="4282440"/>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1">
                      <a:extLst>
                        <a:ext uri="{28A0092B-C50C-407E-A947-70E740481C1C}">
                          <a14:useLocalDpi xmlns:a14="http://schemas.microsoft.com/office/drawing/2010/main" val="0"/>
                        </a:ext>
                      </a:extLst>
                    </a:blip>
                    <a:srcRect t="4552" b="4420"/>
                    <a:stretch>
                      <a:fillRect/>
                    </a:stretch>
                  </pic:blipFill>
                  <pic:spPr bwMode="auto">
                    <a:xfrm>
                      <a:off x="0" y="0"/>
                      <a:ext cx="3589020" cy="4282440"/>
                    </a:xfrm>
                    <a:prstGeom prst="rect">
                      <a:avLst/>
                    </a:prstGeom>
                    <a:noFill/>
                    <a:ln>
                      <a:noFill/>
                    </a:ln>
                  </pic:spPr>
                </pic:pic>
              </a:graphicData>
            </a:graphic>
          </wp:inline>
        </w:drawing>
      </w:r>
    </w:p>
    <w:p w14:paraId="4CB44A00" w14:textId="239617A8" w:rsidR="00A948F1" w:rsidRPr="00A948F1" w:rsidRDefault="00A948F1" w:rsidP="00A948F1">
      <w:pPr>
        <w:spacing w:line="360" w:lineRule="auto"/>
        <w:jc w:val="both"/>
        <w:rPr>
          <w:b/>
          <w:bCs/>
        </w:rPr>
      </w:pPr>
      <w:r>
        <w:rPr>
          <w:b/>
          <w:bCs/>
        </w:rPr>
        <w:t>Figure S4.</w:t>
      </w:r>
      <w:r>
        <w:t xml:space="preserve"> SCRAs desorption temperature studies from NH</w:t>
      </w:r>
      <w:r w:rsidRPr="00A948F1">
        <w:rPr>
          <w:vertAlign w:val="subscript"/>
        </w:rPr>
        <w:t>2</w:t>
      </w:r>
      <w:r>
        <w:t>-UiO-66@paper after the retention at different temperatures. A) IMs signal for the target compound and B) plasgrams from said study. Model compound: MDMB-4en-PINACA. Analyte amount: 20 ng. Desorption time: 30 s. Other experimental conditions are detailed in Experimental Section.</w:t>
      </w:r>
    </w:p>
    <w:p w14:paraId="78A94B76" w14:textId="4AE35CEC" w:rsidR="00A948F1" w:rsidRDefault="00A948F1">
      <w:pPr>
        <w:spacing w:after="160" w:line="259" w:lineRule="auto"/>
        <w:rPr>
          <w:rFonts w:cs="Times New Roman"/>
          <w:szCs w:val="24"/>
        </w:rPr>
      </w:pPr>
      <w:r>
        <w:rPr>
          <w:rFonts w:cs="Times New Roman"/>
          <w:szCs w:val="24"/>
        </w:rPr>
        <w:br w:type="page"/>
      </w:r>
    </w:p>
    <w:p w14:paraId="0D7B7CAC" w14:textId="6BDD4ADD" w:rsidR="008D3D85" w:rsidRDefault="00FF3043" w:rsidP="00FF3043">
      <w:pPr>
        <w:spacing w:before="80"/>
        <w:ind w:right="140"/>
        <w:jc w:val="center"/>
        <w:rPr>
          <w:rFonts w:cs="Times New Roman"/>
          <w:szCs w:val="24"/>
        </w:rPr>
      </w:pPr>
      <w:r>
        <w:rPr>
          <w:rFonts w:cs="Times New Roman"/>
          <w:noProof/>
          <w:szCs w:val="24"/>
          <w:lang w:val="es-ES" w:eastAsia="es-ES" w:bidi="bo-CN"/>
        </w:rPr>
        <w:lastRenderedPageBreak/>
        <w:drawing>
          <wp:inline distT="0" distB="0" distL="0" distR="0" wp14:anchorId="51BDD2B8" wp14:editId="07DF7E02">
            <wp:extent cx="4417711" cy="6738257"/>
            <wp:effectExtent l="0" t="0" r="1905"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X. thermal desorptio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23864" cy="6747641"/>
                    </a:xfrm>
                    <a:prstGeom prst="rect">
                      <a:avLst/>
                    </a:prstGeom>
                  </pic:spPr>
                </pic:pic>
              </a:graphicData>
            </a:graphic>
          </wp:inline>
        </w:drawing>
      </w:r>
    </w:p>
    <w:p w14:paraId="63C3936A" w14:textId="4B96AB81" w:rsidR="00412586" w:rsidRDefault="00FF3043" w:rsidP="00A948F1">
      <w:pPr>
        <w:spacing w:before="80" w:line="360" w:lineRule="auto"/>
        <w:ind w:right="140"/>
        <w:jc w:val="both"/>
        <w:rPr>
          <w:rFonts w:cs="Times New Roman"/>
          <w:szCs w:val="24"/>
        </w:rPr>
      </w:pPr>
      <w:r w:rsidRPr="005607F0">
        <w:rPr>
          <w:rFonts w:cs="Times New Roman"/>
          <w:b/>
          <w:bCs/>
          <w:szCs w:val="24"/>
        </w:rPr>
        <w:t>Figure S</w:t>
      </w:r>
      <w:r w:rsidR="00A948F1">
        <w:rPr>
          <w:rFonts w:cs="Times New Roman"/>
          <w:b/>
          <w:bCs/>
          <w:szCs w:val="24"/>
        </w:rPr>
        <w:t>5</w:t>
      </w:r>
      <w:r w:rsidRPr="005607F0">
        <w:rPr>
          <w:rFonts w:cs="Times New Roman"/>
          <w:b/>
          <w:bCs/>
          <w:szCs w:val="24"/>
        </w:rPr>
        <w:t xml:space="preserve">. </w:t>
      </w:r>
      <w:r w:rsidRPr="005607F0">
        <w:rPr>
          <w:rFonts w:cs="Times New Roman"/>
          <w:szCs w:val="24"/>
        </w:rPr>
        <w:t>Method</w:t>
      </w:r>
      <w:r w:rsidR="00C80BCC">
        <w:rPr>
          <w:rFonts w:cs="Times New Roman"/>
          <w:szCs w:val="24"/>
        </w:rPr>
        <w:t xml:space="preserve"> optimization: A</w:t>
      </w:r>
      <w:r w:rsidRPr="005D34C7">
        <w:rPr>
          <w:rFonts w:cs="Times New Roman"/>
          <w:szCs w:val="24"/>
        </w:rPr>
        <w:t xml:space="preserve">) Nature of assisted-solvent for </w:t>
      </w:r>
      <w:r w:rsidR="00C80BCC">
        <w:rPr>
          <w:rFonts w:cs="Times New Roman"/>
          <w:szCs w:val="24"/>
        </w:rPr>
        <w:t>thermal desorption process and B</w:t>
      </w:r>
      <w:r w:rsidRPr="005D34C7">
        <w:rPr>
          <w:rFonts w:cs="Times New Roman"/>
          <w:szCs w:val="24"/>
        </w:rPr>
        <w:t>) Extraction time. Both ex</w:t>
      </w:r>
      <w:r w:rsidR="00A82171">
        <w:rPr>
          <w:rFonts w:cs="Times New Roman"/>
          <w:szCs w:val="24"/>
        </w:rPr>
        <w:t>periments were performed using 10</w:t>
      </w:r>
      <w:r w:rsidRPr="005D34C7">
        <w:rPr>
          <w:rFonts w:cs="Times New Roman"/>
          <w:szCs w:val="24"/>
        </w:rPr>
        <w:t>0 µL of MDMB-4en-PINACA at 250 µg L</w:t>
      </w:r>
      <w:r w:rsidRPr="005D34C7">
        <w:rPr>
          <w:rFonts w:cs="Times New Roman"/>
          <w:szCs w:val="24"/>
          <w:vertAlign w:val="superscript"/>
        </w:rPr>
        <w:t>-1</w:t>
      </w:r>
      <w:r w:rsidRPr="005D34C7">
        <w:rPr>
          <w:rFonts w:cs="Times New Roman"/>
          <w:szCs w:val="24"/>
        </w:rPr>
        <w:t>. Other experimental conditions can be checked at Material</w:t>
      </w:r>
      <w:r w:rsidR="00ED3F41">
        <w:rPr>
          <w:rFonts w:cs="Times New Roman"/>
          <w:szCs w:val="24"/>
        </w:rPr>
        <w:t>s</w:t>
      </w:r>
      <w:r w:rsidRPr="005D34C7">
        <w:rPr>
          <w:rFonts w:cs="Times New Roman"/>
          <w:szCs w:val="24"/>
        </w:rPr>
        <w:t xml:space="preserve"> and Methods Section.</w:t>
      </w:r>
    </w:p>
    <w:p w14:paraId="6E3E49E1" w14:textId="77777777" w:rsidR="00412586" w:rsidRDefault="00412586">
      <w:pPr>
        <w:spacing w:after="160" w:line="259" w:lineRule="auto"/>
        <w:rPr>
          <w:rFonts w:cs="Times New Roman"/>
          <w:szCs w:val="24"/>
        </w:rPr>
      </w:pPr>
      <w:r>
        <w:rPr>
          <w:rFonts w:cs="Times New Roman"/>
          <w:szCs w:val="24"/>
        </w:rPr>
        <w:br w:type="page"/>
      </w:r>
    </w:p>
    <w:p w14:paraId="49CFFFD7" w14:textId="5E6003BF" w:rsidR="00FF3043" w:rsidRPr="00412586" w:rsidRDefault="00412586" w:rsidP="00412586">
      <w:pPr>
        <w:spacing w:before="80" w:line="360" w:lineRule="auto"/>
        <w:ind w:right="140"/>
        <w:jc w:val="both"/>
        <w:rPr>
          <w:rFonts w:cs="Times New Roman"/>
          <w:b/>
          <w:bCs/>
          <w:szCs w:val="24"/>
        </w:rPr>
      </w:pPr>
      <w:r w:rsidRPr="00412586">
        <w:rPr>
          <w:rFonts w:cs="Times New Roman"/>
          <w:b/>
          <w:bCs/>
          <w:szCs w:val="24"/>
        </w:rPr>
        <w:lastRenderedPageBreak/>
        <w:t>References</w:t>
      </w:r>
    </w:p>
    <w:p w14:paraId="751025B7" w14:textId="50D1738D" w:rsidR="00412586" w:rsidRPr="00412586" w:rsidRDefault="00412586" w:rsidP="00412586">
      <w:pPr>
        <w:widowControl w:val="0"/>
        <w:autoSpaceDE w:val="0"/>
        <w:autoSpaceDN w:val="0"/>
        <w:adjustRightInd w:val="0"/>
        <w:spacing w:before="80" w:line="360" w:lineRule="auto"/>
        <w:ind w:left="640" w:hanging="640"/>
        <w:jc w:val="both"/>
        <w:rPr>
          <w:rFonts w:cs="Times New Roman"/>
          <w:noProof/>
          <w:szCs w:val="24"/>
        </w:rPr>
      </w:pPr>
      <w:r>
        <w:rPr>
          <w:rFonts w:cs="Times New Roman"/>
          <w:szCs w:val="24"/>
        </w:rPr>
        <w:fldChar w:fldCharType="begin" w:fldLock="1"/>
      </w:r>
      <w:r>
        <w:rPr>
          <w:rFonts w:cs="Times New Roman"/>
          <w:szCs w:val="24"/>
        </w:rPr>
        <w:instrText xml:space="preserve">ADDIN Mendeley Bibliography CSL_BIBLIOGRAPHY </w:instrText>
      </w:r>
      <w:r>
        <w:rPr>
          <w:rFonts w:cs="Times New Roman"/>
          <w:szCs w:val="24"/>
        </w:rPr>
        <w:fldChar w:fldCharType="separate"/>
      </w:r>
      <w:r w:rsidRPr="00412586">
        <w:rPr>
          <w:rFonts w:cs="Times New Roman"/>
          <w:noProof/>
          <w:szCs w:val="24"/>
        </w:rPr>
        <w:t xml:space="preserve">1. </w:t>
      </w:r>
      <w:r w:rsidRPr="00412586">
        <w:rPr>
          <w:rFonts w:cs="Times New Roman"/>
          <w:noProof/>
          <w:szCs w:val="24"/>
        </w:rPr>
        <w:tab/>
        <w:t>Anjali T (2012) Modification of carboxymethyl cellulose through oxidation. Carbohydr Polym 87:457–460. https://doi.org/10.1016/j.carbpol.2011.08.005</w:t>
      </w:r>
    </w:p>
    <w:p w14:paraId="0783DB37" w14:textId="77777777" w:rsidR="00412586" w:rsidRPr="00412586" w:rsidRDefault="00412586" w:rsidP="00412586">
      <w:pPr>
        <w:widowControl w:val="0"/>
        <w:autoSpaceDE w:val="0"/>
        <w:autoSpaceDN w:val="0"/>
        <w:adjustRightInd w:val="0"/>
        <w:spacing w:before="80" w:line="360" w:lineRule="auto"/>
        <w:ind w:left="640" w:hanging="640"/>
        <w:jc w:val="both"/>
        <w:rPr>
          <w:rFonts w:cs="Times New Roman"/>
          <w:noProof/>
        </w:rPr>
      </w:pPr>
      <w:r w:rsidRPr="00412586">
        <w:rPr>
          <w:rFonts w:cs="Times New Roman"/>
          <w:noProof/>
          <w:szCs w:val="24"/>
        </w:rPr>
        <w:t xml:space="preserve">2. </w:t>
      </w:r>
      <w:r w:rsidRPr="00412586">
        <w:rPr>
          <w:rFonts w:cs="Times New Roman"/>
          <w:noProof/>
          <w:szCs w:val="24"/>
        </w:rPr>
        <w:tab/>
        <w:t>Wang W, Xu C, Ruan H, et al (2020) Solvent assisted thermal desorption for the on-site detection of illegal drugs by a miniature ion trap mass spectrometer. Anal Methods 12:264–271. https://doi.org/10.1039/c9ay02202c</w:t>
      </w:r>
    </w:p>
    <w:p w14:paraId="247C98EB" w14:textId="1560EA27" w:rsidR="00412586" w:rsidRPr="005D34C7" w:rsidRDefault="00412586" w:rsidP="00412586">
      <w:pPr>
        <w:spacing w:before="80" w:line="360" w:lineRule="auto"/>
        <w:ind w:right="140"/>
        <w:jc w:val="both"/>
        <w:rPr>
          <w:rFonts w:cs="Times New Roman"/>
          <w:szCs w:val="24"/>
        </w:rPr>
      </w:pPr>
      <w:r>
        <w:rPr>
          <w:rFonts w:cs="Times New Roman"/>
          <w:szCs w:val="24"/>
        </w:rPr>
        <w:fldChar w:fldCharType="end"/>
      </w:r>
    </w:p>
    <w:p w14:paraId="238DDEC6" w14:textId="77777777" w:rsidR="00FF3043" w:rsidRPr="006D337F" w:rsidRDefault="00FF3043" w:rsidP="00FF3043">
      <w:pPr>
        <w:spacing w:before="80"/>
        <w:ind w:right="140"/>
        <w:jc w:val="center"/>
        <w:rPr>
          <w:rFonts w:cs="Times New Roman"/>
          <w:szCs w:val="24"/>
        </w:rPr>
      </w:pPr>
    </w:p>
    <w:sectPr w:rsidR="00FF3043" w:rsidRPr="006D337F" w:rsidSect="005D34C7">
      <w:footerReference w:type="default" r:id="rId23"/>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60B28" w14:textId="77777777" w:rsidR="00162F7F" w:rsidRDefault="00162F7F" w:rsidP="002E6E4C">
      <w:pPr>
        <w:spacing w:after="0" w:line="240" w:lineRule="auto"/>
      </w:pPr>
      <w:r>
        <w:separator/>
      </w:r>
    </w:p>
  </w:endnote>
  <w:endnote w:type="continuationSeparator" w:id="0">
    <w:p w14:paraId="15873FF3" w14:textId="77777777" w:rsidR="00162F7F" w:rsidRDefault="00162F7F" w:rsidP="002E6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roman"/>
    <w:pitch w:val="fixed"/>
    <w:sig w:usb0="00000001" w:usb1="08070000" w:usb2="00000010" w:usb3="00000000" w:csb0="00020000" w:csb1="00000000"/>
  </w:font>
  <w:font w:name="Arno Pro">
    <w:altName w:val="Times New Roman"/>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7314384"/>
      <w:docPartObj>
        <w:docPartGallery w:val="Page Numbers (Bottom of Page)"/>
        <w:docPartUnique/>
      </w:docPartObj>
    </w:sdtPr>
    <w:sdtEndPr/>
    <w:sdtContent>
      <w:p w14:paraId="2F01A4DE" w14:textId="68196558" w:rsidR="005F5C79" w:rsidRPr="005F5C79" w:rsidRDefault="005F5C79" w:rsidP="005F5C79">
        <w:pPr>
          <w:pStyle w:val="Piedepgina"/>
          <w:jc w:val="center"/>
        </w:pPr>
        <w:r>
          <w:t>S</w:t>
        </w:r>
        <w:r w:rsidR="005D34C7">
          <w:t>X</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5332882"/>
      <w:docPartObj>
        <w:docPartGallery w:val="Page Numbers (Bottom of Page)"/>
        <w:docPartUnique/>
      </w:docPartObj>
    </w:sdtPr>
    <w:sdtEndPr/>
    <w:sdtContent>
      <w:p w14:paraId="42669C9A" w14:textId="7DDAB8DA" w:rsidR="005D34C7" w:rsidRPr="005F5C79" w:rsidRDefault="005D34C7" w:rsidP="005F5C79">
        <w:pPr>
          <w:pStyle w:val="Piedepgina"/>
          <w:jc w:val="center"/>
        </w:pPr>
        <w:r>
          <w:t>S</w:t>
        </w:r>
        <w:r>
          <w:fldChar w:fldCharType="begin"/>
        </w:r>
        <w:r>
          <w:instrText>PAGE   \* MERGEFORMAT</w:instrText>
        </w:r>
        <w:r>
          <w:fldChar w:fldCharType="separate"/>
        </w:r>
        <w:r w:rsidR="008000F2" w:rsidRPr="008000F2">
          <w:rPr>
            <w:noProof/>
            <w:lang w:val="es-ES"/>
          </w:rPr>
          <w:t>11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9A652" w14:textId="77777777" w:rsidR="00162F7F" w:rsidRDefault="00162F7F" w:rsidP="002E6E4C">
      <w:pPr>
        <w:spacing w:after="0" w:line="240" w:lineRule="auto"/>
      </w:pPr>
      <w:r>
        <w:separator/>
      </w:r>
    </w:p>
  </w:footnote>
  <w:footnote w:type="continuationSeparator" w:id="0">
    <w:p w14:paraId="25947555" w14:textId="77777777" w:rsidR="00162F7F" w:rsidRDefault="00162F7F" w:rsidP="002E6E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25C3"/>
    <w:multiLevelType w:val="multilevel"/>
    <w:tmpl w:val="C9FA0F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E45A14"/>
    <w:multiLevelType w:val="hybridMultilevel"/>
    <w:tmpl w:val="D75468A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B41560B"/>
    <w:multiLevelType w:val="multilevel"/>
    <w:tmpl w:val="03BA3F6E"/>
    <w:lvl w:ilvl="0">
      <w:start w:val="1"/>
      <w:numFmt w:val="decimal"/>
      <w:pStyle w:val="Ttulo1"/>
      <w:lvlText w:val="%1"/>
      <w:lvlJc w:val="left"/>
      <w:pPr>
        <w:ind w:left="432" w:hanging="432"/>
      </w:pPr>
    </w:lvl>
    <w:lvl w:ilvl="1">
      <w:start w:val="1"/>
      <w:numFmt w:val="decimal"/>
      <w:pStyle w:val="Ttulo2"/>
      <w:lvlText w:val="%1.%2"/>
      <w:lvlJc w:val="left"/>
      <w:pPr>
        <w:ind w:left="718" w:hanging="576"/>
      </w:pPr>
      <w:rPr>
        <w:lang w:val="en-US"/>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15:restartNumberingAfterBreak="0">
    <w:nsid w:val="1F2F1732"/>
    <w:multiLevelType w:val="hybridMultilevel"/>
    <w:tmpl w:val="83142852"/>
    <w:lvl w:ilvl="0" w:tplc="56FEB3D2">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9524B49"/>
    <w:multiLevelType w:val="hybridMultilevel"/>
    <w:tmpl w:val="689491AC"/>
    <w:lvl w:ilvl="0" w:tplc="2DBCD298">
      <w:start w:val="1"/>
      <w:numFmt w:val="decimal"/>
      <w:lvlText w:val="%1."/>
      <w:lvlJc w:val="right"/>
      <w:pPr>
        <w:ind w:left="717" w:hanging="72"/>
      </w:pPr>
      <w:rPr>
        <w:rFonts w:hint="default"/>
        <w:b/>
        <w:bCs/>
        <w:i w:val="0"/>
        <w:iCs/>
        <w:spacing w:val="-1"/>
        <w:w w:val="1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6FF64ED"/>
    <w:multiLevelType w:val="multilevel"/>
    <w:tmpl w:val="2EC6C3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5DC78A2"/>
    <w:multiLevelType w:val="hybridMultilevel"/>
    <w:tmpl w:val="9DBA8A2C"/>
    <w:lvl w:ilvl="0" w:tplc="2AFA31CA">
      <w:start w:val="1"/>
      <w:numFmt w:val="decimal"/>
      <w:pStyle w:val="lnek"/>
      <w:lvlText w:val="%1."/>
      <w:lvlJc w:val="left"/>
      <w:pPr>
        <w:ind w:left="836" w:hanging="360"/>
      </w:pPr>
      <w:rPr>
        <w:rFonts w:hint="default"/>
      </w:rPr>
    </w:lvl>
    <w:lvl w:ilvl="1" w:tplc="04050019" w:tentative="1">
      <w:start w:val="1"/>
      <w:numFmt w:val="lowerLetter"/>
      <w:lvlText w:val="%2."/>
      <w:lvlJc w:val="left"/>
      <w:pPr>
        <w:ind w:left="1555" w:hanging="360"/>
      </w:pPr>
    </w:lvl>
    <w:lvl w:ilvl="2" w:tplc="0405001B" w:tentative="1">
      <w:start w:val="1"/>
      <w:numFmt w:val="lowerRoman"/>
      <w:lvlText w:val="%3."/>
      <w:lvlJc w:val="right"/>
      <w:pPr>
        <w:ind w:left="2275" w:hanging="180"/>
      </w:pPr>
    </w:lvl>
    <w:lvl w:ilvl="3" w:tplc="0405000F" w:tentative="1">
      <w:start w:val="1"/>
      <w:numFmt w:val="decimal"/>
      <w:lvlText w:val="%4."/>
      <w:lvlJc w:val="left"/>
      <w:pPr>
        <w:ind w:left="2995" w:hanging="360"/>
      </w:pPr>
    </w:lvl>
    <w:lvl w:ilvl="4" w:tplc="04050019" w:tentative="1">
      <w:start w:val="1"/>
      <w:numFmt w:val="lowerLetter"/>
      <w:lvlText w:val="%5."/>
      <w:lvlJc w:val="left"/>
      <w:pPr>
        <w:ind w:left="3715" w:hanging="360"/>
      </w:pPr>
    </w:lvl>
    <w:lvl w:ilvl="5" w:tplc="0405001B" w:tentative="1">
      <w:start w:val="1"/>
      <w:numFmt w:val="lowerRoman"/>
      <w:lvlText w:val="%6."/>
      <w:lvlJc w:val="right"/>
      <w:pPr>
        <w:ind w:left="4435" w:hanging="180"/>
      </w:pPr>
    </w:lvl>
    <w:lvl w:ilvl="6" w:tplc="0405000F" w:tentative="1">
      <w:start w:val="1"/>
      <w:numFmt w:val="decimal"/>
      <w:lvlText w:val="%7."/>
      <w:lvlJc w:val="left"/>
      <w:pPr>
        <w:ind w:left="5155" w:hanging="360"/>
      </w:pPr>
    </w:lvl>
    <w:lvl w:ilvl="7" w:tplc="04050019" w:tentative="1">
      <w:start w:val="1"/>
      <w:numFmt w:val="lowerLetter"/>
      <w:lvlText w:val="%8."/>
      <w:lvlJc w:val="left"/>
      <w:pPr>
        <w:ind w:left="5875" w:hanging="360"/>
      </w:pPr>
    </w:lvl>
    <w:lvl w:ilvl="8" w:tplc="0405001B" w:tentative="1">
      <w:start w:val="1"/>
      <w:numFmt w:val="lowerRoman"/>
      <w:lvlText w:val="%9."/>
      <w:lvlJc w:val="right"/>
      <w:pPr>
        <w:ind w:left="6595" w:hanging="180"/>
      </w:pPr>
    </w:lvl>
  </w:abstractNum>
  <w:num w:numId="1">
    <w:abstractNumId w:val="5"/>
  </w:num>
  <w:num w:numId="2">
    <w:abstractNumId w:val="1"/>
  </w:num>
  <w:num w:numId="3">
    <w:abstractNumId w:val="2"/>
  </w:num>
  <w:num w:numId="4">
    <w:abstractNumId w:val="0"/>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activeWritingStyle w:appName="MSWord" w:lang="pt-BR" w:vendorID="64" w:dllVersion="6" w:nlCheck="1" w:checkStyle="0"/>
  <w:activeWritingStyle w:appName="MSWord" w:lang="en-GB" w:vendorID="64" w:dllVersion="6" w:nlCheck="1" w:checkStyle="0"/>
  <w:activeWritingStyle w:appName="MSWord" w:lang="en-US" w:vendorID="64" w:dllVersion="6" w:nlCheck="1" w:checkStyle="0"/>
  <w:activeWritingStyle w:appName="MSWord" w:lang="es-AR" w:vendorID="64" w:dllVersion="6" w:nlCheck="1" w:checkStyle="1"/>
  <w:activeWritingStyle w:appName="MSWord" w:lang="es-ES" w:vendorID="64" w:dllVersion="6" w:nlCheck="1" w:checkStyle="0"/>
  <w:activeWritingStyle w:appName="MSWord" w:lang="es-ES_tradnl" w:vendorID="64" w:dllVersion="6" w:nlCheck="1" w:checkStyle="1"/>
  <w:activeWritingStyle w:appName="MSWord" w:lang="en-US" w:vendorID="64" w:dllVersion="0" w:nlCheck="1" w:checkStyle="0"/>
  <w:activeWritingStyle w:appName="MSWord" w:lang="en-GB"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GB" w:vendorID="64" w:dllVersion="131078" w:nlCheck="1" w:checkStyle="0"/>
  <w:activeWritingStyle w:appName="MSWord" w:lang="en-US" w:vendorID="64" w:dllVersion="131078" w:nlCheck="1" w:checkStyle="0"/>
  <w:activeWritingStyle w:appName="MSWord" w:lang="es-E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3E7"/>
    <w:rsid w:val="00002A40"/>
    <w:rsid w:val="00003970"/>
    <w:rsid w:val="00004166"/>
    <w:rsid w:val="00004CB4"/>
    <w:rsid w:val="00005D3F"/>
    <w:rsid w:val="00006867"/>
    <w:rsid w:val="00007EDA"/>
    <w:rsid w:val="00012B5B"/>
    <w:rsid w:val="000140DB"/>
    <w:rsid w:val="0001445C"/>
    <w:rsid w:val="00017BA3"/>
    <w:rsid w:val="000216F8"/>
    <w:rsid w:val="00022BF6"/>
    <w:rsid w:val="0002564E"/>
    <w:rsid w:val="00027B40"/>
    <w:rsid w:val="000325C7"/>
    <w:rsid w:val="00034887"/>
    <w:rsid w:val="000349C7"/>
    <w:rsid w:val="00036C66"/>
    <w:rsid w:val="000410C0"/>
    <w:rsid w:val="00041BDD"/>
    <w:rsid w:val="0004388A"/>
    <w:rsid w:val="00044C0C"/>
    <w:rsid w:val="00047CE8"/>
    <w:rsid w:val="00052779"/>
    <w:rsid w:val="000559A2"/>
    <w:rsid w:val="00055D0F"/>
    <w:rsid w:val="0005627F"/>
    <w:rsid w:val="000624A7"/>
    <w:rsid w:val="00063386"/>
    <w:rsid w:val="0006650E"/>
    <w:rsid w:val="00066CF2"/>
    <w:rsid w:val="00072027"/>
    <w:rsid w:val="0007306B"/>
    <w:rsid w:val="00073433"/>
    <w:rsid w:val="00074BD3"/>
    <w:rsid w:val="00075798"/>
    <w:rsid w:val="000825DC"/>
    <w:rsid w:val="000855E8"/>
    <w:rsid w:val="0009396C"/>
    <w:rsid w:val="000948C2"/>
    <w:rsid w:val="000A16D9"/>
    <w:rsid w:val="000A16F0"/>
    <w:rsid w:val="000A3799"/>
    <w:rsid w:val="000A487D"/>
    <w:rsid w:val="000A4BEB"/>
    <w:rsid w:val="000A63D0"/>
    <w:rsid w:val="000B1CFA"/>
    <w:rsid w:val="000B3045"/>
    <w:rsid w:val="000B5809"/>
    <w:rsid w:val="000C0387"/>
    <w:rsid w:val="000C1028"/>
    <w:rsid w:val="000C29D7"/>
    <w:rsid w:val="000C480A"/>
    <w:rsid w:val="000C551A"/>
    <w:rsid w:val="000C5AC7"/>
    <w:rsid w:val="000D0DB0"/>
    <w:rsid w:val="000D174E"/>
    <w:rsid w:val="000D237E"/>
    <w:rsid w:val="000D39A6"/>
    <w:rsid w:val="000D5B61"/>
    <w:rsid w:val="000E1175"/>
    <w:rsid w:val="000E4E04"/>
    <w:rsid w:val="000E4FDF"/>
    <w:rsid w:val="000E761E"/>
    <w:rsid w:val="000F26C5"/>
    <w:rsid w:val="000F3AB7"/>
    <w:rsid w:val="00102D21"/>
    <w:rsid w:val="00102EEB"/>
    <w:rsid w:val="00104DC2"/>
    <w:rsid w:val="00110841"/>
    <w:rsid w:val="001162CC"/>
    <w:rsid w:val="00117CA1"/>
    <w:rsid w:val="00121E5C"/>
    <w:rsid w:val="001226B0"/>
    <w:rsid w:val="00123458"/>
    <w:rsid w:val="00124211"/>
    <w:rsid w:val="001345CB"/>
    <w:rsid w:val="00135972"/>
    <w:rsid w:val="00136A42"/>
    <w:rsid w:val="00141AD8"/>
    <w:rsid w:val="00143558"/>
    <w:rsid w:val="00145838"/>
    <w:rsid w:val="00153154"/>
    <w:rsid w:val="0015474C"/>
    <w:rsid w:val="00154D84"/>
    <w:rsid w:val="00155F86"/>
    <w:rsid w:val="00156731"/>
    <w:rsid w:val="00162E52"/>
    <w:rsid w:val="00162F7F"/>
    <w:rsid w:val="001651A5"/>
    <w:rsid w:val="00165EAE"/>
    <w:rsid w:val="001679ED"/>
    <w:rsid w:val="00167C3B"/>
    <w:rsid w:val="001709B1"/>
    <w:rsid w:val="00175D19"/>
    <w:rsid w:val="001761ED"/>
    <w:rsid w:val="0017745B"/>
    <w:rsid w:val="0018100B"/>
    <w:rsid w:val="00181055"/>
    <w:rsid w:val="00182810"/>
    <w:rsid w:val="00183F36"/>
    <w:rsid w:val="00186C8F"/>
    <w:rsid w:val="00190A04"/>
    <w:rsid w:val="001956D9"/>
    <w:rsid w:val="001A5323"/>
    <w:rsid w:val="001A7FBB"/>
    <w:rsid w:val="001B0EC2"/>
    <w:rsid w:val="001B563C"/>
    <w:rsid w:val="001C144D"/>
    <w:rsid w:val="001C3E6A"/>
    <w:rsid w:val="001C494B"/>
    <w:rsid w:val="001C494D"/>
    <w:rsid w:val="001D0B82"/>
    <w:rsid w:val="001D23C3"/>
    <w:rsid w:val="001D42A3"/>
    <w:rsid w:val="001D5662"/>
    <w:rsid w:val="001E0221"/>
    <w:rsid w:val="001E47C6"/>
    <w:rsid w:val="001E5C47"/>
    <w:rsid w:val="001E657E"/>
    <w:rsid w:val="001E71AF"/>
    <w:rsid w:val="001F06EA"/>
    <w:rsid w:val="001F14F6"/>
    <w:rsid w:val="001F6D1E"/>
    <w:rsid w:val="0020019D"/>
    <w:rsid w:val="002016AF"/>
    <w:rsid w:val="00202DAF"/>
    <w:rsid w:val="0021095A"/>
    <w:rsid w:val="0021168E"/>
    <w:rsid w:val="00213C1D"/>
    <w:rsid w:val="00215047"/>
    <w:rsid w:val="00221140"/>
    <w:rsid w:val="0022339A"/>
    <w:rsid w:val="00223403"/>
    <w:rsid w:val="00223707"/>
    <w:rsid w:val="002311C0"/>
    <w:rsid w:val="00231255"/>
    <w:rsid w:val="00233041"/>
    <w:rsid w:val="002341A1"/>
    <w:rsid w:val="0023500C"/>
    <w:rsid w:val="00236947"/>
    <w:rsid w:val="00237AE7"/>
    <w:rsid w:val="00241153"/>
    <w:rsid w:val="00243641"/>
    <w:rsid w:val="00244713"/>
    <w:rsid w:val="00245A37"/>
    <w:rsid w:val="0025457E"/>
    <w:rsid w:val="00257CEE"/>
    <w:rsid w:val="00260B4F"/>
    <w:rsid w:val="00263D41"/>
    <w:rsid w:val="00271856"/>
    <w:rsid w:val="00273BD3"/>
    <w:rsid w:val="002811C3"/>
    <w:rsid w:val="00282A27"/>
    <w:rsid w:val="00283334"/>
    <w:rsid w:val="00283712"/>
    <w:rsid w:val="00285715"/>
    <w:rsid w:val="00286303"/>
    <w:rsid w:val="002909E4"/>
    <w:rsid w:val="0029362F"/>
    <w:rsid w:val="00296902"/>
    <w:rsid w:val="00296D29"/>
    <w:rsid w:val="002970B4"/>
    <w:rsid w:val="00297211"/>
    <w:rsid w:val="002A1041"/>
    <w:rsid w:val="002A2635"/>
    <w:rsid w:val="002A4479"/>
    <w:rsid w:val="002A535B"/>
    <w:rsid w:val="002A7F32"/>
    <w:rsid w:val="002C1424"/>
    <w:rsid w:val="002C234B"/>
    <w:rsid w:val="002C2D4F"/>
    <w:rsid w:val="002C4C90"/>
    <w:rsid w:val="002C6211"/>
    <w:rsid w:val="002C6270"/>
    <w:rsid w:val="002C6468"/>
    <w:rsid w:val="002D567D"/>
    <w:rsid w:val="002D5DC7"/>
    <w:rsid w:val="002E2455"/>
    <w:rsid w:val="002E67E8"/>
    <w:rsid w:val="002E6E4C"/>
    <w:rsid w:val="002F0B0E"/>
    <w:rsid w:val="002F2C5D"/>
    <w:rsid w:val="002F32AB"/>
    <w:rsid w:val="002F5D3B"/>
    <w:rsid w:val="002F5F73"/>
    <w:rsid w:val="002F64BD"/>
    <w:rsid w:val="002F6D5E"/>
    <w:rsid w:val="0030197E"/>
    <w:rsid w:val="003071DE"/>
    <w:rsid w:val="003134BF"/>
    <w:rsid w:val="00315937"/>
    <w:rsid w:val="003231B8"/>
    <w:rsid w:val="0032652D"/>
    <w:rsid w:val="003309FE"/>
    <w:rsid w:val="0033278D"/>
    <w:rsid w:val="00333E97"/>
    <w:rsid w:val="003401F4"/>
    <w:rsid w:val="0034091B"/>
    <w:rsid w:val="003411D8"/>
    <w:rsid w:val="00342B44"/>
    <w:rsid w:val="00344B4F"/>
    <w:rsid w:val="0035518B"/>
    <w:rsid w:val="00361173"/>
    <w:rsid w:val="00361508"/>
    <w:rsid w:val="003615F9"/>
    <w:rsid w:val="0036270D"/>
    <w:rsid w:val="0036366C"/>
    <w:rsid w:val="003647D7"/>
    <w:rsid w:val="003705A4"/>
    <w:rsid w:val="0037216E"/>
    <w:rsid w:val="00375D8C"/>
    <w:rsid w:val="00376A89"/>
    <w:rsid w:val="00377141"/>
    <w:rsid w:val="00377CCA"/>
    <w:rsid w:val="00380AAD"/>
    <w:rsid w:val="00382B87"/>
    <w:rsid w:val="00382FCB"/>
    <w:rsid w:val="00384126"/>
    <w:rsid w:val="00384D6D"/>
    <w:rsid w:val="00387902"/>
    <w:rsid w:val="00393E41"/>
    <w:rsid w:val="00394ED2"/>
    <w:rsid w:val="00397C99"/>
    <w:rsid w:val="003A0CCC"/>
    <w:rsid w:val="003A3414"/>
    <w:rsid w:val="003A6953"/>
    <w:rsid w:val="003B2103"/>
    <w:rsid w:val="003B2167"/>
    <w:rsid w:val="003B5FBA"/>
    <w:rsid w:val="003B72ED"/>
    <w:rsid w:val="003C1F28"/>
    <w:rsid w:val="003C2183"/>
    <w:rsid w:val="003C3817"/>
    <w:rsid w:val="003C6568"/>
    <w:rsid w:val="003D5B47"/>
    <w:rsid w:val="003E0C5F"/>
    <w:rsid w:val="003E1715"/>
    <w:rsid w:val="003E185B"/>
    <w:rsid w:val="003E4B13"/>
    <w:rsid w:val="003F2BEE"/>
    <w:rsid w:val="003F44C5"/>
    <w:rsid w:val="003F631D"/>
    <w:rsid w:val="00400829"/>
    <w:rsid w:val="0040501B"/>
    <w:rsid w:val="0040541C"/>
    <w:rsid w:val="00406E25"/>
    <w:rsid w:val="00412586"/>
    <w:rsid w:val="0041258D"/>
    <w:rsid w:val="00420D11"/>
    <w:rsid w:val="004218DE"/>
    <w:rsid w:val="0042470C"/>
    <w:rsid w:val="00425CDF"/>
    <w:rsid w:val="00433019"/>
    <w:rsid w:val="00435C32"/>
    <w:rsid w:val="004370E5"/>
    <w:rsid w:val="00443114"/>
    <w:rsid w:val="00443BF4"/>
    <w:rsid w:val="00450540"/>
    <w:rsid w:val="00450825"/>
    <w:rsid w:val="00452870"/>
    <w:rsid w:val="00455089"/>
    <w:rsid w:val="00455190"/>
    <w:rsid w:val="00460423"/>
    <w:rsid w:val="00460502"/>
    <w:rsid w:val="00462821"/>
    <w:rsid w:val="00463986"/>
    <w:rsid w:val="00464662"/>
    <w:rsid w:val="00465435"/>
    <w:rsid w:val="00467BB5"/>
    <w:rsid w:val="00471089"/>
    <w:rsid w:val="00471122"/>
    <w:rsid w:val="004720BB"/>
    <w:rsid w:val="00472AE8"/>
    <w:rsid w:val="00472EC4"/>
    <w:rsid w:val="00473858"/>
    <w:rsid w:val="00475DC3"/>
    <w:rsid w:val="00483271"/>
    <w:rsid w:val="00483A78"/>
    <w:rsid w:val="00485612"/>
    <w:rsid w:val="004863A3"/>
    <w:rsid w:val="00491F37"/>
    <w:rsid w:val="00496E5C"/>
    <w:rsid w:val="00497FED"/>
    <w:rsid w:val="004A0F45"/>
    <w:rsid w:val="004A22B9"/>
    <w:rsid w:val="004A27A0"/>
    <w:rsid w:val="004A2B22"/>
    <w:rsid w:val="004A59BA"/>
    <w:rsid w:val="004A6377"/>
    <w:rsid w:val="004A72BF"/>
    <w:rsid w:val="004C1B71"/>
    <w:rsid w:val="004C268E"/>
    <w:rsid w:val="004C6ED4"/>
    <w:rsid w:val="004C7B99"/>
    <w:rsid w:val="004D06B3"/>
    <w:rsid w:val="004D0BC6"/>
    <w:rsid w:val="004D40F5"/>
    <w:rsid w:val="004D4152"/>
    <w:rsid w:val="004E000E"/>
    <w:rsid w:val="004E2748"/>
    <w:rsid w:val="004E482D"/>
    <w:rsid w:val="004E4D06"/>
    <w:rsid w:val="004F2B9E"/>
    <w:rsid w:val="00500DF5"/>
    <w:rsid w:val="005038FE"/>
    <w:rsid w:val="00505385"/>
    <w:rsid w:val="00507EBD"/>
    <w:rsid w:val="005103A9"/>
    <w:rsid w:val="00512A57"/>
    <w:rsid w:val="00515FE6"/>
    <w:rsid w:val="00532DCC"/>
    <w:rsid w:val="00534C5D"/>
    <w:rsid w:val="00535327"/>
    <w:rsid w:val="0054039F"/>
    <w:rsid w:val="00543F4D"/>
    <w:rsid w:val="00546ECB"/>
    <w:rsid w:val="005474F4"/>
    <w:rsid w:val="00547CAC"/>
    <w:rsid w:val="005536CD"/>
    <w:rsid w:val="00555B8F"/>
    <w:rsid w:val="005607F0"/>
    <w:rsid w:val="00561070"/>
    <w:rsid w:val="0056190D"/>
    <w:rsid w:val="00567132"/>
    <w:rsid w:val="00567576"/>
    <w:rsid w:val="00570FC3"/>
    <w:rsid w:val="0057654B"/>
    <w:rsid w:val="00582A83"/>
    <w:rsid w:val="00583FCB"/>
    <w:rsid w:val="00584280"/>
    <w:rsid w:val="00584728"/>
    <w:rsid w:val="005854DE"/>
    <w:rsid w:val="005878C7"/>
    <w:rsid w:val="005903F5"/>
    <w:rsid w:val="005907F0"/>
    <w:rsid w:val="00594DC6"/>
    <w:rsid w:val="00595006"/>
    <w:rsid w:val="00597BFD"/>
    <w:rsid w:val="005A1E86"/>
    <w:rsid w:val="005A3433"/>
    <w:rsid w:val="005A7C81"/>
    <w:rsid w:val="005B2A66"/>
    <w:rsid w:val="005B35DD"/>
    <w:rsid w:val="005B520F"/>
    <w:rsid w:val="005C1913"/>
    <w:rsid w:val="005C3460"/>
    <w:rsid w:val="005C76CB"/>
    <w:rsid w:val="005D0C7A"/>
    <w:rsid w:val="005D34C7"/>
    <w:rsid w:val="005D5658"/>
    <w:rsid w:val="005D6E5A"/>
    <w:rsid w:val="005D780C"/>
    <w:rsid w:val="005E191C"/>
    <w:rsid w:val="005E543D"/>
    <w:rsid w:val="005E5D25"/>
    <w:rsid w:val="005F0278"/>
    <w:rsid w:val="005F2347"/>
    <w:rsid w:val="005F4A63"/>
    <w:rsid w:val="005F5C79"/>
    <w:rsid w:val="005F6F81"/>
    <w:rsid w:val="005F7D12"/>
    <w:rsid w:val="0060133A"/>
    <w:rsid w:val="00610FAC"/>
    <w:rsid w:val="00612AF9"/>
    <w:rsid w:val="00613D42"/>
    <w:rsid w:val="00613D78"/>
    <w:rsid w:val="00615E4A"/>
    <w:rsid w:val="006204C2"/>
    <w:rsid w:val="00623CCC"/>
    <w:rsid w:val="006249AE"/>
    <w:rsid w:val="00630C1C"/>
    <w:rsid w:val="00637E9D"/>
    <w:rsid w:val="00650BD3"/>
    <w:rsid w:val="00656187"/>
    <w:rsid w:val="00662E29"/>
    <w:rsid w:val="006635D3"/>
    <w:rsid w:val="00664286"/>
    <w:rsid w:val="006672C6"/>
    <w:rsid w:val="00671B3B"/>
    <w:rsid w:val="00671E9C"/>
    <w:rsid w:val="00674C4E"/>
    <w:rsid w:val="00675045"/>
    <w:rsid w:val="00675819"/>
    <w:rsid w:val="00677982"/>
    <w:rsid w:val="00684AAA"/>
    <w:rsid w:val="00690D8F"/>
    <w:rsid w:val="00693F28"/>
    <w:rsid w:val="00696684"/>
    <w:rsid w:val="006A02D0"/>
    <w:rsid w:val="006A3D7B"/>
    <w:rsid w:val="006A743B"/>
    <w:rsid w:val="006A74D4"/>
    <w:rsid w:val="006A7A77"/>
    <w:rsid w:val="006B09C3"/>
    <w:rsid w:val="006B4D79"/>
    <w:rsid w:val="006B7B48"/>
    <w:rsid w:val="006C0A5D"/>
    <w:rsid w:val="006C0FBD"/>
    <w:rsid w:val="006C1A8A"/>
    <w:rsid w:val="006C74D1"/>
    <w:rsid w:val="006D16B3"/>
    <w:rsid w:val="006D337F"/>
    <w:rsid w:val="006E1269"/>
    <w:rsid w:val="006E2B5F"/>
    <w:rsid w:val="006E45D9"/>
    <w:rsid w:val="006E4F72"/>
    <w:rsid w:val="006F537A"/>
    <w:rsid w:val="006F6E22"/>
    <w:rsid w:val="0070080C"/>
    <w:rsid w:val="00704A52"/>
    <w:rsid w:val="0070771A"/>
    <w:rsid w:val="00710A26"/>
    <w:rsid w:val="00713A06"/>
    <w:rsid w:val="007140C2"/>
    <w:rsid w:val="00721E54"/>
    <w:rsid w:val="00722BD2"/>
    <w:rsid w:val="00727843"/>
    <w:rsid w:val="00727ECB"/>
    <w:rsid w:val="007301C2"/>
    <w:rsid w:val="00731F17"/>
    <w:rsid w:val="00732404"/>
    <w:rsid w:val="00734A4D"/>
    <w:rsid w:val="00735F9D"/>
    <w:rsid w:val="007403B4"/>
    <w:rsid w:val="00744095"/>
    <w:rsid w:val="007448C0"/>
    <w:rsid w:val="00744F63"/>
    <w:rsid w:val="00751B1A"/>
    <w:rsid w:val="007537F8"/>
    <w:rsid w:val="0075587F"/>
    <w:rsid w:val="00756D3E"/>
    <w:rsid w:val="0076421F"/>
    <w:rsid w:val="007658E4"/>
    <w:rsid w:val="0077194E"/>
    <w:rsid w:val="00775BDA"/>
    <w:rsid w:val="007810CA"/>
    <w:rsid w:val="0079307E"/>
    <w:rsid w:val="00793393"/>
    <w:rsid w:val="00794D6C"/>
    <w:rsid w:val="007963B6"/>
    <w:rsid w:val="007A01AA"/>
    <w:rsid w:val="007A45F7"/>
    <w:rsid w:val="007A59EA"/>
    <w:rsid w:val="007B1EDD"/>
    <w:rsid w:val="007B2220"/>
    <w:rsid w:val="007B2B13"/>
    <w:rsid w:val="007B5D91"/>
    <w:rsid w:val="007B742A"/>
    <w:rsid w:val="007C1F03"/>
    <w:rsid w:val="007C23C2"/>
    <w:rsid w:val="007C39EB"/>
    <w:rsid w:val="007C3FB0"/>
    <w:rsid w:val="007C71D6"/>
    <w:rsid w:val="007D224D"/>
    <w:rsid w:val="007D289A"/>
    <w:rsid w:val="007D2FE3"/>
    <w:rsid w:val="007D5939"/>
    <w:rsid w:val="007D5FA0"/>
    <w:rsid w:val="007D6AB0"/>
    <w:rsid w:val="007D7EFD"/>
    <w:rsid w:val="007E0C1E"/>
    <w:rsid w:val="007E18B2"/>
    <w:rsid w:val="007E43E4"/>
    <w:rsid w:val="007F25A0"/>
    <w:rsid w:val="007F2CCF"/>
    <w:rsid w:val="007F2F87"/>
    <w:rsid w:val="007F3ACF"/>
    <w:rsid w:val="008000F2"/>
    <w:rsid w:val="00801324"/>
    <w:rsid w:val="00804E54"/>
    <w:rsid w:val="008063DC"/>
    <w:rsid w:val="00810AC2"/>
    <w:rsid w:val="00810B51"/>
    <w:rsid w:val="00810B8A"/>
    <w:rsid w:val="00813175"/>
    <w:rsid w:val="00815A04"/>
    <w:rsid w:val="00815E3B"/>
    <w:rsid w:val="00816089"/>
    <w:rsid w:val="00823CF5"/>
    <w:rsid w:val="00826259"/>
    <w:rsid w:val="0083181A"/>
    <w:rsid w:val="00831F61"/>
    <w:rsid w:val="0083226D"/>
    <w:rsid w:val="008331E7"/>
    <w:rsid w:val="00835D7A"/>
    <w:rsid w:val="00836650"/>
    <w:rsid w:val="00836A82"/>
    <w:rsid w:val="00837266"/>
    <w:rsid w:val="00842DC9"/>
    <w:rsid w:val="0084317D"/>
    <w:rsid w:val="00844A2F"/>
    <w:rsid w:val="008506A1"/>
    <w:rsid w:val="008514F4"/>
    <w:rsid w:val="0085162F"/>
    <w:rsid w:val="00853555"/>
    <w:rsid w:val="008538C8"/>
    <w:rsid w:val="00853B79"/>
    <w:rsid w:val="00854061"/>
    <w:rsid w:val="00857ED8"/>
    <w:rsid w:val="008623BC"/>
    <w:rsid w:val="008645E0"/>
    <w:rsid w:val="008723DB"/>
    <w:rsid w:val="008728BA"/>
    <w:rsid w:val="00872B84"/>
    <w:rsid w:val="00874020"/>
    <w:rsid w:val="00874892"/>
    <w:rsid w:val="008805B7"/>
    <w:rsid w:val="00881BA5"/>
    <w:rsid w:val="00885705"/>
    <w:rsid w:val="0088615A"/>
    <w:rsid w:val="008861B9"/>
    <w:rsid w:val="00893268"/>
    <w:rsid w:val="00893C0A"/>
    <w:rsid w:val="00897735"/>
    <w:rsid w:val="008A037A"/>
    <w:rsid w:val="008A1DC0"/>
    <w:rsid w:val="008A5464"/>
    <w:rsid w:val="008A5A99"/>
    <w:rsid w:val="008A6A0C"/>
    <w:rsid w:val="008B7A75"/>
    <w:rsid w:val="008C0097"/>
    <w:rsid w:val="008C1FA5"/>
    <w:rsid w:val="008C700B"/>
    <w:rsid w:val="008D09D8"/>
    <w:rsid w:val="008D3D85"/>
    <w:rsid w:val="008E0B50"/>
    <w:rsid w:val="008E44E1"/>
    <w:rsid w:val="008E5440"/>
    <w:rsid w:val="008F3DF9"/>
    <w:rsid w:val="008F4834"/>
    <w:rsid w:val="008F503E"/>
    <w:rsid w:val="008F6D2A"/>
    <w:rsid w:val="008F771F"/>
    <w:rsid w:val="0090192B"/>
    <w:rsid w:val="00901B87"/>
    <w:rsid w:val="0090575F"/>
    <w:rsid w:val="00905939"/>
    <w:rsid w:val="0090595A"/>
    <w:rsid w:val="00915BF8"/>
    <w:rsid w:val="009201AF"/>
    <w:rsid w:val="0092116D"/>
    <w:rsid w:val="00921656"/>
    <w:rsid w:val="00921923"/>
    <w:rsid w:val="00926D8D"/>
    <w:rsid w:val="00927DA6"/>
    <w:rsid w:val="00932011"/>
    <w:rsid w:val="00935D1B"/>
    <w:rsid w:val="00935DDB"/>
    <w:rsid w:val="009413C1"/>
    <w:rsid w:val="00942C70"/>
    <w:rsid w:val="00945D72"/>
    <w:rsid w:val="0094631C"/>
    <w:rsid w:val="009472F5"/>
    <w:rsid w:val="00947670"/>
    <w:rsid w:val="0095168C"/>
    <w:rsid w:val="009562BD"/>
    <w:rsid w:val="00956E5A"/>
    <w:rsid w:val="009570F8"/>
    <w:rsid w:val="0096302C"/>
    <w:rsid w:val="0096336C"/>
    <w:rsid w:val="00964B2F"/>
    <w:rsid w:val="00964D73"/>
    <w:rsid w:val="0096684E"/>
    <w:rsid w:val="00966DC9"/>
    <w:rsid w:val="0096706F"/>
    <w:rsid w:val="00970914"/>
    <w:rsid w:val="009719AA"/>
    <w:rsid w:val="009729FC"/>
    <w:rsid w:val="00973DC1"/>
    <w:rsid w:val="009748B9"/>
    <w:rsid w:val="00974E0A"/>
    <w:rsid w:val="009752ED"/>
    <w:rsid w:val="00976DBD"/>
    <w:rsid w:val="0098716C"/>
    <w:rsid w:val="00987A91"/>
    <w:rsid w:val="009918CB"/>
    <w:rsid w:val="009922DA"/>
    <w:rsid w:val="009930EB"/>
    <w:rsid w:val="009968BE"/>
    <w:rsid w:val="00996991"/>
    <w:rsid w:val="00997761"/>
    <w:rsid w:val="009A2092"/>
    <w:rsid w:val="009A635A"/>
    <w:rsid w:val="009A6E59"/>
    <w:rsid w:val="009B062F"/>
    <w:rsid w:val="009B0874"/>
    <w:rsid w:val="009B24CE"/>
    <w:rsid w:val="009B5C16"/>
    <w:rsid w:val="009B6ACB"/>
    <w:rsid w:val="009C0674"/>
    <w:rsid w:val="009C1C12"/>
    <w:rsid w:val="009C39D5"/>
    <w:rsid w:val="009C3FC1"/>
    <w:rsid w:val="009C6F80"/>
    <w:rsid w:val="009D151E"/>
    <w:rsid w:val="009D7328"/>
    <w:rsid w:val="009D7D41"/>
    <w:rsid w:val="009E1C0B"/>
    <w:rsid w:val="009E39AD"/>
    <w:rsid w:val="009E435C"/>
    <w:rsid w:val="009E7E10"/>
    <w:rsid w:val="00A014D5"/>
    <w:rsid w:val="00A0273D"/>
    <w:rsid w:val="00A03DFF"/>
    <w:rsid w:val="00A03E6C"/>
    <w:rsid w:val="00A054CD"/>
    <w:rsid w:val="00A0713D"/>
    <w:rsid w:val="00A139B5"/>
    <w:rsid w:val="00A1639A"/>
    <w:rsid w:val="00A2016F"/>
    <w:rsid w:val="00A22038"/>
    <w:rsid w:val="00A24B31"/>
    <w:rsid w:val="00A24E9B"/>
    <w:rsid w:val="00A25494"/>
    <w:rsid w:val="00A33A69"/>
    <w:rsid w:val="00A34AD0"/>
    <w:rsid w:val="00A430B9"/>
    <w:rsid w:val="00A46FF1"/>
    <w:rsid w:val="00A556CE"/>
    <w:rsid w:val="00A624CB"/>
    <w:rsid w:val="00A67160"/>
    <w:rsid w:val="00A70812"/>
    <w:rsid w:val="00A71EB0"/>
    <w:rsid w:val="00A763C2"/>
    <w:rsid w:val="00A7708E"/>
    <w:rsid w:val="00A7791C"/>
    <w:rsid w:val="00A82171"/>
    <w:rsid w:val="00A84E4B"/>
    <w:rsid w:val="00A855F1"/>
    <w:rsid w:val="00A85A87"/>
    <w:rsid w:val="00A8634B"/>
    <w:rsid w:val="00A872E0"/>
    <w:rsid w:val="00A87FC5"/>
    <w:rsid w:val="00A91D07"/>
    <w:rsid w:val="00A948F1"/>
    <w:rsid w:val="00A963B1"/>
    <w:rsid w:val="00AA0AED"/>
    <w:rsid w:val="00AA5345"/>
    <w:rsid w:val="00AA5A26"/>
    <w:rsid w:val="00AB08E0"/>
    <w:rsid w:val="00AB6B10"/>
    <w:rsid w:val="00AB7345"/>
    <w:rsid w:val="00AB7DA9"/>
    <w:rsid w:val="00AC1CFE"/>
    <w:rsid w:val="00AC331C"/>
    <w:rsid w:val="00AD6508"/>
    <w:rsid w:val="00AD675A"/>
    <w:rsid w:val="00AE063C"/>
    <w:rsid w:val="00AE28B4"/>
    <w:rsid w:val="00AE4923"/>
    <w:rsid w:val="00AF2B64"/>
    <w:rsid w:val="00AF6CB8"/>
    <w:rsid w:val="00AF6FD6"/>
    <w:rsid w:val="00B03188"/>
    <w:rsid w:val="00B0445A"/>
    <w:rsid w:val="00B04E25"/>
    <w:rsid w:val="00B05432"/>
    <w:rsid w:val="00B07411"/>
    <w:rsid w:val="00B1080F"/>
    <w:rsid w:val="00B12F30"/>
    <w:rsid w:val="00B130AA"/>
    <w:rsid w:val="00B149AC"/>
    <w:rsid w:val="00B14D67"/>
    <w:rsid w:val="00B17427"/>
    <w:rsid w:val="00B21CF7"/>
    <w:rsid w:val="00B233FD"/>
    <w:rsid w:val="00B31441"/>
    <w:rsid w:val="00B31574"/>
    <w:rsid w:val="00B330FA"/>
    <w:rsid w:val="00B34217"/>
    <w:rsid w:val="00B349E3"/>
    <w:rsid w:val="00B34B8E"/>
    <w:rsid w:val="00B51823"/>
    <w:rsid w:val="00B55261"/>
    <w:rsid w:val="00B572F7"/>
    <w:rsid w:val="00B63819"/>
    <w:rsid w:val="00B63FD5"/>
    <w:rsid w:val="00B66BE1"/>
    <w:rsid w:val="00B67C7A"/>
    <w:rsid w:val="00B7214A"/>
    <w:rsid w:val="00B7321A"/>
    <w:rsid w:val="00B80117"/>
    <w:rsid w:val="00B81A90"/>
    <w:rsid w:val="00B821E0"/>
    <w:rsid w:val="00B82973"/>
    <w:rsid w:val="00B870D2"/>
    <w:rsid w:val="00B910C5"/>
    <w:rsid w:val="00B9605A"/>
    <w:rsid w:val="00B977F7"/>
    <w:rsid w:val="00BA0FEE"/>
    <w:rsid w:val="00BA2E9D"/>
    <w:rsid w:val="00BA67D6"/>
    <w:rsid w:val="00BA728B"/>
    <w:rsid w:val="00BC29FD"/>
    <w:rsid w:val="00BC33C1"/>
    <w:rsid w:val="00BC400E"/>
    <w:rsid w:val="00BC42CA"/>
    <w:rsid w:val="00BD06D0"/>
    <w:rsid w:val="00BD1C2D"/>
    <w:rsid w:val="00BD384C"/>
    <w:rsid w:val="00BD443D"/>
    <w:rsid w:val="00BD55B3"/>
    <w:rsid w:val="00BE334F"/>
    <w:rsid w:val="00BE6596"/>
    <w:rsid w:val="00C01D55"/>
    <w:rsid w:val="00C04B3C"/>
    <w:rsid w:val="00C04EEA"/>
    <w:rsid w:val="00C05B24"/>
    <w:rsid w:val="00C0680E"/>
    <w:rsid w:val="00C12333"/>
    <w:rsid w:val="00C24D44"/>
    <w:rsid w:val="00C25A49"/>
    <w:rsid w:val="00C306A3"/>
    <w:rsid w:val="00C30DA6"/>
    <w:rsid w:val="00C31144"/>
    <w:rsid w:val="00C40031"/>
    <w:rsid w:val="00C403F0"/>
    <w:rsid w:val="00C42365"/>
    <w:rsid w:val="00C4335F"/>
    <w:rsid w:val="00C44A91"/>
    <w:rsid w:val="00C45AA9"/>
    <w:rsid w:val="00C5252B"/>
    <w:rsid w:val="00C52BE9"/>
    <w:rsid w:val="00C54662"/>
    <w:rsid w:val="00C62360"/>
    <w:rsid w:val="00C63162"/>
    <w:rsid w:val="00C663C9"/>
    <w:rsid w:val="00C677DD"/>
    <w:rsid w:val="00C67BDC"/>
    <w:rsid w:val="00C713E7"/>
    <w:rsid w:val="00C71E46"/>
    <w:rsid w:val="00C77768"/>
    <w:rsid w:val="00C8036A"/>
    <w:rsid w:val="00C80BCC"/>
    <w:rsid w:val="00C80EE9"/>
    <w:rsid w:val="00C8404C"/>
    <w:rsid w:val="00C8416A"/>
    <w:rsid w:val="00C84198"/>
    <w:rsid w:val="00C93776"/>
    <w:rsid w:val="00C97EFA"/>
    <w:rsid w:val="00CA25DB"/>
    <w:rsid w:val="00CB072E"/>
    <w:rsid w:val="00CB2A8A"/>
    <w:rsid w:val="00CB3039"/>
    <w:rsid w:val="00CB375D"/>
    <w:rsid w:val="00CB4350"/>
    <w:rsid w:val="00CB438B"/>
    <w:rsid w:val="00CD2C10"/>
    <w:rsid w:val="00CD697B"/>
    <w:rsid w:val="00CD7803"/>
    <w:rsid w:val="00CE0704"/>
    <w:rsid w:val="00CE0B1D"/>
    <w:rsid w:val="00CE1035"/>
    <w:rsid w:val="00CE1192"/>
    <w:rsid w:val="00CE265B"/>
    <w:rsid w:val="00CE39DF"/>
    <w:rsid w:val="00D02250"/>
    <w:rsid w:val="00D03614"/>
    <w:rsid w:val="00D04A35"/>
    <w:rsid w:val="00D05CA8"/>
    <w:rsid w:val="00D06F52"/>
    <w:rsid w:val="00D07980"/>
    <w:rsid w:val="00D12667"/>
    <w:rsid w:val="00D14595"/>
    <w:rsid w:val="00D23569"/>
    <w:rsid w:val="00D262C3"/>
    <w:rsid w:val="00D30270"/>
    <w:rsid w:val="00D35B24"/>
    <w:rsid w:val="00D372D5"/>
    <w:rsid w:val="00D462AC"/>
    <w:rsid w:val="00D5367F"/>
    <w:rsid w:val="00D53C85"/>
    <w:rsid w:val="00D5482F"/>
    <w:rsid w:val="00D55000"/>
    <w:rsid w:val="00D55736"/>
    <w:rsid w:val="00D56217"/>
    <w:rsid w:val="00D56B06"/>
    <w:rsid w:val="00D603BC"/>
    <w:rsid w:val="00D71294"/>
    <w:rsid w:val="00D73DD2"/>
    <w:rsid w:val="00D74711"/>
    <w:rsid w:val="00D75DB9"/>
    <w:rsid w:val="00D76E42"/>
    <w:rsid w:val="00D7790D"/>
    <w:rsid w:val="00D863C8"/>
    <w:rsid w:val="00D955D0"/>
    <w:rsid w:val="00D972B5"/>
    <w:rsid w:val="00DA783A"/>
    <w:rsid w:val="00DB01AC"/>
    <w:rsid w:val="00DB07D6"/>
    <w:rsid w:val="00DB17E2"/>
    <w:rsid w:val="00DB1801"/>
    <w:rsid w:val="00DB2F23"/>
    <w:rsid w:val="00DC3AAD"/>
    <w:rsid w:val="00DC708E"/>
    <w:rsid w:val="00DC7BB6"/>
    <w:rsid w:val="00DD58B8"/>
    <w:rsid w:val="00DD5987"/>
    <w:rsid w:val="00DE2B61"/>
    <w:rsid w:val="00DE379A"/>
    <w:rsid w:val="00DF16BA"/>
    <w:rsid w:val="00DF4037"/>
    <w:rsid w:val="00DF572A"/>
    <w:rsid w:val="00DF5A36"/>
    <w:rsid w:val="00DF6519"/>
    <w:rsid w:val="00DF666C"/>
    <w:rsid w:val="00DF694D"/>
    <w:rsid w:val="00E04591"/>
    <w:rsid w:val="00E05E45"/>
    <w:rsid w:val="00E065CE"/>
    <w:rsid w:val="00E06F6D"/>
    <w:rsid w:val="00E1195F"/>
    <w:rsid w:val="00E12004"/>
    <w:rsid w:val="00E133F0"/>
    <w:rsid w:val="00E142D7"/>
    <w:rsid w:val="00E1629C"/>
    <w:rsid w:val="00E21A52"/>
    <w:rsid w:val="00E21F80"/>
    <w:rsid w:val="00E23FF3"/>
    <w:rsid w:val="00E243BF"/>
    <w:rsid w:val="00E270AB"/>
    <w:rsid w:val="00E32744"/>
    <w:rsid w:val="00E340E6"/>
    <w:rsid w:val="00E41FA4"/>
    <w:rsid w:val="00E425A2"/>
    <w:rsid w:val="00E42EA1"/>
    <w:rsid w:val="00E4330D"/>
    <w:rsid w:val="00E45120"/>
    <w:rsid w:val="00E460FC"/>
    <w:rsid w:val="00E462F9"/>
    <w:rsid w:val="00E46761"/>
    <w:rsid w:val="00E475D6"/>
    <w:rsid w:val="00E50FA3"/>
    <w:rsid w:val="00E51D7F"/>
    <w:rsid w:val="00E53B3E"/>
    <w:rsid w:val="00E5456E"/>
    <w:rsid w:val="00E57F29"/>
    <w:rsid w:val="00E613B6"/>
    <w:rsid w:val="00E61812"/>
    <w:rsid w:val="00E62C5A"/>
    <w:rsid w:val="00E63A43"/>
    <w:rsid w:val="00E653D2"/>
    <w:rsid w:val="00E722B0"/>
    <w:rsid w:val="00E733FF"/>
    <w:rsid w:val="00E7373F"/>
    <w:rsid w:val="00E7525D"/>
    <w:rsid w:val="00E77705"/>
    <w:rsid w:val="00E81BE2"/>
    <w:rsid w:val="00E849CA"/>
    <w:rsid w:val="00E870A1"/>
    <w:rsid w:val="00E900E1"/>
    <w:rsid w:val="00E9250E"/>
    <w:rsid w:val="00EA3D9B"/>
    <w:rsid w:val="00EA7F46"/>
    <w:rsid w:val="00EB5587"/>
    <w:rsid w:val="00EB5F4B"/>
    <w:rsid w:val="00EB617C"/>
    <w:rsid w:val="00EC59A4"/>
    <w:rsid w:val="00ED04EF"/>
    <w:rsid w:val="00ED3F41"/>
    <w:rsid w:val="00ED4FDD"/>
    <w:rsid w:val="00EE70CA"/>
    <w:rsid w:val="00EF06AF"/>
    <w:rsid w:val="00EF0C37"/>
    <w:rsid w:val="00EF36C3"/>
    <w:rsid w:val="00EF6EA4"/>
    <w:rsid w:val="00EF7FC5"/>
    <w:rsid w:val="00F0033F"/>
    <w:rsid w:val="00F024B1"/>
    <w:rsid w:val="00F0485E"/>
    <w:rsid w:val="00F110A5"/>
    <w:rsid w:val="00F112BA"/>
    <w:rsid w:val="00F13530"/>
    <w:rsid w:val="00F14D22"/>
    <w:rsid w:val="00F16399"/>
    <w:rsid w:val="00F26CCA"/>
    <w:rsid w:val="00F273F7"/>
    <w:rsid w:val="00F27AF8"/>
    <w:rsid w:val="00F300C9"/>
    <w:rsid w:val="00F35C41"/>
    <w:rsid w:val="00F36F96"/>
    <w:rsid w:val="00F40A5C"/>
    <w:rsid w:val="00F41E08"/>
    <w:rsid w:val="00F42552"/>
    <w:rsid w:val="00F45BF3"/>
    <w:rsid w:val="00F464F6"/>
    <w:rsid w:val="00F5464E"/>
    <w:rsid w:val="00F56F0D"/>
    <w:rsid w:val="00F57D75"/>
    <w:rsid w:val="00F600C4"/>
    <w:rsid w:val="00F61FC3"/>
    <w:rsid w:val="00F62101"/>
    <w:rsid w:val="00F64D41"/>
    <w:rsid w:val="00F66614"/>
    <w:rsid w:val="00F67DDA"/>
    <w:rsid w:val="00F716A6"/>
    <w:rsid w:val="00F717DC"/>
    <w:rsid w:val="00F72BF7"/>
    <w:rsid w:val="00F7517A"/>
    <w:rsid w:val="00F77468"/>
    <w:rsid w:val="00F868B5"/>
    <w:rsid w:val="00F92438"/>
    <w:rsid w:val="00F97FE8"/>
    <w:rsid w:val="00FA1873"/>
    <w:rsid w:val="00FA4D4B"/>
    <w:rsid w:val="00FB0B13"/>
    <w:rsid w:val="00FB30AB"/>
    <w:rsid w:val="00FB534A"/>
    <w:rsid w:val="00FC047A"/>
    <w:rsid w:val="00FC07CA"/>
    <w:rsid w:val="00FC0C48"/>
    <w:rsid w:val="00FC10E4"/>
    <w:rsid w:val="00FC334E"/>
    <w:rsid w:val="00FC3F7B"/>
    <w:rsid w:val="00FC6133"/>
    <w:rsid w:val="00FC6E57"/>
    <w:rsid w:val="00FD49B4"/>
    <w:rsid w:val="00FE0EAB"/>
    <w:rsid w:val="00FE1EFE"/>
    <w:rsid w:val="00FE43E8"/>
    <w:rsid w:val="00FE4A83"/>
    <w:rsid w:val="00FE584B"/>
    <w:rsid w:val="00FE7027"/>
    <w:rsid w:val="00FF10C1"/>
    <w:rsid w:val="00FF1775"/>
    <w:rsid w:val="00FF1B11"/>
    <w:rsid w:val="00FF1EAF"/>
    <w:rsid w:val="00FF3043"/>
    <w:rsid w:val="00FF3E25"/>
    <w:rsid w:val="00FF4283"/>
    <w:rsid w:val="00FF4C50"/>
    <w:rsid w:val="00FF5A25"/>
    <w:rsid w:val="00FF6527"/>
  </w:rsids>
  <m:mathPr>
    <m:mathFont m:val="Cambria Math"/>
    <m:brkBin m:val="before"/>
    <m:brkBinSub m:val="--"/>
    <m:smallFrac m:val="0"/>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6862D"/>
  <w15:docId w15:val="{9774522B-5698-4FBE-9EC2-1273EFF6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D9B"/>
    <w:pPr>
      <w:spacing w:after="200" w:line="276" w:lineRule="auto"/>
    </w:pPr>
    <w:rPr>
      <w:rFonts w:ascii="Times New Roman" w:hAnsi="Times New Roman"/>
      <w:sz w:val="24"/>
      <w:lang w:val="en-US"/>
    </w:rPr>
  </w:style>
  <w:style w:type="paragraph" w:styleId="Ttulo1">
    <w:name w:val="heading 1"/>
    <w:basedOn w:val="Normal"/>
    <w:next w:val="Normal"/>
    <w:link w:val="Ttulo1Car"/>
    <w:qFormat/>
    <w:rsid w:val="00F464F6"/>
    <w:pPr>
      <w:keepNext/>
      <w:keepLines/>
      <w:numPr>
        <w:numId w:val="3"/>
      </w:numPr>
      <w:spacing w:after="0" w:line="480" w:lineRule="auto"/>
      <w:jc w:val="both"/>
      <w:outlineLvl w:val="0"/>
    </w:pPr>
    <w:rPr>
      <w:rFonts w:eastAsiaTheme="majorEastAsia" w:cstheme="majorBidi"/>
      <w:b/>
      <w:bCs/>
      <w:szCs w:val="28"/>
      <w:lang w:val="es-ES" w:eastAsia="es-ES"/>
    </w:rPr>
  </w:style>
  <w:style w:type="paragraph" w:styleId="Ttulo2">
    <w:name w:val="heading 2"/>
    <w:basedOn w:val="Normal"/>
    <w:next w:val="Normal"/>
    <w:link w:val="Ttulo2Car"/>
    <w:unhideWhenUsed/>
    <w:qFormat/>
    <w:rsid w:val="00F464F6"/>
    <w:pPr>
      <w:keepNext/>
      <w:keepLines/>
      <w:numPr>
        <w:ilvl w:val="1"/>
        <w:numId w:val="3"/>
      </w:numPr>
      <w:spacing w:before="40" w:after="0" w:line="480" w:lineRule="auto"/>
      <w:jc w:val="both"/>
      <w:outlineLvl w:val="1"/>
    </w:pPr>
    <w:rPr>
      <w:rFonts w:eastAsiaTheme="majorEastAsia" w:cstheme="majorBidi"/>
      <w:szCs w:val="26"/>
      <w:lang w:val="es-ES" w:eastAsia="es-ES"/>
    </w:rPr>
  </w:style>
  <w:style w:type="paragraph" w:styleId="Ttulo3">
    <w:name w:val="heading 3"/>
    <w:basedOn w:val="Normal"/>
    <w:next w:val="Normal"/>
    <w:link w:val="Ttulo3Car"/>
    <w:unhideWhenUsed/>
    <w:qFormat/>
    <w:rsid w:val="00F464F6"/>
    <w:pPr>
      <w:keepNext/>
      <w:keepLines/>
      <w:numPr>
        <w:ilvl w:val="2"/>
        <w:numId w:val="3"/>
      </w:numPr>
      <w:spacing w:before="40" w:after="0" w:line="480" w:lineRule="auto"/>
      <w:jc w:val="both"/>
      <w:outlineLvl w:val="2"/>
    </w:pPr>
    <w:rPr>
      <w:rFonts w:asciiTheme="majorHAnsi" w:eastAsiaTheme="majorEastAsia" w:hAnsiTheme="majorHAnsi" w:cstheme="majorBidi"/>
      <w:color w:val="1F4D78" w:themeColor="accent1" w:themeShade="7F"/>
      <w:szCs w:val="24"/>
      <w:lang w:val="es-ES" w:eastAsia="es-ES"/>
    </w:rPr>
  </w:style>
  <w:style w:type="paragraph" w:styleId="Ttulo4">
    <w:name w:val="heading 4"/>
    <w:basedOn w:val="Normal"/>
    <w:next w:val="Normal"/>
    <w:link w:val="Ttulo4Car"/>
    <w:semiHidden/>
    <w:unhideWhenUsed/>
    <w:qFormat/>
    <w:rsid w:val="00F464F6"/>
    <w:pPr>
      <w:keepNext/>
      <w:keepLines/>
      <w:numPr>
        <w:ilvl w:val="3"/>
        <w:numId w:val="3"/>
      </w:numPr>
      <w:spacing w:before="40" w:after="0" w:line="480" w:lineRule="auto"/>
      <w:jc w:val="both"/>
      <w:outlineLvl w:val="3"/>
    </w:pPr>
    <w:rPr>
      <w:rFonts w:asciiTheme="majorHAnsi" w:eastAsiaTheme="majorEastAsia" w:hAnsiTheme="majorHAnsi" w:cstheme="majorBidi"/>
      <w:i/>
      <w:iCs/>
      <w:color w:val="2E74B5" w:themeColor="accent1" w:themeShade="BF"/>
      <w:lang w:val="es-ES" w:eastAsia="es-ES"/>
    </w:rPr>
  </w:style>
  <w:style w:type="paragraph" w:styleId="Ttulo5">
    <w:name w:val="heading 5"/>
    <w:basedOn w:val="Normal"/>
    <w:next w:val="Normal"/>
    <w:link w:val="Ttulo5Car"/>
    <w:semiHidden/>
    <w:unhideWhenUsed/>
    <w:qFormat/>
    <w:rsid w:val="00F464F6"/>
    <w:pPr>
      <w:keepNext/>
      <w:keepLines/>
      <w:numPr>
        <w:ilvl w:val="4"/>
        <w:numId w:val="3"/>
      </w:numPr>
      <w:spacing w:before="40" w:after="0" w:line="480" w:lineRule="auto"/>
      <w:jc w:val="both"/>
      <w:outlineLvl w:val="4"/>
    </w:pPr>
    <w:rPr>
      <w:rFonts w:asciiTheme="majorHAnsi" w:eastAsiaTheme="majorEastAsia" w:hAnsiTheme="majorHAnsi" w:cstheme="majorBidi"/>
      <w:color w:val="2E74B5" w:themeColor="accent1" w:themeShade="BF"/>
      <w:lang w:val="es-ES" w:eastAsia="es-ES"/>
    </w:rPr>
  </w:style>
  <w:style w:type="paragraph" w:styleId="Ttulo6">
    <w:name w:val="heading 6"/>
    <w:basedOn w:val="Normal"/>
    <w:next w:val="Normal"/>
    <w:link w:val="Ttulo6Car"/>
    <w:semiHidden/>
    <w:unhideWhenUsed/>
    <w:qFormat/>
    <w:rsid w:val="00F464F6"/>
    <w:pPr>
      <w:keepNext/>
      <w:keepLines/>
      <w:numPr>
        <w:ilvl w:val="5"/>
        <w:numId w:val="3"/>
      </w:numPr>
      <w:spacing w:before="40" w:after="0" w:line="480" w:lineRule="auto"/>
      <w:jc w:val="both"/>
      <w:outlineLvl w:val="5"/>
    </w:pPr>
    <w:rPr>
      <w:rFonts w:asciiTheme="majorHAnsi" w:eastAsiaTheme="majorEastAsia" w:hAnsiTheme="majorHAnsi" w:cstheme="majorBidi"/>
      <w:color w:val="1F4D78" w:themeColor="accent1" w:themeShade="7F"/>
      <w:lang w:val="es-ES" w:eastAsia="es-ES"/>
    </w:rPr>
  </w:style>
  <w:style w:type="paragraph" w:styleId="Ttulo7">
    <w:name w:val="heading 7"/>
    <w:basedOn w:val="Normal"/>
    <w:next w:val="Normal"/>
    <w:link w:val="Ttulo7Car"/>
    <w:semiHidden/>
    <w:unhideWhenUsed/>
    <w:qFormat/>
    <w:rsid w:val="00F464F6"/>
    <w:pPr>
      <w:keepNext/>
      <w:keepLines/>
      <w:numPr>
        <w:ilvl w:val="6"/>
        <w:numId w:val="3"/>
      </w:numPr>
      <w:spacing w:before="40" w:after="0" w:line="480" w:lineRule="auto"/>
      <w:jc w:val="both"/>
      <w:outlineLvl w:val="6"/>
    </w:pPr>
    <w:rPr>
      <w:rFonts w:asciiTheme="majorHAnsi" w:eastAsiaTheme="majorEastAsia" w:hAnsiTheme="majorHAnsi" w:cstheme="majorBidi"/>
      <w:i/>
      <w:iCs/>
      <w:color w:val="1F4D78" w:themeColor="accent1" w:themeShade="7F"/>
      <w:lang w:val="es-ES" w:eastAsia="es-ES"/>
    </w:rPr>
  </w:style>
  <w:style w:type="paragraph" w:styleId="Ttulo8">
    <w:name w:val="heading 8"/>
    <w:basedOn w:val="Normal"/>
    <w:next w:val="Normal"/>
    <w:link w:val="Ttulo8Car"/>
    <w:semiHidden/>
    <w:unhideWhenUsed/>
    <w:qFormat/>
    <w:rsid w:val="00F464F6"/>
    <w:pPr>
      <w:keepNext/>
      <w:keepLines/>
      <w:numPr>
        <w:ilvl w:val="7"/>
        <w:numId w:val="3"/>
      </w:numPr>
      <w:spacing w:before="40" w:after="0" w:line="480" w:lineRule="auto"/>
      <w:jc w:val="both"/>
      <w:outlineLvl w:val="7"/>
    </w:pPr>
    <w:rPr>
      <w:rFonts w:asciiTheme="majorHAnsi" w:eastAsiaTheme="majorEastAsia" w:hAnsiTheme="majorHAnsi" w:cstheme="majorBidi"/>
      <w:color w:val="272727" w:themeColor="text1" w:themeTint="D8"/>
      <w:sz w:val="21"/>
      <w:szCs w:val="21"/>
      <w:lang w:val="es-ES" w:eastAsia="es-ES"/>
    </w:rPr>
  </w:style>
  <w:style w:type="paragraph" w:styleId="Ttulo9">
    <w:name w:val="heading 9"/>
    <w:basedOn w:val="Normal"/>
    <w:next w:val="Normal"/>
    <w:link w:val="Ttulo9Car"/>
    <w:semiHidden/>
    <w:unhideWhenUsed/>
    <w:qFormat/>
    <w:rsid w:val="00F464F6"/>
    <w:pPr>
      <w:keepNext/>
      <w:keepLines/>
      <w:numPr>
        <w:ilvl w:val="8"/>
        <w:numId w:val="3"/>
      </w:numPr>
      <w:spacing w:before="40" w:after="0" w:line="480" w:lineRule="auto"/>
      <w:jc w:val="both"/>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1"/>
    <w:qFormat/>
    <w:rsid w:val="00C713E7"/>
    <w:pPr>
      <w:ind w:left="720"/>
      <w:contextualSpacing/>
    </w:pPr>
  </w:style>
  <w:style w:type="character" w:styleId="Nmerodelnea">
    <w:name w:val="line number"/>
    <w:basedOn w:val="Fuentedeprrafopredeter"/>
    <w:uiPriority w:val="99"/>
    <w:semiHidden/>
    <w:unhideWhenUsed/>
    <w:rsid w:val="00A0713D"/>
  </w:style>
  <w:style w:type="paragraph" w:styleId="Textodeglobo">
    <w:name w:val="Balloon Text"/>
    <w:basedOn w:val="Normal"/>
    <w:link w:val="TextodegloboCar"/>
    <w:uiPriority w:val="99"/>
    <w:semiHidden/>
    <w:unhideWhenUsed/>
    <w:rsid w:val="0002564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564E"/>
    <w:rPr>
      <w:rFonts w:ascii="Segoe UI" w:hAnsi="Segoe UI" w:cs="Segoe UI"/>
      <w:sz w:val="18"/>
      <w:szCs w:val="18"/>
      <w:lang w:val="en-US"/>
    </w:rPr>
  </w:style>
  <w:style w:type="table" w:styleId="Tablaconcuadrcula">
    <w:name w:val="Table Grid"/>
    <w:basedOn w:val="Tablanormal"/>
    <w:uiPriority w:val="39"/>
    <w:rsid w:val="00154D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2">
    <w:name w:val="Párrafo de lista2"/>
    <w:basedOn w:val="Normal"/>
    <w:uiPriority w:val="99"/>
    <w:rsid w:val="00273BD3"/>
    <w:pPr>
      <w:spacing w:after="0" w:line="480" w:lineRule="auto"/>
      <w:ind w:left="720" w:firstLine="709"/>
      <w:jc w:val="both"/>
    </w:pPr>
    <w:rPr>
      <w:rFonts w:eastAsia="Times New Roman" w:cs="Calibri"/>
      <w:lang w:val="es-ES" w:eastAsia="es-ES"/>
    </w:rPr>
  </w:style>
  <w:style w:type="paragraph" w:customStyle="1" w:styleId="TITULO4">
    <w:name w:val="TITULO 4"/>
    <w:basedOn w:val="Normal"/>
    <w:qFormat/>
    <w:rsid w:val="00273BD3"/>
    <w:pPr>
      <w:spacing w:before="120" w:after="0" w:line="360" w:lineRule="auto"/>
      <w:contextualSpacing/>
      <w:jc w:val="center"/>
    </w:pPr>
    <w:rPr>
      <w:rFonts w:ascii="Calibri" w:eastAsia="SimSun" w:hAnsi="Calibri" w:cs="Calibri"/>
      <w:sz w:val="22"/>
      <w:szCs w:val="24"/>
      <w:lang w:val="en-GB" w:eastAsia="zh-CN"/>
    </w:rPr>
  </w:style>
  <w:style w:type="character" w:styleId="Hipervnculo">
    <w:name w:val="Hyperlink"/>
    <w:basedOn w:val="Fuentedeprrafopredeter"/>
    <w:uiPriority w:val="99"/>
    <w:unhideWhenUsed/>
    <w:rsid w:val="00793393"/>
    <w:rPr>
      <w:color w:val="0563C1" w:themeColor="hyperlink"/>
      <w:u w:val="single"/>
    </w:rPr>
  </w:style>
  <w:style w:type="character" w:customStyle="1" w:styleId="Ttulo1Car">
    <w:name w:val="Título 1 Car"/>
    <w:basedOn w:val="Fuentedeprrafopredeter"/>
    <w:link w:val="Ttulo1"/>
    <w:rsid w:val="00F464F6"/>
    <w:rPr>
      <w:rFonts w:ascii="Times New Roman" w:eastAsiaTheme="majorEastAsia" w:hAnsi="Times New Roman" w:cstheme="majorBidi"/>
      <w:b/>
      <w:bCs/>
      <w:sz w:val="24"/>
      <w:szCs w:val="28"/>
      <w:lang w:eastAsia="es-ES"/>
    </w:rPr>
  </w:style>
  <w:style w:type="character" w:customStyle="1" w:styleId="Ttulo2Car">
    <w:name w:val="Título 2 Car"/>
    <w:basedOn w:val="Fuentedeprrafopredeter"/>
    <w:link w:val="Ttulo2"/>
    <w:rsid w:val="00F464F6"/>
    <w:rPr>
      <w:rFonts w:ascii="Times New Roman" w:eastAsiaTheme="majorEastAsia" w:hAnsi="Times New Roman" w:cstheme="majorBidi"/>
      <w:sz w:val="24"/>
      <w:szCs w:val="26"/>
      <w:lang w:eastAsia="es-ES"/>
    </w:rPr>
  </w:style>
  <w:style w:type="character" w:customStyle="1" w:styleId="Ttulo3Car">
    <w:name w:val="Título 3 Car"/>
    <w:basedOn w:val="Fuentedeprrafopredeter"/>
    <w:link w:val="Ttulo3"/>
    <w:rsid w:val="00F464F6"/>
    <w:rPr>
      <w:rFonts w:asciiTheme="majorHAnsi" w:eastAsiaTheme="majorEastAsia" w:hAnsiTheme="majorHAnsi" w:cstheme="majorBidi"/>
      <w:color w:val="1F4D78" w:themeColor="accent1" w:themeShade="7F"/>
      <w:sz w:val="24"/>
      <w:szCs w:val="24"/>
      <w:lang w:eastAsia="es-ES"/>
    </w:rPr>
  </w:style>
  <w:style w:type="character" w:customStyle="1" w:styleId="Ttulo4Car">
    <w:name w:val="Título 4 Car"/>
    <w:basedOn w:val="Fuentedeprrafopredeter"/>
    <w:link w:val="Ttulo4"/>
    <w:semiHidden/>
    <w:rsid w:val="00F464F6"/>
    <w:rPr>
      <w:rFonts w:asciiTheme="majorHAnsi" w:eastAsiaTheme="majorEastAsia" w:hAnsiTheme="majorHAnsi" w:cstheme="majorBidi"/>
      <w:i/>
      <w:iCs/>
      <w:color w:val="2E74B5" w:themeColor="accent1" w:themeShade="BF"/>
      <w:sz w:val="24"/>
      <w:lang w:eastAsia="es-ES"/>
    </w:rPr>
  </w:style>
  <w:style w:type="character" w:customStyle="1" w:styleId="Ttulo5Car">
    <w:name w:val="Título 5 Car"/>
    <w:basedOn w:val="Fuentedeprrafopredeter"/>
    <w:link w:val="Ttulo5"/>
    <w:semiHidden/>
    <w:rsid w:val="00F464F6"/>
    <w:rPr>
      <w:rFonts w:asciiTheme="majorHAnsi" w:eastAsiaTheme="majorEastAsia" w:hAnsiTheme="majorHAnsi" w:cstheme="majorBidi"/>
      <w:color w:val="2E74B5" w:themeColor="accent1" w:themeShade="BF"/>
      <w:sz w:val="24"/>
      <w:lang w:eastAsia="es-ES"/>
    </w:rPr>
  </w:style>
  <w:style w:type="character" w:customStyle="1" w:styleId="Ttulo6Car">
    <w:name w:val="Título 6 Car"/>
    <w:basedOn w:val="Fuentedeprrafopredeter"/>
    <w:link w:val="Ttulo6"/>
    <w:semiHidden/>
    <w:rsid w:val="00F464F6"/>
    <w:rPr>
      <w:rFonts w:asciiTheme="majorHAnsi" w:eastAsiaTheme="majorEastAsia" w:hAnsiTheme="majorHAnsi" w:cstheme="majorBidi"/>
      <w:color w:val="1F4D78" w:themeColor="accent1" w:themeShade="7F"/>
      <w:sz w:val="24"/>
      <w:lang w:eastAsia="es-ES"/>
    </w:rPr>
  </w:style>
  <w:style w:type="character" w:customStyle="1" w:styleId="Ttulo7Car">
    <w:name w:val="Título 7 Car"/>
    <w:basedOn w:val="Fuentedeprrafopredeter"/>
    <w:link w:val="Ttulo7"/>
    <w:semiHidden/>
    <w:rsid w:val="00F464F6"/>
    <w:rPr>
      <w:rFonts w:asciiTheme="majorHAnsi" w:eastAsiaTheme="majorEastAsia" w:hAnsiTheme="majorHAnsi" w:cstheme="majorBidi"/>
      <w:i/>
      <w:iCs/>
      <w:color w:val="1F4D78" w:themeColor="accent1" w:themeShade="7F"/>
      <w:sz w:val="24"/>
      <w:lang w:eastAsia="es-ES"/>
    </w:rPr>
  </w:style>
  <w:style w:type="character" w:customStyle="1" w:styleId="Ttulo8Car">
    <w:name w:val="Título 8 Car"/>
    <w:basedOn w:val="Fuentedeprrafopredeter"/>
    <w:link w:val="Ttulo8"/>
    <w:semiHidden/>
    <w:rsid w:val="00F464F6"/>
    <w:rPr>
      <w:rFonts w:asciiTheme="majorHAnsi" w:eastAsiaTheme="majorEastAsia" w:hAnsiTheme="majorHAnsi" w:cstheme="majorBidi"/>
      <w:color w:val="272727" w:themeColor="text1" w:themeTint="D8"/>
      <w:sz w:val="21"/>
      <w:szCs w:val="21"/>
      <w:lang w:eastAsia="es-ES"/>
    </w:rPr>
  </w:style>
  <w:style w:type="character" w:customStyle="1" w:styleId="Ttulo9Car">
    <w:name w:val="Título 9 Car"/>
    <w:basedOn w:val="Fuentedeprrafopredeter"/>
    <w:link w:val="Ttulo9"/>
    <w:semiHidden/>
    <w:rsid w:val="00F464F6"/>
    <w:rPr>
      <w:rFonts w:asciiTheme="majorHAnsi" w:eastAsiaTheme="majorEastAsia" w:hAnsiTheme="majorHAnsi" w:cstheme="majorBidi"/>
      <w:i/>
      <w:iCs/>
      <w:color w:val="272727" w:themeColor="text1" w:themeTint="D8"/>
      <w:sz w:val="21"/>
      <w:szCs w:val="21"/>
      <w:lang w:eastAsia="es-ES"/>
    </w:rPr>
  </w:style>
  <w:style w:type="character" w:styleId="Refdecomentario">
    <w:name w:val="annotation reference"/>
    <w:basedOn w:val="Fuentedeprrafopredeter"/>
    <w:uiPriority w:val="99"/>
    <w:semiHidden/>
    <w:rsid w:val="00F464F6"/>
    <w:rPr>
      <w:rFonts w:cs="Times New Roman"/>
      <w:sz w:val="16"/>
      <w:szCs w:val="16"/>
    </w:rPr>
  </w:style>
  <w:style w:type="paragraph" w:styleId="Textocomentario">
    <w:name w:val="annotation text"/>
    <w:basedOn w:val="Normal"/>
    <w:link w:val="TextocomentarioCar"/>
    <w:uiPriority w:val="99"/>
    <w:rsid w:val="00F464F6"/>
    <w:pPr>
      <w:spacing w:after="0" w:line="240" w:lineRule="auto"/>
      <w:ind w:firstLine="709"/>
      <w:jc w:val="both"/>
    </w:pPr>
    <w:rPr>
      <w:rFonts w:eastAsia="Calibri" w:cs="Times New Roman"/>
      <w:sz w:val="20"/>
      <w:szCs w:val="20"/>
      <w:lang w:val="es-ES"/>
    </w:rPr>
  </w:style>
  <w:style w:type="character" w:customStyle="1" w:styleId="TextocomentarioCar">
    <w:name w:val="Texto comentario Car"/>
    <w:basedOn w:val="Fuentedeprrafopredeter"/>
    <w:link w:val="Textocomentario"/>
    <w:uiPriority w:val="99"/>
    <w:rsid w:val="00F464F6"/>
    <w:rPr>
      <w:rFonts w:ascii="Times New Roman" w:eastAsia="Calibri" w:hAnsi="Times New Roman" w:cs="Times New Roman"/>
      <w:sz w:val="20"/>
      <w:szCs w:val="20"/>
    </w:rPr>
  </w:style>
  <w:style w:type="paragraph" w:customStyle="1" w:styleId="ExperimentalText">
    <w:name w:val="Experimental Text"/>
    <w:basedOn w:val="Normal"/>
    <w:uiPriority w:val="99"/>
    <w:rsid w:val="00F464F6"/>
    <w:pPr>
      <w:suppressAutoHyphens/>
      <w:spacing w:after="0" w:line="480" w:lineRule="auto"/>
      <w:ind w:firstLine="709"/>
      <w:jc w:val="both"/>
    </w:pPr>
    <w:rPr>
      <w:rFonts w:eastAsia="MS Mincho" w:cs="Times New Roman"/>
      <w:szCs w:val="24"/>
      <w:lang w:eastAsia="ja-JP"/>
    </w:rPr>
  </w:style>
  <w:style w:type="character" w:customStyle="1" w:styleId="PrrafodelistaCar">
    <w:name w:val="Párrafo de lista Car"/>
    <w:basedOn w:val="Fuentedeprrafopredeter"/>
    <w:link w:val="Prrafodelista"/>
    <w:rsid w:val="00F464F6"/>
    <w:rPr>
      <w:rFonts w:ascii="Times New Roman" w:hAnsi="Times New Roman"/>
      <w:sz w:val="24"/>
      <w:lang w:val="en-US"/>
    </w:rPr>
  </w:style>
  <w:style w:type="paragraph" w:styleId="Encabezado">
    <w:name w:val="header"/>
    <w:basedOn w:val="Normal"/>
    <w:link w:val="EncabezadoCar"/>
    <w:uiPriority w:val="99"/>
    <w:unhideWhenUsed/>
    <w:rsid w:val="002E6E4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E6E4C"/>
    <w:rPr>
      <w:rFonts w:ascii="Times New Roman" w:hAnsi="Times New Roman"/>
      <w:sz w:val="24"/>
      <w:lang w:val="en-US"/>
    </w:rPr>
  </w:style>
  <w:style w:type="paragraph" w:styleId="Piedepgina">
    <w:name w:val="footer"/>
    <w:basedOn w:val="Normal"/>
    <w:link w:val="PiedepginaCar"/>
    <w:uiPriority w:val="99"/>
    <w:unhideWhenUsed/>
    <w:rsid w:val="002E6E4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E6E4C"/>
    <w:rPr>
      <w:rFonts w:ascii="Times New Roman" w:hAnsi="Times New Roman"/>
      <w:sz w:val="24"/>
      <w:lang w:val="en-US"/>
    </w:rPr>
  </w:style>
  <w:style w:type="paragraph" w:styleId="Asuntodelcomentario">
    <w:name w:val="annotation subject"/>
    <w:basedOn w:val="Textocomentario"/>
    <w:next w:val="Textocomentario"/>
    <w:link w:val="AsuntodelcomentarioCar"/>
    <w:uiPriority w:val="99"/>
    <w:semiHidden/>
    <w:unhideWhenUsed/>
    <w:rsid w:val="002E6E4C"/>
    <w:pPr>
      <w:spacing w:after="200"/>
      <w:ind w:firstLine="0"/>
      <w:jc w:val="left"/>
    </w:pPr>
    <w:rPr>
      <w:rFonts w:eastAsiaTheme="minorHAnsi" w:cstheme="minorBidi"/>
      <w:b/>
      <w:bCs/>
      <w:lang w:val="en-US"/>
    </w:rPr>
  </w:style>
  <w:style w:type="character" w:customStyle="1" w:styleId="AsuntodelcomentarioCar">
    <w:name w:val="Asunto del comentario Car"/>
    <w:basedOn w:val="TextocomentarioCar"/>
    <w:link w:val="Asuntodelcomentario"/>
    <w:uiPriority w:val="99"/>
    <w:semiHidden/>
    <w:rsid w:val="002E6E4C"/>
    <w:rPr>
      <w:rFonts w:ascii="Times New Roman" w:eastAsia="Calibri" w:hAnsi="Times New Roman" w:cs="Times New Roman"/>
      <w:b/>
      <w:bCs/>
      <w:sz w:val="20"/>
      <w:szCs w:val="20"/>
      <w:lang w:val="en-US"/>
    </w:rPr>
  </w:style>
  <w:style w:type="character" w:customStyle="1" w:styleId="town">
    <w:name w:val="town"/>
    <w:basedOn w:val="Fuentedeprrafopredeter"/>
    <w:rsid w:val="005536CD"/>
  </w:style>
  <w:style w:type="paragraph" w:styleId="NormalWeb">
    <w:name w:val="Normal (Web)"/>
    <w:basedOn w:val="Normal"/>
    <w:uiPriority w:val="99"/>
    <w:semiHidden/>
    <w:unhideWhenUsed/>
    <w:rsid w:val="005D5658"/>
    <w:pPr>
      <w:spacing w:before="100" w:beforeAutospacing="1" w:after="100" w:afterAutospacing="1" w:line="240" w:lineRule="auto"/>
    </w:pPr>
    <w:rPr>
      <w:rFonts w:eastAsiaTheme="minorEastAsia" w:cs="Times New Roman"/>
      <w:szCs w:val="24"/>
      <w:lang w:val="es-ES" w:eastAsia="es-ES"/>
    </w:rPr>
  </w:style>
  <w:style w:type="paragraph" w:customStyle="1" w:styleId="CHISA">
    <w:name w:val="CHISA"/>
    <w:uiPriority w:val="99"/>
    <w:rsid w:val="00C663C9"/>
    <w:pPr>
      <w:spacing w:after="0" w:line="240" w:lineRule="auto"/>
    </w:pPr>
    <w:rPr>
      <w:rFonts w:ascii="Arial" w:eastAsia="Times New Roman" w:hAnsi="Arial" w:cs="Arial"/>
      <w:szCs w:val="20"/>
      <w:lang w:val="en-GB"/>
    </w:rPr>
  </w:style>
  <w:style w:type="paragraph" w:customStyle="1" w:styleId="TITULO3">
    <w:name w:val="TITULO 3"/>
    <w:basedOn w:val="Normal"/>
    <w:link w:val="TITULO3Car"/>
    <w:qFormat/>
    <w:rsid w:val="003C3817"/>
    <w:pPr>
      <w:spacing w:before="120" w:after="0" w:line="360" w:lineRule="auto"/>
      <w:jc w:val="center"/>
    </w:pPr>
    <w:rPr>
      <w:rFonts w:ascii="Calibri" w:eastAsia="Times New Roman" w:hAnsi="Calibri" w:cs="Calibri"/>
      <w:b/>
      <w:bCs/>
      <w:caps/>
      <w:szCs w:val="24"/>
      <w:lang w:eastAsia="zh-CN"/>
    </w:rPr>
  </w:style>
  <w:style w:type="character" w:customStyle="1" w:styleId="TITULO3Car">
    <w:name w:val="TITULO 3 Car"/>
    <w:link w:val="TITULO3"/>
    <w:rsid w:val="003C3817"/>
    <w:rPr>
      <w:rFonts w:ascii="Calibri" w:eastAsia="Times New Roman" w:hAnsi="Calibri" w:cs="Calibri"/>
      <w:b/>
      <w:bCs/>
      <w:caps/>
      <w:sz w:val="24"/>
      <w:szCs w:val="24"/>
      <w:lang w:val="en-US" w:eastAsia="zh-CN"/>
    </w:rPr>
  </w:style>
  <w:style w:type="paragraph" w:customStyle="1" w:styleId="lnek">
    <w:name w:val="článek"/>
    <w:basedOn w:val="Prrafodelista"/>
    <w:next w:val="Normal"/>
    <w:qFormat/>
    <w:rsid w:val="00FF4C50"/>
    <w:pPr>
      <w:keepNext/>
      <w:keepLines/>
      <w:widowControl w:val="0"/>
      <w:numPr>
        <w:numId w:val="6"/>
      </w:numPr>
      <w:autoSpaceDE w:val="0"/>
      <w:autoSpaceDN w:val="0"/>
      <w:spacing w:after="0" w:line="240" w:lineRule="auto"/>
      <w:ind w:right="255"/>
      <w:contextualSpacing w:val="0"/>
      <w:jc w:val="both"/>
    </w:pPr>
    <w:rPr>
      <w:rFonts w:eastAsia="Times New Roman" w:cs="Times New Roman"/>
      <w:sz w:val="26"/>
    </w:rPr>
  </w:style>
  <w:style w:type="paragraph" w:styleId="Revisin">
    <w:name w:val="Revision"/>
    <w:hidden/>
    <w:uiPriority w:val="99"/>
    <w:semiHidden/>
    <w:rsid w:val="00FC3F7B"/>
    <w:pPr>
      <w:spacing w:after="0" w:line="240" w:lineRule="auto"/>
    </w:pPr>
    <w:rPr>
      <w:rFonts w:ascii="Times New Roman" w:hAnsi="Times New Roman"/>
      <w:sz w:val="24"/>
      <w:lang w:val="en-US"/>
    </w:rPr>
  </w:style>
  <w:style w:type="paragraph" w:customStyle="1" w:styleId="Title2">
    <w:name w:val="Title2"/>
    <w:basedOn w:val="Normal"/>
    <w:rsid w:val="00296D29"/>
    <w:pPr>
      <w:spacing w:after="0" w:line="240" w:lineRule="auto"/>
    </w:pPr>
    <w:rPr>
      <w:rFonts w:eastAsia="MS Mincho" w:cs="Times New Roman"/>
      <w:b/>
      <w:szCs w:val="24"/>
      <w:lang w:eastAsia="ja-JP"/>
    </w:rPr>
  </w:style>
  <w:style w:type="paragraph" w:customStyle="1" w:styleId="TAMainText">
    <w:name w:val="TA_Main_Text"/>
    <w:basedOn w:val="Normal"/>
    <w:autoRedefine/>
    <w:rsid w:val="006D337F"/>
    <w:pPr>
      <w:spacing w:after="60" w:line="240" w:lineRule="auto"/>
      <w:jc w:val="both"/>
    </w:pPr>
    <w:rPr>
      <w:rFonts w:ascii="Arno Pro" w:eastAsia="Times New Roman" w:hAnsi="Arno Pro" w:cs="Times New Roman"/>
      <w:kern w:val="21"/>
      <w:sz w:val="19"/>
      <w:szCs w:val="20"/>
      <w:lang w:val="en-GB"/>
    </w:rPr>
  </w:style>
  <w:style w:type="table" w:styleId="Tablanormal2">
    <w:name w:val="Plain Table 2"/>
    <w:basedOn w:val="Tablanormal"/>
    <w:uiPriority w:val="42"/>
    <w:rsid w:val="006D337F"/>
    <w:pPr>
      <w:spacing w:after="0" w:line="240" w:lineRule="auto"/>
    </w:pPr>
    <w:rPr>
      <w:lang w:val="cs-CZ"/>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63265">
      <w:bodyDiv w:val="1"/>
      <w:marLeft w:val="0"/>
      <w:marRight w:val="0"/>
      <w:marTop w:val="0"/>
      <w:marBottom w:val="0"/>
      <w:divBdr>
        <w:top w:val="none" w:sz="0" w:space="0" w:color="auto"/>
        <w:left w:val="none" w:sz="0" w:space="0" w:color="auto"/>
        <w:bottom w:val="none" w:sz="0" w:space="0" w:color="auto"/>
        <w:right w:val="none" w:sz="0" w:space="0" w:color="auto"/>
      </w:divBdr>
    </w:div>
    <w:div w:id="89354556">
      <w:bodyDiv w:val="1"/>
      <w:marLeft w:val="0"/>
      <w:marRight w:val="0"/>
      <w:marTop w:val="0"/>
      <w:marBottom w:val="0"/>
      <w:divBdr>
        <w:top w:val="none" w:sz="0" w:space="0" w:color="auto"/>
        <w:left w:val="none" w:sz="0" w:space="0" w:color="auto"/>
        <w:bottom w:val="none" w:sz="0" w:space="0" w:color="auto"/>
        <w:right w:val="none" w:sz="0" w:space="0" w:color="auto"/>
      </w:divBdr>
    </w:div>
    <w:div w:id="91902734">
      <w:bodyDiv w:val="1"/>
      <w:marLeft w:val="0"/>
      <w:marRight w:val="0"/>
      <w:marTop w:val="0"/>
      <w:marBottom w:val="0"/>
      <w:divBdr>
        <w:top w:val="none" w:sz="0" w:space="0" w:color="auto"/>
        <w:left w:val="none" w:sz="0" w:space="0" w:color="auto"/>
        <w:bottom w:val="none" w:sz="0" w:space="0" w:color="auto"/>
        <w:right w:val="none" w:sz="0" w:space="0" w:color="auto"/>
      </w:divBdr>
    </w:div>
    <w:div w:id="234244748">
      <w:bodyDiv w:val="1"/>
      <w:marLeft w:val="0"/>
      <w:marRight w:val="0"/>
      <w:marTop w:val="0"/>
      <w:marBottom w:val="0"/>
      <w:divBdr>
        <w:top w:val="none" w:sz="0" w:space="0" w:color="auto"/>
        <w:left w:val="none" w:sz="0" w:space="0" w:color="auto"/>
        <w:bottom w:val="none" w:sz="0" w:space="0" w:color="auto"/>
        <w:right w:val="none" w:sz="0" w:space="0" w:color="auto"/>
      </w:divBdr>
    </w:div>
    <w:div w:id="245648828">
      <w:bodyDiv w:val="1"/>
      <w:marLeft w:val="0"/>
      <w:marRight w:val="0"/>
      <w:marTop w:val="0"/>
      <w:marBottom w:val="0"/>
      <w:divBdr>
        <w:top w:val="none" w:sz="0" w:space="0" w:color="auto"/>
        <w:left w:val="none" w:sz="0" w:space="0" w:color="auto"/>
        <w:bottom w:val="none" w:sz="0" w:space="0" w:color="auto"/>
        <w:right w:val="none" w:sz="0" w:space="0" w:color="auto"/>
      </w:divBdr>
    </w:div>
    <w:div w:id="250815256">
      <w:bodyDiv w:val="1"/>
      <w:marLeft w:val="0"/>
      <w:marRight w:val="0"/>
      <w:marTop w:val="0"/>
      <w:marBottom w:val="0"/>
      <w:divBdr>
        <w:top w:val="none" w:sz="0" w:space="0" w:color="auto"/>
        <w:left w:val="none" w:sz="0" w:space="0" w:color="auto"/>
        <w:bottom w:val="none" w:sz="0" w:space="0" w:color="auto"/>
        <w:right w:val="none" w:sz="0" w:space="0" w:color="auto"/>
      </w:divBdr>
    </w:div>
    <w:div w:id="378745637">
      <w:bodyDiv w:val="1"/>
      <w:marLeft w:val="0"/>
      <w:marRight w:val="0"/>
      <w:marTop w:val="0"/>
      <w:marBottom w:val="0"/>
      <w:divBdr>
        <w:top w:val="none" w:sz="0" w:space="0" w:color="auto"/>
        <w:left w:val="none" w:sz="0" w:space="0" w:color="auto"/>
        <w:bottom w:val="none" w:sz="0" w:space="0" w:color="auto"/>
        <w:right w:val="none" w:sz="0" w:space="0" w:color="auto"/>
      </w:divBdr>
    </w:div>
    <w:div w:id="478157528">
      <w:bodyDiv w:val="1"/>
      <w:marLeft w:val="0"/>
      <w:marRight w:val="0"/>
      <w:marTop w:val="0"/>
      <w:marBottom w:val="0"/>
      <w:divBdr>
        <w:top w:val="none" w:sz="0" w:space="0" w:color="auto"/>
        <w:left w:val="none" w:sz="0" w:space="0" w:color="auto"/>
        <w:bottom w:val="none" w:sz="0" w:space="0" w:color="auto"/>
        <w:right w:val="none" w:sz="0" w:space="0" w:color="auto"/>
      </w:divBdr>
    </w:div>
    <w:div w:id="496968847">
      <w:bodyDiv w:val="1"/>
      <w:marLeft w:val="0"/>
      <w:marRight w:val="0"/>
      <w:marTop w:val="0"/>
      <w:marBottom w:val="0"/>
      <w:divBdr>
        <w:top w:val="none" w:sz="0" w:space="0" w:color="auto"/>
        <w:left w:val="none" w:sz="0" w:space="0" w:color="auto"/>
        <w:bottom w:val="none" w:sz="0" w:space="0" w:color="auto"/>
        <w:right w:val="none" w:sz="0" w:space="0" w:color="auto"/>
      </w:divBdr>
    </w:div>
    <w:div w:id="757100051">
      <w:bodyDiv w:val="1"/>
      <w:marLeft w:val="0"/>
      <w:marRight w:val="0"/>
      <w:marTop w:val="0"/>
      <w:marBottom w:val="0"/>
      <w:divBdr>
        <w:top w:val="none" w:sz="0" w:space="0" w:color="auto"/>
        <w:left w:val="none" w:sz="0" w:space="0" w:color="auto"/>
        <w:bottom w:val="none" w:sz="0" w:space="0" w:color="auto"/>
        <w:right w:val="none" w:sz="0" w:space="0" w:color="auto"/>
      </w:divBdr>
    </w:div>
    <w:div w:id="789399556">
      <w:bodyDiv w:val="1"/>
      <w:marLeft w:val="0"/>
      <w:marRight w:val="0"/>
      <w:marTop w:val="0"/>
      <w:marBottom w:val="0"/>
      <w:divBdr>
        <w:top w:val="none" w:sz="0" w:space="0" w:color="auto"/>
        <w:left w:val="none" w:sz="0" w:space="0" w:color="auto"/>
        <w:bottom w:val="none" w:sz="0" w:space="0" w:color="auto"/>
        <w:right w:val="none" w:sz="0" w:space="0" w:color="auto"/>
      </w:divBdr>
    </w:div>
    <w:div w:id="913664989">
      <w:bodyDiv w:val="1"/>
      <w:marLeft w:val="0"/>
      <w:marRight w:val="0"/>
      <w:marTop w:val="0"/>
      <w:marBottom w:val="0"/>
      <w:divBdr>
        <w:top w:val="none" w:sz="0" w:space="0" w:color="auto"/>
        <w:left w:val="none" w:sz="0" w:space="0" w:color="auto"/>
        <w:bottom w:val="none" w:sz="0" w:space="0" w:color="auto"/>
        <w:right w:val="none" w:sz="0" w:space="0" w:color="auto"/>
      </w:divBdr>
    </w:div>
    <w:div w:id="1016888501">
      <w:bodyDiv w:val="1"/>
      <w:marLeft w:val="0"/>
      <w:marRight w:val="0"/>
      <w:marTop w:val="0"/>
      <w:marBottom w:val="0"/>
      <w:divBdr>
        <w:top w:val="none" w:sz="0" w:space="0" w:color="auto"/>
        <w:left w:val="none" w:sz="0" w:space="0" w:color="auto"/>
        <w:bottom w:val="none" w:sz="0" w:space="0" w:color="auto"/>
        <w:right w:val="none" w:sz="0" w:space="0" w:color="auto"/>
      </w:divBdr>
    </w:div>
    <w:div w:id="1020470038">
      <w:bodyDiv w:val="1"/>
      <w:marLeft w:val="0"/>
      <w:marRight w:val="0"/>
      <w:marTop w:val="0"/>
      <w:marBottom w:val="0"/>
      <w:divBdr>
        <w:top w:val="none" w:sz="0" w:space="0" w:color="auto"/>
        <w:left w:val="none" w:sz="0" w:space="0" w:color="auto"/>
        <w:bottom w:val="none" w:sz="0" w:space="0" w:color="auto"/>
        <w:right w:val="none" w:sz="0" w:space="0" w:color="auto"/>
      </w:divBdr>
    </w:div>
    <w:div w:id="1057314265">
      <w:bodyDiv w:val="1"/>
      <w:marLeft w:val="0"/>
      <w:marRight w:val="0"/>
      <w:marTop w:val="0"/>
      <w:marBottom w:val="0"/>
      <w:divBdr>
        <w:top w:val="none" w:sz="0" w:space="0" w:color="auto"/>
        <w:left w:val="none" w:sz="0" w:space="0" w:color="auto"/>
        <w:bottom w:val="none" w:sz="0" w:space="0" w:color="auto"/>
        <w:right w:val="none" w:sz="0" w:space="0" w:color="auto"/>
      </w:divBdr>
    </w:div>
    <w:div w:id="1098793784">
      <w:bodyDiv w:val="1"/>
      <w:marLeft w:val="0"/>
      <w:marRight w:val="0"/>
      <w:marTop w:val="0"/>
      <w:marBottom w:val="0"/>
      <w:divBdr>
        <w:top w:val="none" w:sz="0" w:space="0" w:color="auto"/>
        <w:left w:val="none" w:sz="0" w:space="0" w:color="auto"/>
        <w:bottom w:val="none" w:sz="0" w:space="0" w:color="auto"/>
        <w:right w:val="none" w:sz="0" w:space="0" w:color="auto"/>
      </w:divBdr>
    </w:div>
    <w:div w:id="1139418306">
      <w:bodyDiv w:val="1"/>
      <w:marLeft w:val="0"/>
      <w:marRight w:val="0"/>
      <w:marTop w:val="0"/>
      <w:marBottom w:val="0"/>
      <w:divBdr>
        <w:top w:val="none" w:sz="0" w:space="0" w:color="auto"/>
        <w:left w:val="none" w:sz="0" w:space="0" w:color="auto"/>
        <w:bottom w:val="none" w:sz="0" w:space="0" w:color="auto"/>
        <w:right w:val="none" w:sz="0" w:space="0" w:color="auto"/>
      </w:divBdr>
    </w:div>
    <w:div w:id="1194075001">
      <w:bodyDiv w:val="1"/>
      <w:marLeft w:val="0"/>
      <w:marRight w:val="0"/>
      <w:marTop w:val="0"/>
      <w:marBottom w:val="0"/>
      <w:divBdr>
        <w:top w:val="none" w:sz="0" w:space="0" w:color="auto"/>
        <w:left w:val="none" w:sz="0" w:space="0" w:color="auto"/>
        <w:bottom w:val="none" w:sz="0" w:space="0" w:color="auto"/>
        <w:right w:val="none" w:sz="0" w:space="0" w:color="auto"/>
      </w:divBdr>
    </w:div>
    <w:div w:id="1227688536">
      <w:bodyDiv w:val="1"/>
      <w:marLeft w:val="0"/>
      <w:marRight w:val="0"/>
      <w:marTop w:val="0"/>
      <w:marBottom w:val="0"/>
      <w:divBdr>
        <w:top w:val="none" w:sz="0" w:space="0" w:color="auto"/>
        <w:left w:val="none" w:sz="0" w:space="0" w:color="auto"/>
        <w:bottom w:val="none" w:sz="0" w:space="0" w:color="auto"/>
        <w:right w:val="none" w:sz="0" w:space="0" w:color="auto"/>
      </w:divBdr>
    </w:div>
    <w:div w:id="1239365928">
      <w:bodyDiv w:val="1"/>
      <w:marLeft w:val="0"/>
      <w:marRight w:val="0"/>
      <w:marTop w:val="0"/>
      <w:marBottom w:val="0"/>
      <w:divBdr>
        <w:top w:val="none" w:sz="0" w:space="0" w:color="auto"/>
        <w:left w:val="none" w:sz="0" w:space="0" w:color="auto"/>
        <w:bottom w:val="none" w:sz="0" w:space="0" w:color="auto"/>
        <w:right w:val="none" w:sz="0" w:space="0" w:color="auto"/>
      </w:divBdr>
    </w:div>
    <w:div w:id="1319378056">
      <w:bodyDiv w:val="1"/>
      <w:marLeft w:val="0"/>
      <w:marRight w:val="0"/>
      <w:marTop w:val="0"/>
      <w:marBottom w:val="0"/>
      <w:divBdr>
        <w:top w:val="none" w:sz="0" w:space="0" w:color="auto"/>
        <w:left w:val="none" w:sz="0" w:space="0" w:color="auto"/>
        <w:bottom w:val="none" w:sz="0" w:space="0" w:color="auto"/>
        <w:right w:val="none" w:sz="0" w:space="0" w:color="auto"/>
      </w:divBdr>
    </w:div>
    <w:div w:id="1369992150">
      <w:bodyDiv w:val="1"/>
      <w:marLeft w:val="0"/>
      <w:marRight w:val="0"/>
      <w:marTop w:val="0"/>
      <w:marBottom w:val="0"/>
      <w:divBdr>
        <w:top w:val="none" w:sz="0" w:space="0" w:color="auto"/>
        <w:left w:val="none" w:sz="0" w:space="0" w:color="auto"/>
        <w:bottom w:val="none" w:sz="0" w:space="0" w:color="auto"/>
        <w:right w:val="none" w:sz="0" w:space="0" w:color="auto"/>
      </w:divBdr>
    </w:div>
    <w:div w:id="1466464807">
      <w:bodyDiv w:val="1"/>
      <w:marLeft w:val="0"/>
      <w:marRight w:val="0"/>
      <w:marTop w:val="0"/>
      <w:marBottom w:val="0"/>
      <w:divBdr>
        <w:top w:val="none" w:sz="0" w:space="0" w:color="auto"/>
        <w:left w:val="none" w:sz="0" w:space="0" w:color="auto"/>
        <w:bottom w:val="none" w:sz="0" w:space="0" w:color="auto"/>
        <w:right w:val="none" w:sz="0" w:space="0" w:color="auto"/>
      </w:divBdr>
    </w:div>
    <w:div w:id="1632324463">
      <w:bodyDiv w:val="1"/>
      <w:marLeft w:val="0"/>
      <w:marRight w:val="0"/>
      <w:marTop w:val="0"/>
      <w:marBottom w:val="0"/>
      <w:divBdr>
        <w:top w:val="none" w:sz="0" w:space="0" w:color="auto"/>
        <w:left w:val="none" w:sz="0" w:space="0" w:color="auto"/>
        <w:bottom w:val="none" w:sz="0" w:space="0" w:color="auto"/>
        <w:right w:val="none" w:sz="0" w:space="0" w:color="auto"/>
      </w:divBdr>
    </w:div>
    <w:div w:id="1704935774">
      <w:bodyDiv w:val="1"/>
      <w:marLeft w:val="0"/>
      <w:marRight w:val="0"/>
      <w:marTop w:val="0"/>
      <w:marBottom w:val="0"/>
      <w:divBdr>
        <w:top w:val="none" w:sz="0" w:space="0" w:color="auto"/>
        <w:left w:val="none" w:sz="0" w:space="0" w:color="auto"/>
        <w:bottom w:val="none" w:sz="0" w:space="0" w:color="auto"/>
        <w:right w:val="none" w:sz="0" w:space="0" w:color="auto"/>
      </w:divBdr>
    </w:div>
    <w:div w:id="1750425191">
      <w:bodyDiv w:val="1"/>
      <w:marLeft w:val="0"/>
      <w:marRight w:val="0"/>
      <w:marTop w:val="0"/>
      <w:marBottom w:val="0"/>
      <w:divBdr>
        <w:top w:val="none" w:sz="0" w:space="0" w:color="auto"/>
        <w:left w:val="none" w:sz="0" w:space="0" w:color="auto"/>
        <w:bottom w:val="none" w:sz="0" w:space="0" w:color="auto"/>
        <w:right w:val="none" w:sz="0" w:space="0" w:color="auto"/>
      </w:divBdr>
    </w:div>
    <w:div w:id="1775245480">
      <w:bodyDiv w:val="1"/>
      <w:marLeft w:val="0"/>
      <w:marRight w:val="0"/>
      <w:marTop w:val="0"/>
      <w:marBottom w:val="0"/>
      <w:divBdr>
        <w:top w:val="none" w:sz="0" w:space="0" w:color="auto"/>
        <w:left w:val="none" w:sz="0" w:space="0" w:color="auto"/>
        <w:bottom w:val="none" w:sz="0" w:space="0" w:color="auto"/>
        <w:right w:val="none" w:sz="0" w:space="0" w:color="auto"/>
      </w:divBdr>
    </w:div>
    <w:div w:id="1907186811">
      <w:bodyDiv w:val="1"/>
      <w:marLeft w:val="0"/>
      <w:marRight w:val="0"/>
      <w:marTop w:val="0"/>
      <w:marBottom w:val="0"/>
      <w:divBdr>
        <w:top w:val="none" w:sz="0" w:space="0" w:color="auto"/>
        <w:left w:val="none" w:sz="0" w:space="0" w:color="auto"/>
        <w:bottom w:val="none" w:sz="0" w:space="0" w:color="auto"/>
        <w:right w:val="none" w:sz="0" w:space="0" w:color="auto"/>
      </w:divBdr>
    </w:div>
    <w:div w:id="1992710552">
      <w:bodyDiv w:val="1"/>
      <w:marLeft w:val="0"/>
      <w:marRight w:val="0"/>
      <w:marTop w:val="0"/>
      <w:marBottom w:val="0"/>
      <w:divBdr>
        <w:top w:val="none" w:sz="0" w:space="0" w:color="auto"/>
        <w:left w:val="none" w:sz="0" w:space="0" w:color="auto"/>
        <w:bottom w:val="none" w:sz="0" w:space="0" w:color="auto"/>
        <w:right w:val="none" w:sz="0" w:space="0" w:color="auto"/>
      </w:divBdr>
    </w:div>
    <w:div w:id="2039888453">
      <w:bodyDiv w:val="1"/>
      <w:marLeft w:val="0"/>
      <w:marRight w:val="0"/>
      <w:marTop w:val="0"/>
      <w:marBottom w:val="0"/>
      <w:divBdr>
        <w:top w:val="none" w:sz="0" w:space="0" w:color="auto"/>
        <w:left w:val="none" w:sz="0" w:space="0" w:color="auto"/>
        <w:bottom w:val="none" w:sz="0" w:space="0" w:color="auto"/>
        <w:right w:val="none" w:sz="0" w:space="0" w:color="auto"/>
      </w:divBdr>
    </w:div>
    <w:div w:id="2106994940">
      <w:bodyDiv w:val="1"/>
      <w:marLeft w:val="0"/>
      <w:marRight w:val="0"/>
      <w:marTop w:val="0"/>
      <w:marBottom w:val="0"/>
      <w:divBdr>
        <w:top w:val="none" w:sz="0" w:space="0" w:color="auto"/>
        <w:left w:val="none" w:sz="0" w:space="0" w:color="auto"/>
        <w:bottom w:val="none" w:sz="0" w:space="0" w:color="auto"/>
        <w:right w:val="none" w:sz="0" w:space="0" w:color="auto"/>
      </w:divBdr>
    </w:div>
    <w:div w:id="2144887895">
      <w:bodyDiv w:val="1"/>
      <w:marLeft w:val="0"/>
      <w:marRight w:val="0"/>
      <w:marTop w:val="0"/>
      <w:marBottom w:val="0"/>
      <w:divBdr>
        <w:top w:val="none" w:sz="0" w:space="0" w:color="auto"/>
        <w:left w:val="none" w:sz="0" w:space="0" w:color="auto"/>
        <w:bottom w:val="none" w:sz="0" w:space="0" w:color="auto"/>
        <w:right w:val="none" w:sz="0" w:space="0" w:color="auto"/>
      </w:divBdr>
      <w:divsChild>
        <w:div w:id="994256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png"/><Relationship Id="rId22" Type="http://schemas.openxmlformats.org/officeDocument/2006/relationships/image" Target="media/image1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77AF3E-5E12-4225-9A8B-1D542FBBB682}">
  <we:reference id="f78a3046-9e99-4300-aa2b-5814002b01a2" version="1.46.0.0" store="EXCatalog" storeType="EXCatalog"/>
  <we:alternateReferences>
    <we:reference id="WA104382081" version="1.46.0.0" store="it-IT" storeType="OMEX"/>
  </we:alternateReferences>
  <we:properties>
    <we:property name="MENDELEY_CITATIONS" value="[]"/>
    <we:property name="MENDELEY_CITATIONS_LOCALE_CODE" value="&quot;en-US&quot;"/>
    <we:property name="MENDELEY_CITATIONS_STYLE" value="{&quot;id&quot;:&quot;https://csl.mendeley.com/styles/570545961/american-chemical-society&quot;,&quot;title&quot;:&quot;American Chemical Society - Héctor Martínez&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F319B-5A90-444E-BE65-512A2666D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794</TotalTime>
  <Pages>13</Pages>
  <Words>2509</Words>
  <Characters>13802</Characters>
  <Application>Microsoft Office Word</Application>
  <DocSecurity>0</DocSecurity>
  <Lines>115</Lines>
  <Paragraphs>32</Paragraphs>
  <ScaleCrop>false</ScaleCrop>
  <HeadingPairs>
    <vt:vector size="6" baseType="variant">
      <vt:variant>
        <vt:lpstr>Título</vt:lpstr>
      </vt:variant>
      <vt:variant>
        <vt:i4>1</vt:i4>
      </vt:variant>
      <vt:variant>
        <vt:lpstr>Titolo</vt:lpstr>
      </vt:variant>
      <vt:variant>
        <vt:i4>1</vt:i4>
      </vt:variant>
      <vt:variant>
        <vt:lpstr>Názov</vt:lpstr>
      </vt:variant>
      <vt:variant>
        <vt:i4>1</vt:i4>
      </vt:variant>
    </vt:vector>
  </HeadingPairs>
  <TitlesOfParts>
    <vt:vector size="3" baseType="lpstr">
      <vt:lpstr/>
      <vt:lpstr/>
      <vt:lpstr/>
    </vt:vector>
  </TitlesOfParts>
  <Company/>
  <LinksUpToDate>false</LinksUpToDate>
  <CharactersWithSpaces>16279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dc:creator>
  <cp:keywords/>
  <dc:description/>
  <cp:lastModifiedBy>marpe</cp:lastModifiedBy>
  <cp:revision>2</cp:revision>
  <cp:lastPrinted>2021-12-21T18:12:00Z</cp:lastPrinted>
  <dcterms:created xsi:type="dcterms:W3CDTF">2023-03-02T17:35:00Z</dcterms:created>
  <dcterms:modified xsi:type="dcterms:W3CDTF">2023-05-15T15:58:00Z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e1a7b9c2-e7d8-3fe3-a926-4b738f7b63cf</vt:lpwstr>
  </property>
  <property fmtid="{D5CDD505-2E9C-101B-9397-08002B2CF9AE}" pid="4" name="Mendeley Citation Style_1">
    <vt:lpwstr>http://www.zotero.org/styles/microchimica-acta</vt:lpwstr>
  </property>
  <property fmtid="{D5CDD505-2E9C-101B-9397-08002B2CF9AE}" pid="5" name="Mendeley Recent Style Id 0_1">
    <vt:lpwstr>http://csl.mendeley.com/styles/570545961/american-chemical-society</vt:lpwstr>
  </property>
  <property fmtid="{D5CDD505-2E9C-101B-9397-08002B2CF9AE}" pid="6" name="Mendeley Recent Style Name 0_1">
    <vt:lpwstr>American Chemical Society - Héctor Martínez</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http://www.zotero.org/styles/analytica-chimica-acta</vt:lpwstr>
  </property>
  <property fmtid="{D5CDD505-2E9C-101B-9397-08002B2CF9AE}" pid="12" name="Mendeley Recent Style Name 3_1">
    <vt:lpwstr>Analytica Chimica Acta</vt:lpwstr>
  </property>
  <property fmtid="{D5CDD505-2E9C-101B-9397-08002B2CF9AE}" pid="13" name="Mendeley Recent Style Id 4_1">
    <vt:lpwstr>http://www.zotero.org/styles/analytical-chemistry</vt:lpwstr>
  </property>
  <property fmtid="{D5CDD505-2E9C-101B-9397-08002B2CF9AE}" pid="14" name="Mendeley Recent Style Name 4_1">
    <vt:lpwstr>Analytical Chemistry</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http://www.zotero.org/styles/microchemical-journal</vt:lpwstr>
  </property>
  <property fmtid="{D5CDD505-2E9C-101B-9397-08002B2CF9AE}" pid="20" name="Mendeley Recent Style Name 7_1">
    <vt:lpwstr>Microchemical Journal</vt:lpwstr>
  </property>
  <property fmtid="{D5CDD505-2E9C-101B-9397-08002B2CF9AE}" pid="21" name="Mendeley Recent Style Id 8_1">
    <vt:lpwstr>http://www.zotero.org/styles/microchimica-acta</vt:lpwstr>
  </property>
  <property fmtid="{D5CDD505-2E9C-101B-9397-08002B2CF9AE}" pid="22" name="Mendeley Recent Style Name 8_1">
    <vt:lpwstr>Microchimica Acta</vt:lpwstr>
  </property>
  <property fmtid="{D5CDD505-2E9C-101B-9397-08002B2CF9AE}" pid="23" name="Mendeley Recent Style Id 9_1">
    <vt:lpwstr>http://www.zotero.org/styles/talanta</vt:lpwstr>
  </property>
  <property fmtid="{D5CDD505-2E9C-101B-9397-08002B2CF9AE}" pid="24" name="Mendeley Recent Style Name 9_1">
    <vt:lpwstr>Talanta</vt:lpwstr>
  </property>
</Properties>
</file>