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Methods Appendix</w:t>
      </w:r>
    </w:p>
    <w:p>
      <w:pPr>
        <w:pStyle w:val="Heading2"/>
      </w:pPr>
      <w:r>
        <w:t>Data Sources</w:t>
      </w:r>
    </w:p>
    <w:p>
      <w:pPr>
        <w:pStyle w:val="ListBullet"/>
      </w:pPr>
      <w:r>
        <w:t>Mortality outcomes: Age-adjusted cardiovascular disease (CVD) mortality per 100,000 population for U.S. counties, obtained from the CDC WONDER system (2019–2020).</w:t>
      </w:r>
    </w:p>
    <w:p>
      <w:pPr>
        <w:pStyle w:val="ListBullet"/>
      </w:pPr>
      <w:r>
        <w:t>Health determinants: 2023 County Health Rankings dataset, including socioeconomic, healthcare access, and behavioral measures.</w:t>
      </w:r>
    </w:p>
    <w:p>
      <w:pPr>
        <w:pStyle w:val="Heading2"/>
      </w:pPr>
      <w:r>
        <w:t>Variables</w:t>
      </w:r>
    </w:p>
    <w:p>
      <w:pPr>
        <w:pStyle w:val="ListBullet"/>
      </w:pPr>
      <w:r>
        <w:t>Outcome: Age-adjusted CVD mortality rate.</w:t>
      </w:r>
    </w:p>
    <w:p>
      <w:pPr>
        <w:pStyle w:val="ListBullet"/>
      </w:pPr>
      <w:r>
        <w:t>Socioeconomic: Median household income, % children in poverty, % adults with some college.</w:t>
      </w:r>
    </w:p>
    <w:p>
      <w:pPr>
        <w:pStyle w:val="ListBullet"/>
      </w:pPr>
      <w:r>
        <w:t>Healthcare access: % uninsured, primary care physician rate.</w:t>
      </w:r>
    </w:p>
    <w:p>
      <w:pPr>
        <w:pStyle w:val="ListBullet"/>
      </w:pPr>
      <w:r>
        <w:t>Behaviors: % smokers, % adults with obesity, % physically inactive.</w:t>
      </w:r>
    </w:p>
    <w:p>
      <w:pPr>
        <w:pStyle w:val="ListBullet"/>
      </w:pPr>
      <w:r>
        <w:t>Geographic identifiers: State, county.</w:t>
      </w:r>
    </w:p>
    <w:p>
      <w:pPr>
        <w:pStyle w:val="Heading2"/>
      </w:pPr>
      <w:r>
        <w:t>Data Preparation</w:t>
      </w:r>
    </w:p>
    <w:p>
      <w:pPr>
        <w:pStyle w:val="ListBullet"/>
      </w:pPr>
      <w:r>
        <w:t>FIPS codes were cleaned and standardized for reliable merging of datasets.</w:t>
      </w:r>
    </w:p>
    <w:p>
      <w:pPr>
        <w:pStyle w:val="ListBullet"/>
      </w:pPr>
      <w:r>
        <w:t>All numeric variables were coerced to numeric type; rows with missing or invalid values were excluded.</w:t>
      </w:r>
    </w:p>
    <w:p>
      <w:pPr>
        <w:pStyle w:val="ListBullet"/>
      </w:pPr>
      <w:r>
        <w:t>The merged analytic dataset included N = [final number of counties] with complete data.</w:t>
      </w:r>
    </w:p>
    <w:p>
      <w:pPr>
        <w:pStyle w:val="Heading2"/>
      </w:pPr>
      <w:r>
        <w:t>Statistical Analysis</w:t>
      </w:r>
    </w:p>
    <w:p>
      <w:pPr>
        <w:pStyle w:val="ListBullet"/>
      </w:pPr>
      <w:r>
        <w:t>Modeling approach: Random Forest regression.</w:t>
      </w:r>
    </w:p>
    <w:p>
      <w:pPr>
        <w:pStyle w:val="ListBullet"/>
      </w:pPr>
      <w:r>
        <w:t>Training/validation: 80% of counties were used for model training, 20% held out for validation.</w:t>
      </w:r>
    </w:p>
    <w:p>
      <w:pPr>
        <w:pStyle w:val="ListBullet"/>
      </w:pPr>
      <w:r>
        <w:t>Performance metric: R².</w:t>
      </w:r>
    </w:p>
    <w:p>
      <w:pPr>
        <w:pStyle w:val="ListBullet"/>
      </w:pPr>
      <w:r>
        <w:t>Interpretability: SHAP (SHapley Additive exPlanations) was applied to quantify the marginal contribution of each predictor to model output.</w:t>
      </w:r>
    </w:p>
    <w:p>
      <w:pPr>
        <w:pStyle w:val="ListBullet"/>
      </w:pPr>
      <w:r>
        <w:t>Hypothesis-driven visualizations: scatterplots of income, poverty, and physician supply against mortality; correlation heatmaps; SHAP bar and beeswarm plots.</w:t>
      </w:r>
    </w:p>
    <w:p>
      <w:pPr>
        <w:pStyle w:val="Heading2"/>
      </w:pPr>
      <w:r>
        <w:t>Hyperparameter Specifications</w:t>
      </w:r>
    </w:p>
    <w:p>
      <w:pPr>
        <w:pStyle w:val="ListBullet"/>
      </w:pPr>
      <w:r>
        <w:t>Estimator: Random Forest Regressor</w:t>
      </w:r>
    </w:p>
    <w:p>
      <w:pPr>
        <w:pStyle w:val="ListBullet"/>
      </w:pPr>
      <w:r>
        <w:t>n_estimators = 100</w:t>
      </w:r>
    </w:p>
    <w:p>
      <w:pPr>
        <w:pStyle w:val="ListBullet"/>
      </w:pPr>
      <w:r>
        <w:t>random_state = 42</w:t>
      </w:r>
    </w:p>
    <w:p>
      <w:pPr>
        <w:pStyle w:val="ListBullet"/>
      </w:pPr>
      <w:r>
        <w:t>n_jobs = –1 (parallel processing enabled)</w:t>
      </w:r>
    </w:p>
    <w:p>
      <w:pPr>
        <w:pStyle w:val="Heading2"/>
      </w:pPr>
      <w:r>
        <w:t>Sensitivity Analyses</w:t>
      </w:r>
    </w:p>
    <w:p>
      <w:pPr>
        <w:pStyle w:val="ListBullet"/>
      </w:pPr>
      <w:r>
        <w:t>Exclusion of small-population counties with unstable mortality rates.</w:t>
      </w:r>
    </w:p>
    <w:p>
      <w:pPr>
        <w:pStyle w:val="ListBullet"/>
      </w:pPr>
      <w:r>
        <w:t>Comparison of Random Forest with linear regression to test robustness of variable importance rankings.</w:t>
      </w:r>
    </w:p>
    <w:p>
      <w:pPr>
        <w:pStyle w:val="Heading2"/>
      </w:pPr>
      <w:r>
        <w:t>Technical Reproducibility</w:t>
      </w:r>
    </w:p>
    <w:p>
      <w:pPr>
        <w:pStyle w:val="ListBullet"/>
      </w:pPr>
      <w:r>
        <w:t>All analyses were conducted in Python 3.11 using:</w:t>
      </w:r>
    </w:p>
    <w:p>
      <w:pPr>
        <w:pStyle w:val="ListBullet"/>
      </w:pPr>
      <w:r>
        <w:t>• pandas (data processing)</w:t>
      </w:r>
    </w:p>
    <w:p>
      <w:pPr>
        <w:pStyle w:val="ListBullet"/>
      </w:pPr>
      <w:r>
        <w:t>• scikit-learn (modeling)</w:t>
      </w:r>
    </w:p>
    <w:p>
      <w:pPr>
        <w:pStyle w:val="ListBullet"/>
      </w:pPr>
      <w:r>
        <w:t>• shap (interpretability)</w:t>
      </w:r>
    </w:p>
    <w:p>
      <w:pPr>
        <w:pStyle w:val="ListBullet"/>
      </w:pPr>
      <w:r>
        <w:t>• matplotlib/seaborn (visualization)</w:t>
      </w:r>
    </w:p>
    <w:p>
      <w:pPr>
        <w:pStyle w:val="ListBullet"/>
      </w:pPr>
      <w:r>
        <w:t>A full code outline for data cleaning, merging, model training, and SHAP computation is available upon request.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