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C9FFC" w14:textId="11FAF817" w:rsidR="005F2014" w:rsidRDefault="00414E1C">
      <w:pPr>
        <w:rPr>
          <w:rFonts w:ascii="Calibri" w:hAnsi="Calibri" w:cs="Calibri"/>
        </w:rPr>
      </w:pPr>
      <w:r w:rsidRPr="00414E1C">
        <w:rPr>
          <w:rFonts w:ascii="Calibri" w:hAnsi="Calibri" w:cs="Calibri"/>
        </w:rPr>
        <w:t>Supplementary materials 1 – Dependency management</w:t>
      </w:r>
      <w:r w:rsidRPr="00414E1C">
        <w:rPr>
          <w:rFonts w:ascii="Calibri" w:hAnsi="Calibri" w:cs="Calibri"/>
        </w:rPr>
        <w:br/>
      </w:r>
    </w:p>
    <w:p w14:paraId="3776B179" w14:textId="56ACA86E" w:rsidR="00414E1C" w:rsidRPr="00414E1C" w:rsidRDefault="00414E1C">
      <w:pPr>
        <w:rPr>
          <w:rFonts w:ascii="Calibri" w:hAnsi="Calibri" w:cs="Calibri"/>
        </w:rPr>
      </w:pPr>
      <w:r w:rsidRPr="00316674">
        <w:rPr>
          <w:rFonts w:ascii="Calibri" w:hAnsi="Calibri" w:cs="Calibri"/>
        </w:rPr>
        <w:t>Dependency across studies</w:t>
      </w:r>
      <w:r w:rsidRPr="00316674">
        <w:rPr>
          <w:rFonts w:ascii="Calibri" w:hAnsi="Calibri" w:cs="Calibri"/>
        </w:rPr>
        <w:br/>
      </w:r>
      <w:r w:rsidRPr="00316674">
        <w:rPr>
          <w:rFonts w:ascii="Calibri" w:hAnsi="Calibri" w:cs="Calibri"/>
          <w:color w:val="000000"/>
        </w:rPr>
        <w:t>Where multiple studies ha</w:t>
      </w:r>
      <w:r>
        <w:rPr>
          <w:rFonts w:ascii="Calibri" w:hAnsi="Calibri" w:cs="Calibri"/>
          <w:color w:val="000000"/>
        </w:rPr>
        <w:t>d</w:t>
      </w:r>
      <w:r w:rsidRPr="00316674">
        <w:rPr>
          <w:rFonts w:ascii="Calibri" w:hAnsi="Calibri" w:cs="Calibri"/>
          <w:color w:val="000000"/>
        </w:rPr>
        <w:t xml:space="preserve"> utilised the same secondary data source, only one study w</w:t>
      </w:r>
      <w:r>
        <w:rPr>
          <w:rFonts w:ascii="Calibri" w:hAnsi="Calibri" w:cs="Calibri"/>
          <w:color w:val="000000"/>
        </w:rPr>
        <w:t>as</w:t>
      </w:r>
      <w:r w:rsidRPr="00316674">
        <w:rPr>
          <w:rFonts w:ascii="Calibri" w:hAnsi="Calibri" w:cs="Calibri"/>
          <w:color w:val="000000"/>
        </w:rPr>
        <w:t xml:space="preserve"> included in the meta-analyses to avoid violating assumptions of independence. The decision concerning which study </w:t>
      </w:r>
      <w:r>
        <w:rPr>
          <w:rFonts w:ascii="Calibri" w:hAnsi="Calibri" w:cs="Calibri"/>
          <w:color w:val="000000"/>
        </w:rPr>
        <w:t>was</w:t>
      </w:r>
      <w:r w:rsidRPr="00316674">
        <w:rPr>
          <w:rFonts w:ascii="Calibri" w:hAnsi="Calibri" w:cs="Calibri"/>
          <w:color w:val="000000"/>
        </w:rPr>
        <w:t xml:space="preserve"> included was based on the following criteria: 1) studies with the largest sample size </w:t>
      </w:r>
      <w:r>
        <w:rPr>
          <w:rFonts w:ascii="Calibri" w:hAnsi="Calibri" w:cs="Calibri"/>
          <w:color w:val="000000"/>
        </w:rPr>
        <w:t>were</w:t>
      </w:r>
      <w:r w:rsidRPr="00316674">
        <w:rPr>
          <w:rFonts w:ascii="Calibri" w:hAnsi="Calibri" w:cs="Calibri"/>
          <w:color w:val="000000"/>
        </w:rPr>
        <w:t xml:space="preserve"> given priority, 2) studies using longitudinal methods</w:t>
      </w:r>
      <w:r>
        <w:rPr>
          <w:rFonts w:ascii="Calibri" w:hAnsi="Calibri" w:cs="Calibri"/>
          <w:color w:val="000000"/>
        </w:rPr>
        <w:t xml:space="preserve"> were</w:t>
      </w:r>
      <w:r w:rsidRPr="00316674">
        <w:rPr>
          <w:rFonts w:ascii="Calibri" w:hAnsi="Calibri" w:cs="Calibri"/>
          <w:color w:val="000000"/>
        </w:rPr>
        <w:t xml:space="preserve"> prioritised over cross-sectional methods, 3) studies </w:t>
      </w:r>
      <w:r w:rsidR="004E0947">
        <w:rPr>
          <w:rFonts w:ascii="Calibri" w:hAnsi="Calibri" w:cs="Calibri"/>
          <w:color w:val="000000"/>
        </w:rPr>
        <w:t xml:space="preserve">that </w:t>
      </w:r>
      <w:r w:rsidRPr="00316674">
        <w:rPr>
          <w:rFonts w:ascii="Calibri" w:hAnsi="Calibri" w:cs="Calibri"/>
          <w:color w:val="000000"/>
        </w:rPr>
        <w:t xml:space="preserve">perform subgroup/analysis stratified by ethnicity, age and gender </w:t>
      </w:r>
      <w:r>
        <w:rPr>
          <w:rFonts w:ascii="Calibri" w:hAnsi="Calibri" w:cs="Calibri"/>
          <w:color w:val="000000"/>
        </w:rPr>
        <w:t>were</w:t>
      </w:r>
      <w:r w:rsidRPr="00316674">
        <w:rPr>
          <w:rFonts w:ascii="Calibri" w:hAnsi="Calibri" w:cs="Calibri"/>
          <w:color w:val="000000"/>
        </w:rPr>
        <w:t xml:space="preserve"> prioritised over studies which only conduct whole sample analyses. </w:t>
      </w:r>
      <w:r w:rsidRPr="00E63657">
        <w:rPr>
          <w:rFonts w:ascii="Calibri" w:hAnsi="Calibri" w:cs="Calibri"/>
        </w:rPr>
        <w:t xml:space="preserve">4) Studies </w:t>
      </w:r>
      <w:r w:rsidR="00BD6CBD">
        <w:rPr>
          <w:rFonts w:ascii="Calibri" w:hAnsi="Calibri" w:cs="Calibri"/>
        </w:rPr>
        <w:t>that</w:t>
      </w:r>
      <w:r w:rsidRPr="00E63657">
        <w:rPr>
          <w:rFonts w:ascii="Calibri" w:hAnsi="Calibri" w:cs="Calibri"/>
        </w:rPr>
        <w:t xml:space="preserve"> were the most recently published/conducted were prioritised. 5) Studies </w:t>
      </w:r>
      <w:r w:rsidR="00BD6CBD">
        <w:rPr>
          <w:rFonts w:ascii="Calibri" w:hAnsi="Calibri" w:cs="Calibri"/>
        </w:rPr>
        <w:t>that</w:t>
      </w:r>
      <w:r w:rsidRPr="00E63657">
        <w:rPr>
          <w:rFonts w:ascii="Calibri" w:hAnsi="Calibri" w:cs="Calibri"/>
        </w:rPr>
        <w:t xml:space="preserve"> include discrete types/patterns of substance and/or alcohol use were prioritised over studies </w:t>
      </w:r>
      <w:r>
        <w:rPr>
          <w:rFonts w:ascii="Calibri" w:hAnsi="Calibri" w:cs="Calibri"/>
        </w:rPr>
        <w:t>that analysed</w:t>
      </w:r>
      <w:r w:rsidRPr="00E63657">
        <w:rPr>
          <w:rFonts w:ascii="Calibri" w:hAnsi="Calibri" w:cs="Calibri"/>
        </w:rPr>
        <w:t xml:space="preserve"> a composite substance use variable. </w:t>
      </w:r>
      <w:r w:rsidRPr="00E63657">
        <w:rPr>
          <w:rFonts w:ascii="Calibri" w:hAnsi="Calibri" w:cs="Calibri"/>
        </w:rPr>
        <w:br/>
      </w:r>
      <w:r w:rsidRPr="00E63657">
        <w:rPr>
          <w:rFonts w:ascii="Calibri" w:hAnsi="Calibri" w:cs="Calibri"/>
        </w:rPr>
        <w:br/>
      </w:r>
      <w:r w:rsidRPr="00316674">
        <w:rPr>
          <w:rFonts w:ascii="Calibri" w:hAnsi="Calibri" w:cs="Calibri"/>
          <w:color w:val="000000"/>
        </w:rPr>
        <w:t>Dependency within studies</w:t>
      </w:r>
      <w:r w:rsidRPr="00316674">
        <w:rPr>
          <w:rFonts w:ascii="Calibri" w:hAnsi="Calibri" w:cs="Calibri"/>
          <w:color w:val="000000"/>
        </w:rPr>
        <w:br/>
        <w:t xml:space="preserve">Samples/sub-samples </w:t>
      </w:r>
      <w:r>
        <w:rPr>
          <w:rFonts w:ascii="Calibri" w:hAnsi="Calibri" w:cs="Calibri"/>
          <w:color w:val="000000"/>
        </w:rPr>
        <w:t>were</w:t>
      </w:r>
      <w:r w:rsidRPr="00316674">
        <w:rPr>
          <w:rFonts w:ascii="Calibri" w:hAnsi="Calibri" w:cs="Calibri"/>
          <w:color w:val="000000"/>
        </w:rPr>
        <w:t xml:space="preserve"> treated as </w:t>
      </w:r>
      <w:r>
        <w:rPr>
          <w:rFonts w:ascii="Calibri" w:hAnsi="Calibri" w:cs="Calibri"/>
          <w:color w:val="000000"/>
        </w:rPr>
        <w:t>the unit of analysis for the current study and treated as independent. T</w:t>
      </w:r>
      <w:r w:rsidRPr="00316674">
        <w:rPr>
          <w:rFonts w:ascii="Calibri" w:hAnsi="Calibri" w:cs="Calibri"/>
          <w:color w:val="000000"/>
        </w:rPr>
        <w:t>hus</w:t>
      </w:r>
      <w:r>
        <w:rPr>
          <w:rFonts w:ascii="Calibri" w:hAnsi="Calibri" w:cs="Calibri"/>
          <w:color w:val="000000"/>
        </w:rPr>
        <w:t>,</w:t>
      </w:r>
      <w:r w:rsidRPr="00316674">
        <w:rPr>
          <w:rFonts w:ascii="Calibri" w:hAnsi="Calibri" w:cs="Calibri"/>
          <w:color w:val="000000"/>
        </w:rPr>
        <w:t xml:space="preserve"> instead of each study providing 1 effect size, each sample/sub-sample provide</w:t>
      </w:r>
      <w:r>
        <w:rPr>
          <w:rFonts w:ascii="Calibri" w:hAnsi="Calibri" w:cs="Calibri"/>
          <w:color w:val="000000"/>
        </w:rPr>
        <w:t>s</w:t>
      </w:r>
      <w:r w:rsidRPr="00316674">
        <w:rPr>
          <w:rFonts w:ascii="Calibri" w:hAnsi="Calibri" w:cs="Calibri"/>
          <w:color w:val="000000"/>
        </w:rPr>
        <w:t xml:space="preserve"> 1 effect size. I.</w:t>
      </w:r>
      <w:r w:rsidRPr="00316674">
        <w:rPr>
          <w:rFonts w:ascii="Calibri" w:hAnsi="Calibri" w:cs="Calibri"/>
          <w:color w:val="000000" w:themeColor="text1"/>
        </w:rPr>
        <w:t>e.</w:t>
      </w:r>
      <w:r w:rsidR="00DA29E3">
        <w:rPr>
          <w:rFonts w:ascii="Calibri" w:hAnsi="Calibri" w:cs="Calibri"/>
          <w:color w:val="000000" w:themeColor="text1"/>
        </w:rPr>
        <w:t>,</w:t>
      </w:r>
      <w:r w:rsidRPr="00316674">
        <w:rPr>
          <w:rFonts w:ascii="Calibri" w:hAnsi="Calibri" w:cs="Calibri"/>
          <w:color w:val="000000" w:themeColor="text1"/>
        </w:rPr>
        <w:t xml:space="preserve"> if a study reports two individual effect sizes, one for African American respondents and one for </w:t>
      </w:r>
      <w:r>
        <w:rPr>
          <w:rFonts w:ascii="Calibri" w:hAnsi="Calibri" w:cs="Calibri"/>
          <w:color w:val="000000" w:themeColor="text1"/>
        </w:rPr>
        <w:t>Latinx</w:t>
      </w:r>
      <w:r w:rsidRPr="00316674">
        <w:rPr>
          <w:rFonts w:ascii="Calibri" w:hAnsi="Calibri" w:cs="Calibri"/>
          <w:color w:val="000000" w:themeColor="text1"/>
        </w:rPr>
        <w:t xml:space="preserve"> respondents, these will be treated as independent. However, in cases where multiple effect sizes </w:t>
      </w:r>
      <w:r>
        <w:rPr>
          <w:rFonts w:ascii="Calibri" w:hAnsi="Calibri" w:cs="Calibri"/>
          <w:color w:val="000000" w:themeColor="text1"/>
        </w:rPr>
        <w:t>were</w:t>
      </w:r>
      <w:r w:rsidRPr="00316674">
        <w:rPr>
          <w:rFonts w:ascii="Calibri" w:hAnsi="Calibri" w:cs="Calibri"/>
          <w:color w:val="000000" w:themeColor="text1"/>
        </w:rPr>
        <w:t xml:space="preserve"> reported for each sample/sub-sample per each substance and/or alcohol use outcome (i.e. two effect sizes are reported for the African American sample, one for the association between racial discrimination and alcohol consumption over the past 6 months, and one for the past 12 months) these will be dependent. As such, a prioritisation criteri</w:t>
      </w:r>
      <w:r>
        <w:rPr>
          <w:rFonts w:ascii="Calibri" w:hAnsi="Calibri" w:cs="Calibri"/>
          <w:color w:val="000000" w:themeColor="text1"/>
        </w:rPr>
        <w:t>on</w:t>
      </w:r>
      <w:r w:rsidRPr="00316674">
        <w:rPr>
          <w:rFonts w:ascii="Calibri" w:hAnsi="Calibri" w:cs="Calibri"/>
          <w:color w:val="000000" w:themeColor="text1"/>
        </w:rPr>
        <w:t xml:space="preserve"> </w:t>
      </w:r>
      <w:r>
        <w:rPr>
          <w:rFonts w:ascii="Calibri" w:hAnsi="Calibri" w:cs="Calibri"/>
          <w:color w:val="000000" w:themeColor="text1"/>
        </w:rPr>
        <w:t>was</w:t>
      </w:r>
      <w:r w:rsidRPr="00316674">
        <w:rPr>
          <w:rFonts w:ascii="Calibri" w:hAnsi="Calibri" w:cs="Calibri"/>
          <w:color w:val="000000" w:themeColor="text1"/>
        </w:rPr>
        <w:t xml:space="preserve"> developed to identify which effect size </w:t>
      </w:r>
      <w:r>
        <w:rPr>
          <w:rFonts w:ascii="Calibri" w:hAnsi="Calibri" w:cs="Calibri"/>
          <w:color w:val="000000" w:themeColor="text1"/>
        </w:rPr>
        <w:t xml:space="preserve">per sample and per outcome </w:t>
      </w:r>
      <w:r w:rsidRPr="00316674">
        <w:rPr>
          <w:rFonts w:ascii="Calibri" w:hAnsi="Calibri" w:cs="Calibri"/>
          <w:color w:val="000000" w:themeColor="text1"/>
        </w:rPr>
        <w:t xml:space="preserve">should be included in the analysis: 1) In cases where both </w:t>
      </w:r>
      <w:r w:rsidR="00DA29E3">
        <w:rPr>
          <w:rFonts w:ascii="Calibri" w:hAnsi="Calibri" w:cs="Calibri"/>
          <w:color w:val="000000" w:themeColor="text1"/>
        </w:rPr>
        <w:t>single-item</w:t>
      </w:r>
      <w:r w:rsidRPr="00316674">
        <w:rPr>
          <w:rFonts w:ascii="Calibri" w:hAnsi="Calibri" w:cs="Calibri"/>
          <w:color w:val="000000" w:themeColor="text1"/>
        </w:rPr>
        <w:t xml:space="preserve"> and </w:t>
      </w:r>
      <w:r w:rsidR="00DA29E3">
        <w:rPr>
          <w:rFonts w:ascii="Calibri" w:hAnsi="Calibri" w:cs="Calibri"/>
          <w:color w:val="000000" w:themeColor="text1"/>
        </w:rPr>
        <w:t>multiple-item</w:t>
      </w:r>
      <w:r w:rsidRPr="00316674">
        <w:rPr>
          <w:rFonts w:ascii="Calibri" w:hAnsi="Calibri" w:cs="Calibri"/>
          <w:color w:val="000000" w:themeColor="text1"/>
        </w:rPr>
        <w:t xml:space="preserve"> racial discrimination and/or substance and alcohol use measures have been used, the </w:t>
      </w:r>
      <w:r w:rsidR="00DA29E3">
        <w:rPr>
          <w:rFonts w:ascii="Calibri" w:hAnsi="Calibri" w:cs="Calibri"/>
          <w:color w:val="000000" w:themeColor="text1"/>
        </w:rPr>
        <w:t>multiple-item</w:t>
      </w:r>
      <w:r w:rsidRPr="00316674">
        <w:rPr>
          <w:rFonts w:ascii="Calibri" w:hAnsi="Calibri" w:cs="Calibri"/>
          <w:color w:val="000000" w:themeColor="text1"/>
        </w:rPr>
        <w:t xml:space="preserve"> measure </w:t>
      </w:r>
      <w:r>
        <w:rPr>
          <w:rFonts w:ascii="Calibri" w:hAnsi="Calibri" w:cs="Calibri"/>
          <w:color w:val="000000" w:themeColor="text1"/>
        </w:rPr>
        <w:t xml:space="preserve">is </w:t>
      </w:r>
      <w:r w:rsidRPr="00316674">
        <w:rPr>
          <w:rFonts w:ascii="Calibri" w:hAnsi="Calibri" w:cs="Calibri"/>
          <w:color w:val="000000" w:themeColor="text1"/>
        </w:rPr>
        <w:t xml:space="preserve">prioritised. 2) In cases where both cross-sectional and longitudinal </w:t>
      </w:r>
      <w:r w:rsidR="00DA29E3">
        <w:rPr>
          <w:rFonts w:ascii="Calibri" w:hAnsi="Calibri" w:cs="Calibri"/>
          <w:color w:val="000000" w:themeColor="text1"/>
        </w:rPr>
        <w:t>associations</w:t>
      </w:r>
      <w:r w:rsidRPr="00316674">
        <w:rPr>
          <w:rFonts w:ascii="Calibri" w:hAnsi="Calibri" w:cs="Calibri"/>
          <w:color w:val="000000" w:themeColor="text1"/>
        </w:rPr>
        <w:t xml:space="preserve"> are reported, longitudinal ones </w:t>
      </w:r>
      <w:r>
        <w:rPr>
          <w:rFonts w:ascii="Calibri" w:hAnsi="Calibri" w:cs="Calibri"/>
          <w:color w:val="000000" w:themeColor="text1"/>
        </w:rPr>
        <w:t>were</w:t>
      </w:r>
      <w:r w:rsidRPr="00316674">
        <w:rPr>
          <w:rFonts w:ascii="Calibri" w:hAnsi="Calibri" w:cs="Calibri"/>
          <w:color w:val="000000" w:themeColor="text1"/>
        </w:rPr>
        <w:t xml:space="preserve"> prioritised. 3) If multiple longitudinal effect sizes </w:t>
      </w:r>
      <w:r>
        <w:rPr>
          <w:rFonts w:ascii="Calibri" w:hAnsi="Calibri" w:cs="Calibri"/>
          <w:color w:val="000000" w:themeColor="text1"/>
        </w:rPr>
        <w:t>were</w:t>
      </w:r>
      <w:r w:rsidRPr="00316674">
        <w:rPr>
          <w:rFonts w:ascii="Calibri" w:hAnsi="Calibri" w:cs="Calibri"/>
          <w:color w:val="000000" w:themeColor="text1"/>
        </w:rPr>
        <w:t xml:space="preserve"> reported, the one </w:t>
      </w:r>
      <w:r w:rsidR="00DA29E3">
        <w:rPr>
          <w:rFonts w:ascii="Calibri" w:hAnsi="Calibri" w:cs="Calibri"/>
          <w:color w:val="000000" w:themeColor="text1"/>
        </w:rPr>
        <w:t>that</w:t>
      </w:r>
      <w:r w:rsidRPr="00316674">
        <w:rPr>
          <w:rFonts w:ascii="Calibri" w:hAnsi="Calibri" w:cs="Calibri"/>
          <w:color w:val="000000" w:themeColor="text1"/>
        </w:rPr>
        <w:t xml:space="preserve"> covers the longest breadth of time </w:t>
      </w:r>
      <w:r>
        <w:rPr>
          <w:rFonts w:ascii="Calibri" w:hAnsi="Calibri" w:cs="Calibri"/>
          <w:color w:val="000000" w:themeColor="text1"/>
        </w:rPr>
        <w:t>was</w:t>
      </w:r>
      <w:r w:rsidRPr="00316674">
        <w:rPr>
          <w:rFonts w:ascii="Calibri" w:hAnsi="Calibri" w:cs="Calibri"/>
          <w:color w:val="000000" w:themeColor="text1"/>
        </w:rPr>
        <w:t xml:space="preserve"> selected. 4) In cases where multiple effect sizes </w:t>
      </w:r>
      <w:r>
        <w:rPr>
          <w:rFonts w:ascii="Calibri" w:hAnsi="Calibri" w:cs="Calibri"/>
          <w:color w:val="000000" w:themeColor="text1"/>
        </w:rPr>
        <w:t xml:space="preserve">were </w:t>
      </w:r>
      <w:r w:rsidRPr="00316674">
        <w:rPr>
          <w:rFonts w:ascii="Calibri" w:hAnsi="Calibri" w:cs="Calibri"/>
          <w:color w:val="000000" w:themeColor="text1"/>
        </w:rPr>
        <w:t>reported for the same substance and/or alcohol use outcome</w:t>
      </w:r>
      <w:r>
        <w:rPr>
          <w:rFonts w:ascii="Calibri" w:hAnsi="Calibri" w:cs="Calibri"/>
          <w:color w:val="000000" w:themeColor="text1"/>
        </w:rPr>
        <w:t xml:space="preserve"> or predictor</w:t>
      </w:r>
      <w:r w:rsidRPr="00316674">
        <w:rPr>
          <w:rFonts w:ascii="Calibri" w:hAnsi="Calibri" w:cs="Calibri"/>
          <w:color w:val="000000" w:themeColor="text1"/>
        </w:rPr>
        <w:t xml:space="preserve"> but at different </w:t>
      </w:r>
      <w:r>
        <w:rPr>
          <w:rFonts w:ascii="Calibri" w:hAnsi="Calibri" w:cs="Calibri"/>
          <w:color w:val="000000" w:themeColor="text1"/>
        </w:rPr>
        <w:t xml:space="preserve">timeframes </w:t>
      </w:r>
      <w:r w:rsidRPr="00316674">
        <w:rPr>
          <w:rFonts w:ascii="Calibri" w:hAnsi="Calibri" w:cs="Calibri"/>
          <w:color w:val="000000" w:themeColor="text1"/>
        </w:rPr>
        <w:t>(i.e.</w:t>
      </w:r>
      <w:r w:rsidR="00DA29E3">
        <w:rPr>
          <w:rFonts w:ascii="Calibri" w:hAnsi="Calibri" w:cs="Calibri"/>
          <w:color w:val="000000" w:themeColor="text1"/>
        </w:rPr>
        <w:t>,</w:t>
      </w:r>
      <w:r w:rsidRPr="00316674">
        <w:rPr>
          <w:rFonts w:ascii="Calibri" w:hAnsi="Calibri" w:cs="Calibri"/>
          <w:color w:val="000000" w:themeColor="text1"/>
        </w:rPr>
        <w:t xml:space="preserve"> past 6 months alcohol use, past 12 months alcohol use), the effect size </w:t>
      </w:r>
      <w:r w:rsidR="00DA29E3">
        <w:rPr>
          <w:rFonts w:ascii="Calibri" w:hAnsi="Calibri" w:cs="Calibri"/>
          <w:color w:val="000000" w:themeColor="text1"/>
        </w:rPr>
        <w:t>that</w:t>
      </w:r>
      <w:r w:rsidRPr="00316674">
        <w:rPr>
          <w:rFonts w:ascii="Calibri" w:hAnsi="Calibri" w:cs="Calibri"/>
          <w:color w:val="000000" w:themeColor="text1"/>
        </w:rPr>
        <w:t xml:space="preserve"> covers the longest </w:t>
      </w:r>
      <w:proofErr w:type="gramStart"/>
      <w:r w:rsidRPr="00316674">
        <w:rPr>
          <w:rFonts w:ascii="Calibri" w:hAnsi="Calibri" w:cs="Calibri"/>
          <w:color w:val="000000" w:themeColor="text1"/>
        </w:rPr>
        <w:t>time period</w:t>
      </w:r>
      <w:proofErr w:type="gramEnd"/>
      <w:r w:rsidRPr="00316674">
        <w:rPr>
          <w:rFonts w:ascii="Calibri" w:hAnsi="Calibri" w:cs="Calibri"/>
          <w:color w:val="000000" w:themeColor="text1"/>
        </w:rPr>
        <w:t xml:space="preserve"> </w:t>
      </w:r>
      <w:r>
        <w:rPr>
          <w:rFonts w:ascii="Calibri" w:hAnsi="Calibri" w:cs="Calibri"/>
          <w:color w:val="000000" w:themeColor="text1"/>
        </w:rPr>
        <w:t xml:space="preserve">was </w:t>
      </w:r>
      <w:r w:rsidRPr="00316674">
        <w:rPr>
          <w:rFonts w:ascii="Calibri" w:hAnsi="Calibri" w:cs="Calibri"/>
          <w:color w:val="000000" w:themeColor="text1"/>
        </w:rPr>
        <w:t xml:space="preserve">selected. 5). In cases where the racial discrimination predictor </w:t>
      </w:r>
      <w:r>
        <w:rPr>
          <w:rFonts w:ascii="Calibri" w:hAnsi="Calibri" w:cs="Calibri"/>
          <w:color w:val="000000" w:themeColor="text1"/>
        </w:rPr>
        <w:t>was</w:t>
      </w:r>
      <w:r w:rsidRPr="00316674">
        <w:rPr>
          <w:rFonts w:ascii="Calibri" w:hAnsi="Calibri" w:cs="Calibri"/>
          <w:color w:val="000000" w:themeColor="text1"/>
        </w:rPr>
        <w:t xml:space="preserve"> </w:t>
      </w:r>
      <w:r>
        <w:rPr>
          <w:rFonts w:ascii="Calibri" w:hAnsi="Calibri" w:cs="Calibri"/>
          <w:color w:val="000000" w:themeColor="text1"/>
        </w:rPr>
        <w:t>converted</w:t>
      </w:r>
      <w:r w:rsidRPr="00316674">
        <w:rPr>
          <w:rFonts w:ascii="Calibri" w:hAnsi="Calibri" w:cs="Calibri"/>
          <w:color w:val="000000" w:themeColor="text1"/>
        </w:rPr>
        <w:t xml:space="preserve"> to an ordinal scale (i.e.</w:t>
      </w:r>
      <w:r w:rsidR="00DA29E3">
        <w:rPr>
          <w:rFonts w:ascii="Calibri" w:hAnsi="Calibri" w:cs="Calibri"/>
          <w:color w:val="000000" w:themeColor="text1"/>
        </w:rPr>
        <w:t>,</w:t>
      </w:r>
      <w:r w:rsidRPr="00316674">
        <w:rPr>
          <w:rFonts w:ascii="Calibri" w:hAnsi="Calibri" w:cs="Calibri"/>
          <w:color w:val="000000" w:themeColor="text1"/>
        </w:rPr>
        <w:t xml:space="preserve"> low, moderate and high) and analysed separately, the category </w:t>
      </w:r>
      <w:r w:rsidR="00DA29E3">
        <w:rPr>
          <w:rFonts w:ascii="Calibri" w:hAnsi="Calibri" w:cs="Calibri"/>
          <w:color w:val="000000" w:themeColor="text1"/>
        </w:rPr>
        <w:t>that</w:t>
      </w:r>
      <w:r w:rsidRPr="00316674">
        <w:rPr>
          <w:rFonts w:ascii="Calibri" w:hAnsi="Calibri" w:cs="Calibri"/>
          <w:color w:val="000000" w:themeColor="text1"/>
        </w:rPr>
        <w:t xml:space="preserve"> represents the highest ‘level’ of discrimination </w:t>
      </w:r>
      <w:r>
        <w:rPr>
          <w:rFonts w:ascii="Calibri" w:hAnsi="Calibri" w:cs="Calibri"/>
          <w:color w:val="000000" w:themeColor="text1"/>
        </w:rPr>
        <w:t>was</w:t>
      </w:r>
      <w:r w:rsidRPr="00316674">
        <w:rPr>
          <w:rFonts w:ascii="Calibri" w:hAnsi="Calibri" w:cs="Calibri"/>
          <w:color w:val="000000" w:themeColor="text1"/>
        </w:rPr>
        <w:t xml:space="preserve"> prioritised. 6). In cases where the substance and/or alcohol use outcome </w:t>
      </w:r>
      <w:r>
        <w:rPr>
          <w:rFonts w:ascii="Calibri" w:hAnsi="Calibri" w:cs="Calibri"/>
          <w:color w:val="000000" w:themeColor="text1"/>
        </w:rPr>
        <w:t>was</w:t>
      </w:r>
      <w:r w:rsidRPr="00316674">
        <w:rPr>
          <w:rFonts w:ascii="Calibri" w:hAnsi="Calibri" w:cs="Calibri"/>
          <w:color w:val="000000" w:themeColor="text1"/>
        </w:rPr>
        <w:t xml:space="preserve"> c</w:t>
      </w:r>
      <w:r>
        <w:rPr>
          <w:rFonts w:ascii="Calibri" w:hAnsi="Calibri" w:cs="Calibri"/>
          <w:color w:val="000000" w:themeColor="text1"/>
        </w:rPr>
        <w:t xml:space="preserve">onverted </w:t>
      </w:r>
      <w:r w:rsidRPr="00316674">
        <w:rPr>
          <w:rFonts w:ascii="Calibri" w:hAnsi="Calibri" w:cs="Calibri"/>
          <w:color w:val="000000" w:themeColor="text1"/>
        </w:rPr>
        <w:t>to an ordinal scale (i.e.</w:t>
      </w:r>
      <w:r w:rsidR="00DA29E3">
        <w:rPr>
          <w:rFonts w:ascii="Calibri" w:hAnsi="Calibri" w:cs="Calibri"/>
          <w:color w:val="000000" w:themeColor="text1"/>
        </w:rPr>
        <w:t>,</w:t>
      </w:r>
      <w:r w:rsidRPr="00316674">
        <w:rPr>
          <w:rFonts w:ascii="Calibri" w:hAnsi="Calibri" w:cs="Calibri"/>
          <w:color w:val="000000" w:themeColor="text1"/>
        </w:rPr>
        <w:t xml:space="preserve"> used cocaine 1-10 times, 11-99 times, 100+ times), the category </w:t>
      </w:r>
      <w:r w:rsidR="00DA29E3">
        <w:rPr>
          <w:rFonts w:ascii="Calibri" w:hAnsi="Calibri" w:cs="Calibri"/>
          <w:color w:val="000000" w:themeColor="text1"/>
        </w:rPr>
        <w:t>that</w:t>
      </w:r>
      <w:r w:rsidRPr="00316674">
        <w:rPr>
          <w:rFonts w:ascii="Calibri" w:hAnsi="Calibri" w:cs="Calibri"/>
          <w:color w:val="000000" w:themeColor="text1"/>
        </w:rPr>
        <w:t xml:space="preserve"> represents the highest ‘level’ of use </w:t>
      </w:r>
      <w:r>
        <w:rPr>
          <w:rFonts w:ascii="Calibri" w:hAnsi="Calibri" w:cs="Calibri"/>
          <w:color w:val="000000" w:themeColor="text1"/>
        </w:rPr>
        <w:t>was</w:t>
      </w:r>
      <w:r w:rsidRPr="00316674">
        <w:rPr>
          <w:rFonts w:ascii="Calibri" w:hAnsi="Calibri" w:cs="Calibri"/>
          <w:color w:val="000000" w:themeColor="text1"/>
        </w:rPr>
        <w:t xml:space="preserve"> selected. </w:t>
      </w:r>
      <w:r w:rsidRPr="00E63657">
        <w:rPr>
          <w:rFonts w:ascii="Calibri" w:hAnsi="Calibri" w:cs="Calibri"/>
        </w:rPr>
        <w:t xml:space="preserve">7) In cases where a study captures direct and vicarious experiences of racial discrimination individually, the measure </w:t>
      </w:r>
      <w:r w:rsidR="00D30872">
        <w:rPr>
          <w:rFonts w:ascii="Calibri" w:hAnsi="Calibri" w:cs="Calibri"/>
        </w:rPr>
        <w:t>that</w:t>
      </w:r>
      <w:r w:rsidRPr="00E63657">
        <w:rPr>
          <w:rFonts w:ascii="Calibri" w:hAnsi="Calibri" w:cs="Calibri"/>
        </w:rPr>
        <w:t xml:space="preserve"> captures direct experiences was prioritised. 8) In cases where a study captures multiple types of discrimination</w:t>
      </w:r>
      <w:r w:rsidR="00DA29E3">
        <w:rPr>
          <w:rFonts w:ascii="Calibri" w:hAnsi="Calibri" w:cs="Calibri"/>
        </w:rPr>
        <w:t>,</w:t>
      </w:r>
      <w:r w:rsidRPr="00E63657">
        <w:rPr>
          <w:rFonts w:ascii="Calibri" w:hAnsi="Calibri" w:cs="Calibri"/>
        </w:rPr>
        <w:t xml:space="preserve"> i.e.</w:t>
      </w:r>
      <w:r w:rsidR="00DA29E3">
        <w:rPr>
          <w:rFonts w:ascii="Calibri" w:hAnsi="Calibri" w:cs="Calibri"/>
        </w:rPr>
        <w:t>,</w:t>
      </w:r>
      <w:r w:rsidRPr="00E63657">
        <w:rPr>
          <w:rFonts w:ascii="Calibri" w:hAnsi="Calibri" w:cs="Calibri"/>
        </w:rPr>
        <w:t xml:space="preserve"> from different sources. The measure </w:t>
      </w:r>
      <w:r w:rsidR="00DA29E3">
        <w:rPr>
          <w:rFonts w:ascii="Calibri" w:hAnsi="Calibri" w:cs="Calibri"/>
        </w:rPr>
        <w:t>that</w:t>
      </w:r>
      <w:r w:rsidRPr="00E63657">
        <w:rPr>
          <w:rFonts w:ascii="Calibri" w:hAnsi="Calibri" w:cs="Calibri"/>
        </w:rPr>
        <w:t xml:space="preserve"> captures a broader range/general experiences of racial discrimination was prioritised. 9). In cases where the same </w:t>
      </w:r>
      <w:r w:rsidR="00101072">
        <w:rPr>
          <w:rFonts w:ascii="Calibri" w:hAnsi="Calibri" w:cs="Calibri"/>
        </w:rPr>
        <w:t>AOD</w:t>
      </w:r>
      <w:r w:rsidRPr="00E63657">
        <w:rPr>
          <w:rFonts w:ascii="Calibri" w:hAnsi="Calibri" w:cs="Calibri"/>
        </w:rPr>
        <w:t xml:space="preserve"> outcome is measured on a continuous scale and a nominal scale (i.e.</w:t>
      </w:r>
      <w:r w:rsidR="00DA29E3">
        <w:rPr>
          <w:rFonts w:ascii="Calibri" w:hAnsi="Calibri" w:cs="Calibri"/>
        </w:rPr>
        <w:t>,</w:t>
      </w:r>
      <w:r w:rsidRPr="00E63657">
        <w:rPr>
          <w:rFonts w:ascii="Calibri" w:hAnsi="Calibri" w:cs="Calibri"/>
        </w:rPr>
        <w:t xml:space="preserve"> frequency of alcohol use, any alcohol use), the effect size </w:t>
      </w:r>
      <w:r w:rsidR="00DA29E3">
        <w:rPr>
          <w:rFonts w:ascii="Calibri" w:hAnsi="Calibri" w:cs="Calibri"/>
        </w:rPr>
        <w:t>that</w:t>
      </w:r>
      <w:r w:rsidRPr="00E63657">
        <w:rPr>
          <w:rFonts w:ascii="Calibri" w:hAnsi="Calibri" w:cs="Calibri"/>
        </w:rPr>
        <w:t xml:space="preserve"> corresponds with the continuous measurement of the outcome was prioritised. Except for diagnostic/clinical outcomes, where the binary outcome provides meaningful information. 10) If a study includes outcomes such as substance/alcohol abuse and dependence as well as substance use disorder, the use disorder outcome will be prioritised as it is in line with the most </w:t>
      </w:r>
      <w:r w:rsidR="00DA29E3">
        <w:rPr>
          <w:rFonts w:ascii="Calibri" w:hAnsi="Calibri" w:cs="Calibri"/>
        </w:rPr>
        <w:t>up-to-date</w:t>
      </w:r>
      <w:r w:rsidRPr="00E63657">
        <w:rPr>
          <w:rFonts w:ascii="Calibri" w:hAnsi="Calibri" w:cs="Calibri"/>
        </w:rPr>
        <w:t xml:space="preserve"> diagnostic criteria. 11. In cases where multiple illicit drug use outcomes are modelled as separate outcomes, the illicit substance that is most frequently endorsed by the sample will be prioritised to be included in the illicit substance use outcome. 12. In cases where </w:t>
      </w:r>
      <w:r w:rsidR="00BB021D">
        <w:rPr>
          <w:rFonts w:ascii="Calibri" w:hAnsi="Calibri" w:cs="Calibri"/>
        </w:rPr>
        <w:t>effect size</w:t>
      </w:r>
      <w:r w:rsidRPr="00E63657">
        <w:rPr>
          <w:rFonts w:ascii="Calibri" w:hAnsi="Calibri" w:cs="Calibri"/>
        </w:rPr>
        <w:t>s are reported for the whole sample and relevant sub-samples, the</w:t>
      </w:r>
      <w:r w:rsidR="00BB021D">
        <w:rPr>
          <w:rFonts w:ascii="Calibri" w:hAnsi="Calibri" w:cs="Calibri"/>
        </w:rPr>
        <w:t xml:space="preserve"> effect sizes</w:t>
      </w:r>
      <w:r w:rsidR="00BB021D" w:rsidRPr="00E63657">
        <w:rPr>
          <w:rFonts w:ascii="Calibri" w:hAnsi="Calibri" w:cs="Calibri"/>
        </w:rPr>
        <w:t xml:space="preserve"> for</w:t>
      </w:r>
      <w:r w:rsidRPr="00E63657">
        <w:rPr>
          <w:rFonts w:ascii="Calibri" w:hAnsi="Calibri" w:cs="Calibri"/>
        </w:rPr>
        <w:t xml:space="preserve"> sub-samples will be prioritised. In cases where a </w:t>
      </w:r>
      <w:r w:rsidRPr="00E63657">
        <w:rPr>
          <w:rFonts w:ascii="Calibri" w:hAnsi="Calibri" w:cs="Calibri"/>
        </w:rPr>
        <w:lastRenderedPageBreak/>
        <w:t xml:space="preserve">justification cannot be provided to prioritise one EF over another, the EF included in the analysis will be selected at random. </w:t>
      </w:r>
      <w:r w:rsidR="00DA29E3">
        <w:rPr>
          <w:rFonts w:ascii="Calibri" w:hAnsi="Calibri" w:cs="Calibri"/>
        </w:rPr>
        <w:t>The above</w:t>
      </w:r>
      <w:r w:rsidRPr="00E63657">
        <w:rPr>
          <w:rFonts w:ascii="Calibri" w:hAnsi="Calibri" w:cs="Calibri"/>
        </w:rPr>
        <w:t xml:space="preserve"> criteria can be superseded if one of the dependent results has </w:t>
      </w:r>
      <w:r w:rsidR="00DA29E3">
        <w:rPr>
          <w:rFonts w:ascii="Calibri" w:hAnsi="Calibri" w:cs="Calibri"/>
        </w:rPr>
        <w:t xml:space="preserve">an </w:t>
      </w:r>
      <w:r w:rsidRPr="00E63657">
        <w:rPr>
          <w:rFonts w:ascii="Calibri" w:hAnsi="Calibri" w:cs="Calibri"/>
        </w:rPr>
        <w:t>available</w:t>
      </w:r>
      <w:r>
        <w:rPr>
          <w:rFonts w:ascii="Calibri" w:hAnsi="Calibri" w:cs="Calibri"/>
        </w:rPr>
        <w:t xml:space="preserve"> or</w:t>
      </w:r>
      <w:r w:rsidRPr="00E63657">
        <w:rPr>
          <w:rFonts w:ascii="Calibri" w:hAnsi="Calibri" w:cs="Calibri"/>
        </w:rPr>
        <w:t xml:space="preserve"> convertible effect size</w:t>
      </w:r>
      <w:r>
        <w:rPr>
          <w:rFonts w:ascii="Calibri" w:hAnsi="Calibri" w:cs="Calibri"/>
        </w:rPr>
        <w:t xml:space="preserve">. </w:t>
      </w:r>
      <w:r w:rsidRPr="00E63657">
        <w:rPr>
          <w:rFonts w:ascii="Calibri" w:hAnsi="Calibri" w:cs="Calibri"/>
        </w:rPr>
        <w:br/>
      </w:r>
    </w:p>
    <w:sectPr w:rsidR="00414E1C" w:rsidRPr="00414E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E1C"/>
    <w:rsid w:val="00101072"/>
    <w:rsid w:val="0032524D"/>
    <w:rsid w:val="00414E1C"/>
    <w:rsid w:val="004E0947"/>
    <w:rsid w:val="00553911"/>
    <w:rsid w:val="005F2014"/>
    <w:rsid w:val="00BB021D"/>
    <w:rsid w:val="00BD6CBD"/>
    <w:rsid w:val="00CB4E2A"/>
    <w:rsid w:val="00D30872"/>
    <w:rsid w:val="00DA29E3"/>
    <w:rsid w:val="00DF4F69"/>
    <w:rsid w:val="00F56D69"/>
    <w:rsid w:val="00F91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6A55D"/>
  <w15:chartTrackingRefBased/>
  <w15:docId w15:val="{69AED35D-D179-437E-8FE5-8F9036B9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E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4E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4E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E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E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E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E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E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E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E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4E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E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E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E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E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E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E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E1C"/>
    <w:rPr>
      <w:rFonts w:eastAsiaTheme="majorEastAsia" w:cstheme="majorBidi"/>
      <w:color w:val="272727" w:themeColor="text1" w:themeTint="D8"/>
    </w:rPr>
  </w:style>
  <w:style w:type="paragraph" w:styleId="Title">
    <w:name w:val="Title"/>
    <w:basedOn w:val="Normal"/>
    <w:next w:val="Normal"/>
    <w:link w:val="TitleChar"/>
    <w:uiPriority w:val="10"/>
    <w:qFormat/>
    <w:rsid w:val="00414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E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E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E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E1C"/>
    <w:pPr>
      <w:spacing w:before="160"/>
      <w:jc w:val="center"/>
    </w:pPr>
    <w:rPr>
      <w:i/>
      <w:iCs/>
      <w:color w:val="404040" w:themeColor="text1" w:themeTint="BF"/>
    </w:rPr>
  </w:style>
  <w:style w:type="character" w:customStyle="1" w:styleId="QuoteChar">
    <w:name w:val="Quote Char"/>
    <w:basedOn w:val="DefaultParagraphFont"/>
    <w:link w:val="Quote"/>
    <w:uiPriority w:val="29"/>
    <w:rsid w:val="00414E1C"/>
    <w:rPr>
      <w:i/>
      <w:iCs/>
      <w:color w:val="404040" w:themeColor="text1" w:themeTint="BF"/>
    </w:rPr>
  </w:style>
  <w:style w:type="paragraph" w:styleId="ListParagraph">
    <w:name w:val="List Paragraph"/>
    <w:basedOn w:val="Normal"/>
    <w:uiPriority w:val="34"/>
    <w:qFormat/>
    <w:rsid w:val="00414E1C"/>
    <w:pPr>
      <w:ind w:left="720"/>
      <w:contextualSpacing/>
    </w:pPr>
  </w:style>
  <w:style w:type="character" w:styleId="IntenseEmphasis">
    <w:name w:val="Intense Emphasis"/>
    <w:basedOn w:val="DefaultParagraphFont"/>
    <w:uiPriority w:val="21"/>
    <w:qFormat/>
    <w:rsid w:val="00414E1C"/>
    <w:rPr>
      <w:i/>
      <w:iCs/>
      <w:color w:val="0F4761" w:themeColor="accent1" w:themeShade="BF"/>
    </w:rPr>
  </w:style>
  <w:style w:type="paragraph" w:styleId="IntenseQuote">
    <w:name w:val="Intense Quote"/>
    <w:basedOn w:val="Normal"/>
    <w:next w:val="Normal"/>
    <w:link w:val="IntenseQuoteChar"/>
    <w:uiPriority w:val="30"/>
    <w:qFormat/>
    <w:rsid w:val="00414E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E1C"/>
    <w:rPr>
      <w:i/>
      <w:iCs/>
      <w:color w:val="0F4761" w:themeColor="accent1" w:themeShade="BF"/>
    </w:rPr>
  </w:style>
  <w:style w:type="character" w:styleId="IntenseReference">
    <w:name w:val="Intense Reference"/>
    <w:basedOn w:val="DefaultParagraphFont"/>
    <w:uiPriority w:val="32"/>
    <w:qFormat/>
    <w:rsid w:val="00414E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670</Words>
  <Characters>3806</Characters>
  <Application>Microsoft Office Word</Application>
  <DocSecurity>0</DocSecurity>
  <Lines>50</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Evie Gates</dc:creator>
  <cp:keywords/>
  <dc:description/>
  <cp:lastModifiedBy>Evie Gates</cp:lastModifiedBy>
  <cp:revision>7</cp:revision>
  <dcterms:created xsi:type="dcterms:W3CDTF">2024-10-15T12:04:00Z</dcterms:created>
  <dcterms:modified xsi:type="dcterms:W3CDTF">2025-05-06T16:13:00Z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7a2eebed-b50f-4d33-88b1-d9dc392af298</vt:lpwstr>
  </property>
</Properties>
</file>