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EAF3294" w14:textId="77777777" w:rsidR="00AD56DD" w:rsidRPr="007F7C5F" w:rsidRDefault="00AC07FA" w:rsidP="00AD56DD">
      <w:pPr>
        <w:spacing w:line="480" w:lineRule="auto"/>
        <w:outlineLvl w:val="0"/>
        <w:rPr>
          <w:rFonts w:ascii="Arial" w:hAnsi="Arial"/>
          <w:b/>
          <w:color w:val="000000" w:themeColor="text1"/>
          <w:lang w:val="en-US"/>
        </w:rPr>
      </w:pPr>
      <w:r>
        <w:rPr>
          <w:rFonts w:ascii="Arial" w:hAnsi="Arial"/>
          <w:b/>
          <w:color w:val="000000" w:themeColor="text1"/>
          <w:lang w:val="en-US"/>
        </w:rPr>
        <w:t xml:space="preserve">Supplementary </w:t>
      </w:r>
      <w:r w:rsidR="00AD56DD" w:rsidRPr="00C13D3B">
        <w:rPr>
          <w:rFonts w:ascii="Arial" w:hAnsi="Arial"/>
          <w:b/>
          <w:color w:val="000000" w:themeColor="text1"/>
          <w:lang w:val="en-US"/>
        </w:rPr>
        <w:t>Methods</w:t>
      </w:r>
      <w:r w:rsidR="00AD56DD">
        <w:rPr>
          <w:rFonts w:ascii="Arial" w:hAnsi="Arial"/>
          <w:b/>
          <w:color w:val="000000" w:themeColor="text1"/>
          <w:lang w:val="en-US"/>
        </w:rPr>
        <w:tab/>
      </w:r>
      <w:r w:rsidR="00AD56DD">
        <w:rPr>
          <w:rFonts w:ascii="Arial" w:hAnsi="Arial"/>
          <w:b/>
          <w:color w:val="000000" w:themeColor="text1"/>
          <w:lang w:val="en-US"/>
        </w:rPr>
        <w:tab/>
      </w:r>
    </w:p>
    <w:p w14:paraId="423421CC" w14:textId="77777777" w:rsidR="00AD56DD" w:rsidRPr="00223A98" w:rsidRDefault="00AD56DD" w:rsidP="00AD56DD">
      <w:pPr>
        <w:spacing w:before="240" w:line="480" w:lineRule="auto"/>
        <w:ind w:firstLine="709"/>
        <w:jc w:val="both"/>
        <w:rPr>
          <w:rFonts w:ascii="Arial" w:hAnsi="Arial" w:cs="Arial"/>
          <w:lang w:val="en-US"/>
        </w:rPr>
      </w:pPr>
      <w:r w:rsidRPr="00223A98">
        <w:rPr>
          <w:rFonts w:ascii="Arial" w:hAnsi="Arial" w:cs="Arial"/>
          <w:i/>
          <w:color w:val="000000" w:themeColor="text1"/>
          <w:lang w:val="en-US"/>
        </w:rPr>
        <w:t>Study subjects.</w:t>
      </w:r>
      <w:r w:rsidRPr="00223A98">
        <w:rPr>
          <w:rFonts w:ascii="Arial" w:hAnsi="Arial" w:cs="Arial"/>
          <w:color w:val="000000" w:themeColor="text1"/>
          <w:lang w:val="en-US"/>
        </w:rPr>
        <w:t xml:space="preserve"> All patients with </w:t>
      </w:r>
      <w:r w:rsidR="00AC07FA">
        <w:rPr>
          <w:rFonts w:ascii="Arial" w:hAnsi="Arial" w:cs="Arial"/>
          <w:color w:val="000000" w:themeColor="text1"/>
          <w:lang w:val="en-US"/>
        </w:rPr>
        <w:t>RA</w:t>
      </w:r>
      <w:r w:rsidRPr="00223A98">
        <w:rPr>
          <w:rFonts w:ascii="Arial" w:hAnsi="Arial" w:cs="Arial"/>
          <w:color w:val="000000" w:themeColor="text1"/>
          <w:lang w:val="en-US"/>
        </w:rPr>
        <w:t xml:space="preserve"> fulfilled the 2010 ACR/EULAR classification criteria</w:t>
      </w:r>
      <w:r w:rsidR="00AC07FA">
        <w:rPr>
          <w:rFonts w:ascii="Arial" w:hAnsi="Arial" w:cs="Arial"/>
          <w:color w:val="000000" w:themeColor="text1"/>
          <w:lang w:val="en-US"/>
        </w:rPr>
        <w:t>.</w:t>
      </w:r>
      <w:r w:rsidRPr="00223A98">
        <w:rPr>
          <w:rFonts w:ascii="Arial" w:hAnsi="Arial" w:cs="Arial"/>
          <w:color w:val="000000" w:themeColor="text1"/>
          <w:lang w:val="en-US"/>
        </w:rPr>
        <w:t xml:space="preserve"> Blood samples from age- and sex-matched healthy individuals were used as controls</w:t>
      </w:r>
      <w:r w:rsidRPr="00223A98">
        <w:rPr>
          <w:rFonts w:ascii="Arial" w:hAnsi="Arial" w:cs="Arial"/>
          <w:lang w:val="en-US"/>
        </w:rPr>
        <w:t xml:space="preserve">. </w:t>
      </w:r>
      <w:r w:rsidRPr="00223A98">
        <w:rPr>
          <w:rFonts w:ascii="Arial" w:hAnsi="Arial" w:cs="Arial"/>
          <w:color w:val="000000"/>
          <w:shd w:val="clear" w:color="auto" w:fill="FFFFFF"/>
          <w:lang w:val="en-US"/>
        </w:rPr>
        <w:t>Blood was drawn after written informed consent was obtained in accordance with the Declaration of Helsinki following a study protocol approved by the Ethics Committee of the University of</w:t>
      </w:r>
      <w:r>
        <w:rPr>
          <w:rFonts w:ascii="Arial" w:hAnsi="Arial" w:cs="Arial"/>
          <w:color w:val="000000"/>
          <w:shd w:val="clear" w:color="auto" w:fill="FFFFFF"/>
          <w:lang w:val="en-US"/>
        </w:rPr>
        <w:t xml:space="preserve"> Cologne</w:t>
      </w:r>
      <w:r w:rsidRPr="00223A98">
        <w:rPr>
          <w:rFonts w:ascii="Arial" w:hAnsi="Arial" w:cs="Arial"/>
          <w:color w:val="000000"/>
          <w:shd w:val="clear" w:color="auto" w:fill="FFFFFF"/>
          <w:lang w:val="en-US"/>
        </w:rPr>
        <w:t xml:space="preserve"> </w:t>
      </w:r>
      <w:r>
        <w:rPr>
          <w:rFonts w:ascii="Arial" w:hAnsi="Arial" w:cs="Arial"/>
          <w:color w:val="000000"/>
          <w:shd w:val="clear" w:color="auto" w:fill="FFFFFF"/>
          <w:lang w:val="en-US"/>
        </w:rPr>
        <w:fldChar w:fldCharType="begin"/>
      </w:r>
      <w:r>
        <w:rPr>
          <w:rFonts w:ascii="Arial" w:hAnsi="Arial" w:cs="Arial"/>
          <w:color w:val="000000"/>
          <w:shd w:val="clear" w:color="auto" w:fill="FFFFFF"/>
          <w:lang w:val="en-US"/>
        </w:rPr>
        <w:instrText xml:space="preserve"> ADDIN EN.CITE &lt;EndNote&gt;&lt;Cite&gt;&lt;Author&gt;World Medical&lt;/Author&gt;&lt;Year&gt;2013&lt;/Year&gt;&lt;RecNum&gt;15&lt;/RecNum&gt;&lt;DisplayText&gt;(4)&lt;/DisplayText&gt;&lt;record&gt;&lt;rec-number&gt;15&lt;/rec-number&gt;&lt;foreign-keys&gt;&lt;key app="EN" db-id="fzt0e0e0qt9905esrtnpevr7dwaeps22ate5" timestamp="1539639663"&gt;15&lt;/key&gt;&lt;/foreign-keys&gt;&lt;ref-type name="Journal Article"&gt;17&lt;/ref-type&gt;&lt;contributors&gt;&lt;authors&gt;&lt;author&gt;World Medical, Association&lt;/author&gt;&lt;/authors&gt;&lt;/contributors&gt;&lt;titles&gt;&lt;title&gt;World Medical Association Declaration of Helsinki: ethical principles for medical research involving human subjects&lt;/title&gt;&lt;secondary-title&gt;JAMA&lt;/secondary-title&gt;&lt;/titles&gt;&lt;periodical&gt;&lt;full-title&gt;JAMA&lt;/full-title&gt;&lt;/periodical&gt;&lt;pages&gt;2191-4&lt;/pages&gt;&lt;volume&gt;310&lt;/volume&gt;&lt;number&gt;20&lt;/number&gt;&lt;edition&gt;2013/10/22&lt;/edition&gt;&lt;keywords&gt;&lt;keyword&gt;Clinical Trials as Topic/*ethics&lt;/keyword&gt;&lt;keyword&gt;Confidentiality&lt;/keyword&gt;&lt;keyword&gt;*Ethics, Research&lt;/keyword&gt;&lt;keyword&gt;*Helsinki Declaration&lt;/keyword&gt;&lt;keyword&gt;Human Experimentation/*ethics&lt;/keyword&gt;&lt;keyword&gt;Humans&lt;/keyword&gt;&lt;keyword&gt;Informed Consent&lt;/keyword&gt;&lt;keyword&gt;Physicians/ethics&lt;/keyword&gt;&lt;keyword&gt;Placebos&lt;/keyword&gt;&lt;keyword&gt;Research Design&lt;/keyword&gt;&lt;keyword&gt;Risk Assessment&lt;/keyword&gt;&lt;keyword&gt;Vulnerable Populations&lt;/keyword&gt;&lt;/keywords&gt;&lt;dates&gt;&lt;year&gt;2013&lt;/year&gt;&lt;pub-dates&gt;&lt;date&gt;Nov 27&lt;/date&gt;&lt;/pub-dates&gt;&lt;/dates&gt;&lt;isbn&gt;1538-3598 (Electronic)&amp;#xD;0098-7484 (Linking)&lt;/isbn&gt;&lt;accession-num&gt;24141714&lt;/accession-num&gt;&lt;urls&gt;&lt;related-urls&gt;&lt;url&gt;https://www.ncbi.nlm.nih.gov/pubmed/24141714&lt;/url&gt;&lt;/related-urls&gt;&lt;/urls&gt;&lt;electronic-resource-num&gt;10.1001/jama.2013.281053&lt;/electronic-resource-num&gt;&lt;/record&gt;&lt;/Cite&gt;&lt;/EndNote&gt;</w:instrText>
      </w:r>
      <w:r>
        <w:rPr>
          <w:rFonts w:ascii="Arial" w:hAnsi="Arial" w:cs="Arial"/>
          <w:color w:val="000000"/>
          <w:shd w:val="clear" w:color="auto" w:fill="FFFFFF"/>
          <w:lang w:val="en-US"/>
        </w:rPr>
        <w:fldChar w:fldCharType="separate"/>
      </w:r>
      <w:r>
        <w:rPr>
          <w:rFonts w:ascii="Arial" w:hAnsi="Arial" w:cs="Arial"/>
          <w:noProof/>
          <w:color w:val="000000"/>
          <w:shd w:val="clear" w:color="auto" w:fill="FFFFFF"/>
          <w:lang w:val="en-US"/>
        </w:rPr>
        <w:t>(4)</w:t>
      </w:r>
      <w:r>
        <w:rPr>
          <w:rFonts w:ascii="Arial" w:hAnsi="Arial" w:cs="Arial"/>
          <w:color w:val="000000"/>
          <w:shd w:val="clear" w:color="auto" w:fill="FFFFFF"/>
          <w:lang w:val="en-US"/>
        </w:rPr>
        <w:fldChar w:fldCharType="end"/>
      </w:r>
      <w:r w:rsidRPr="00223A98">
        <w:rPr>
          <w:rFonts w:ascii="Arial" w:hAnsi="Arial" w:cs="Arial"/>
          <w:color w:val="000000"/>
          <w:shd w:val="clear" w:color="auto" w:fill="FFFFFF"/>
          <w:lang w:val="en-US"/>
        </w:rPr>
        <w:t>.</w:t>
      </w:r>
    </w:p>
    <w:p w14:paraId="65015444" w14:textId="77777777" w:rsidR="00AD56DD" w:rsidRPr="00223A98" w:rsidRDefault="00AD56DD" w:rsidP="00AD56DD">
      <w:pPr>
        <w:spacing w:before="240" w:line="480" w:lineRule="auto"/>
        <w:ind w:firstLine="709"/>
        <w:jc w:val="both"/>
        <w:rPr>
          <w:rFonts w:ascii="Arial" w:hAnsi="Arial" w:cs="Arial"/>
          <w:lang w:val="en-US"/>
        </w:rPr>
      </w:pPr>
      <w:r w:rsidRPr="00223A98">
        <w:rPr>
          <w:rFonts w:ascii="Arial" w:hAnsi="Arial" w:cs="Arial"/>
          <w:i/>
          <w:lang w:val="en-US"/>
        </w:rPr>
        <w:t>Human T cell isolation.</w:t>
      </w:r>
      <w:r w:rsidRPr="00223A98">
        <w:rPr>
          <w:rFonts w:ascii="Arial" w:hAnsi="Arial" w:cs="Arial"/>
          <w:lang w:val="en-US"/>
        </w:rPr>
        <w:t xml:space="preserve"> Primary human lymphocytes were isolated from peripheral blood from</w:t>
      </w:r>
      <w:r>
        <w:rPr>
          <w:rFonts w:ascii="Arial" w:hAnsi="Arial" w:cs="Arial"/>
          <w:lang w:val="en-US"/>
        </w:rPr>
        <w:t xml:space="preserve"> patients </w:t>
      </w:r>
      <w:r w:rsidRPr="00223A98">
        <w:rPr>
          <w:rFonts w:ascii="Arial" w:hAnsi="Arial" w:cs="Arial"/>
          <w:lang w:val="en-US"/>
        </w:rPr>
        <w:t xml:space="preserve">and healthy controls by Pancoll® density </w:t>
      </w:r>
      <w:r>
        <w:rPr>
          <w:rFonts w:ascii="Arial" w:hAnsi="Arial" w:cs="Arial"/>
          <w:lang w:val="en-US"/>
        </w:rPr>
        <w:t xml:space="preserve">gradient </w:t>
      </w:r>
      <w:r w:rsidRPr="00223A98">
        <w:rPr>
          <w:rFonts w:ascii="Arial" w:hAnsi="Arial" w:cs="Arial"/>
          <w:lang w:val="en-US"/>
        </w:rPr>
        <w:t>centrifugation (PAN™-Biotech GmbH, Aidenbach, Germany). CD4</w:t>
      </w:r>
      <w:r w:rsidRPr="00223A98">
        <w:rPr>
          <w:rFonts w:ascii="Arial" w:hAnsi="Arial" w:cs="Arial"/>
          <w:vertAlign w:val="superscript"/>
          <w:lang w:val="en-US"/>
        </w:rPr>
        <w:t>+</w:t>
      </w:r>
      <w:r w:rsidRPr="00223A98">
        <w:rPr>
          <w:rFonts w:ascii="Arial" w:hAnsi="Arial" w:cs="Arial"/>
          <w:lang w:val="en-US"/>
        </w:rPr>
        <w:t xml:space="preserve"> </w:t>
      </w:r>
      <w:r>
        <w:rPr>
          <w:rFonts w:ascii="Arial" w:hAnsi="Arial" w:cs="Arial"/>
          <w:lang w:val="en-US"/>
        </w:rPr>
        <w:t xml:space="preserve">T cells were purified by negative selection using </w:t>
      </w:r>
      <w:r w:rsidRPr="00223A98">
        <w:rPr>
          <w:rFonts w:ascii="Arial" w:hAnsi="Arial" w:cs="Arial"/>
          <w:lang w:val="en-US"/>
        </w:rPr>
        <w:t>the CD4</w:t>
      </w:r>
      <w:r w:rsidRPr="00223A98">
        <w:rPr>
          <w:rFonts w:ascii="Cambria Math" w:hAnsi="Cambria Math" w:cs="Cambria Math"/>
          <w:lang w:val="en-US"/>
        </w:rPr>
        <w:t>⁺</w:t>
      </w:r>
      <w:r w:rsidRPr="00223A98">
        <w:rPr>
          <w:rFonts w:ascii="Arial" w:hAnsi="Arial" w:cs="Arial"/>
          <w:lang w:val="en-US"/>
        </w:rPr>
        <w:t xml:space="preserve"> T cell isolation Kit</w:t>
      </w:r>
      <w:r>
        <w:rPr>
          <w:rFonts w:ascii="Arial" w:hAnsi="Arial" w:cs="Arial"/>
          <w:lang w:val="en-US"/>
        </w:rPr>
        <w:t>.</w:t>
      </w:r>
      <w:r w:rsidRPr="00223A98">
        <w:rPr>
          <w:rFonts w:ascii="Arial" w:hAnsi="Arial" w:cs="Arial"/>
          <w:lang w:val="en-US"/>
        </w:rPr>
        <w:t xml:space="preserve"> </w:t>
      </w:r>
      <w:r>
        <w:rPr>
          <w:rFonts w:ascii="Arial" w:hAnsi="Arial" w:cs="Arial"/>
          <w:lang w:val="en-US"/>
        </w:rPr>
        <w:t xml:space="preserve">The purity of the </w:t>
      </w:r>
      <w:r w:rsidR="00AC07FA">
        <w:rPr>
          <w:rFonts w:ascii="Arial" w:hAnsi="Arial" w:cs="Arial"/>
          <w:lang w:val="en-US"/>
        </w:rPr>
        <w:t>CD4+ T</w:t>
      </w:r>
      <w:r>
        <w:rPr>
          <w:rFonts w:ascii="Arial" w:hAnsi="Arial" w:cs="Arial"/>
          <w:lang w:val="en-US"/>
        </w:rPr>
        <w:t xml:space="preserve"> cell populations was verified by flow cytometry and was at least 96%. </w:t>
      </w:r>
      <w:r w:rsidRPr="00223A98">
        <w:rPr>
          <w:rFonts w:ascii="Arial" w:hAnsi="Arial" w:cs="Arial"/>
          <w:lang w:val="en-US"/>
        </w:rPr>
        <w:t>Viable cells were counted using the Vi-CELL XR cell counter (Beckman Coulter, Krefeld, Germany)</w:t>
      </w:r>
      <w:r>
        <w:rPr>
          <w:rFonts w:ascii="Arial" w:hAnsi="Arial" w:cs="Arial"/>
          <w:lang w:val="en-US"/>
        </w:rPr>
        <w:t xml:space="preserve"> or the automated cell counter CellCountess (Life Technologies GmbH, Darmstadt, Germany)</w:t>
      </w:r>
      <w:r w:rsidRPr="00223A98">
        <w:rPr>
          <w:rFonts w:ascii="Arial" w:hAnsi="Arial" w:cs="Arial"/>
          <w:lang w:val="en-US"/>
        </w:rPr>
        <w:t>.</w:t>
      </w:r>
    </w:p>
    <w:p w14:paraId="7F0AA7A4" w14:textId="77777777" w:rsidR="00AD56DD" w:rsidRDefault="00AD56DD" w:rsidP="00AD56DD">
      <w:pPr>
        <w:spacing w:before="240" w:line="480" w:lineRule="auto"/>
        <w:ind w:firstLine="709"/>
        <w:jc w:val="both"/>
        <w:rPr>
          <w:rFonts w:ascii="Arial" w:hAnsi="Arial" w:cs="Arial"/>
          <w:lang w:val="en-US"/>
        </w:rPr>
      </w:pPr>
      <w:r>
        <w:rPr>
          <w:rFonts w:ascii="Arial" w:hAnsi="Arial" w:cs="Arial"/>
          <w:i/>
          <w:lang w:val="en-US"/>
        </w:rPr>
        <w:t>Th</w:t>
      </w:r>
      <w:r w:rsidRPr="00223A98">
        <w:rPr>
          <w:rFonts w:ascii="Arial" w:hAnsi="Arial" w:cs="Arial"/>
          <w:i/>
          <w:lang w:val="en-US"/>
        </w:rPr>
        <w:t>17 polarization.</w:t>
      </w:r>
      <w:r w:rsidRPr="00223A98">
        <w:rPr>
          <w:rFonts w:ascii="Arial" w:hAnsi="Arial" w:cs="Arial"/>
          <w:lang w:val="en-US"/>
        </w:rPr>
        <w:t xml:space="preserve"> CD45RA</w:t>
      </w:r>
      <w:r w:rsidRPr="00223A98">
        <w:rPr>
          <w:rFonts w:ascii="Arial" w:hAnsi="Arial" w:cs="Arial"/>
          <w:vertAlign w:val="superscript"/>
          <w:lang w:val="en-US"/>
        </w:rPr>
        <w:t>+</w:t>
      </w:r>
      <w:r w:rsidRPr="00223A98">
        <w:rPr>
          <w:rFonts w:ascii="Arial" w:hAnsi="Arial" w:cs="Arial"/>
          <w:lang w:val="en-US"/>
        </w:rPr>
        <w:t>RO</w:t>
      </w:r>
      <w:r w:rsidRPr="00223A98">
        <w:rPr>
          <w:rFonts w:ascii="Cambria Math" w:hAnsi="Cambria Math" w:cs="Cambria Math"/>
          <w:lang w:val="en-US"/>
        </w:rPr>
        <w:t>⁻</w:t>
      </w:r>
      <w:r w:rsidRPr="00223A98">
        <w:rPr>
          <w:rFonts w:ascii="Arial" w:hAnsi="Arial" w:cs="Arial"/>
          <w:lang w:val="en-US"/>
        </w:rPr>
        <w:t xml:space="preserve"> naïve </w:t>
      </w:r>
      <w:r>
        <w:rPr>
          <w:rFonts w:ascii="Arial" w:hAnsi="Arial" w:cs="Arial"/>
          <w:lang w:val="en-US"/>
        </w:rPr>
        <w:t>CD4</w:t>
      </w:r>
      <w:r w:rsidRPr="001A1FB6">
        <w:rPr>
          <w:rFonts w:ascii="Arial" w:hAnsi="Arial" w:cs="Arial"/>
          <w:vertAlign w:val="superscript"/>
          <w:lang w:val="en-US"/>
        </w:rPr>
        <w:t>+</w:t>
      </w:r>
      <w:r>
        <w:rPr>
          <w:rFonts w:ascii="Arial" w:hAnsi="Arial" w:cs="Arial"/>
          <w:lang w:val="en-US"/>
        </w:rPr>
        <w:t xml:space="preserve"> T cells </w:t>
      </w:r>
      <w:r w:rsidRPr="00223A98">
        <w:rPr>
          <w:rFonts w:ascii="Arial" w:hAnsi="Arial" w:cs="Arial"/>
          <w:lang w:val="en-US"/>
        </w:rPr>
        <w:t xml:space="preserve">were cultured in X-Vivo 15 (Lonza, Cologne, Germany) media supplemented with 1% human serum and 1% Penicillin-Streptomycin (both Sigma-Aldrich, Saint Louis, U.S.). </w:t>
      </w:r>
      <w:r>
        <w:rPr>
          <w:rFonts w:ascii="Arial" w:hAnsi="Arial" w:cs="Arial"/>
          <w:lang w:val="en-US"/>
        </w:rPr>
        <w:t>C</w:t>
      </w:r>
      <w:r w:rsidRPr="00223A98">
        <w:rPr>
          <w:rFonts w:ascii="Arial" w:hAnsi="Arial" w:cs="Arial"/>
          <w:lang w:val="en-US"/>
        </w:rPr>
        <w:t>ells were cultured for 4 days with the T cell Activation/Expansion Kit (Miltenyi Biotec) and recombinant human TGF-</w:t>
      </w:r>
      <w:r w:rsidRPr="00223A98">
        <w:rPr>
          <w:rFonts w:ascii="Arial" w:hAnsi="Arial" w:cs="Arial"/>
        </w:rPr>
        <w:t>β</w:t>
      </w:r>
      <w:r w:rsidRPr="00223A98">
        <w:rPr>
          <w:rFonts w:ascii="Arial" w:hAnsi="Arial" w:cs="Arial"/>
          <w:lang w:val="en-US"/>
        </w:rPr>
        <w:t xml:space="preserve"> (5 ng/µl; PAN™-Biotech GmbH, Aidenbach, Germany), IL</w:t>
      </w:r>
      <w:r w:rsidRPr="00223A98">
        <w:rPr>
          <w:rFonts w:ascii="Arial" w:hAnsi="Arial" w:cs="Arial"/>
          <w:lang w:val="en-US"/>
        </w:rPr>
        <w:noBreakHyphen/>
        <w:t>1</w:t>
      </w:r>
      <w:r w:rsidRPr="00223A98">
        <w:rPr>
          <w:rFonts w:ascii="Arial" w:hAnsi="Arial" w:cs="Arial"/>
        </w:rPr>
        <w:t>β</w:t>
      </w:r>
      <w:r w:rsidRPr="00223A98">
        <w:rPr>
          <w:rFonts w:ascii="Arial" w:hAnsi="Arial" w:cs="Arial"/>
          <w:lang w:val="en-US"/>
        </w:rPr>
        <w:t xml:space="preserve"> (12.5 ng/µl), IL-6 (25 ng/µl; both Miltenyi Biotec) and IL-23 (25 ng/µl; PeproTech, Rocky Hill, U.S.). Medium and cytokines were refreshed after 3 days. </w:t>
      </w:r>
    </w:p>
    <w:p w14:paraId="56CE30D8" w14:textId="77777777" w:rsidR="00AD56DD" w:rsidRPr="00237052" w:rsidRDefault="00AD56DD" w:rsidP="00AD56DD">
      <w:pPr>
        <w:spacing w:before="240" w:line="480" w:lineRule="auto"/>
        <w:ind w:firstLine="709"/>
        <w:jc w:val="both"/>
        <w:rPr>
          <w:rFonts w:ascii="Arial" w:hAnsi="Arial" w:cs="Arial"/>
          <w:lang w:val="en-US"/>
        </w:rPr>
      </w:pPr>
      <w:r w:rsidRPr="00223A98">
        <w:rPr>
          <w:rFonts w:ascii="Arial" w:hAnsi="Arial" w:cs="Arial"/>
          <w:i/>
          <w:lang w:val="en-US"/>
        </w:rPr>
        <w:t>Flow cytometry.</w:t>
      </w:r>
      <w:r w:rsidRPr="00223A98">
        <w:rPr>
          <w:rFonts w:ascii="Arial" w:hAnsi="Arial" w:cs="Arial"/>
          <w:lang w:val="en-US"/>
        </w:rPr>
        <w:t xml:space="preserve"> C</w:t>
      </w:r>
      <w:r>
        <w:rPr>
          <w:rFonts w:ascii="Arial" w:hAnsi="Arial" w:cs="Arial"/>
          <w:lang w:val="en-US"/>
        </w:rPr>
        <w:t>D4</w:t>
      </w:r>
      <w:r w:rsidRPr="00A66B42">
        <w:rPr>
          <w:rFonts w:ascii="Arial" w:hAnsi="Arial" w:cs="Arial"/>
          <w:vertAlign w:val="superscript"/>
          <w:lang w:val="en-US"/>
        </w:rPr>
        <w:t>+</w:t>
      </w:r>
      <w:r>
        <w:rPr>
          <w:rFonts w:ascii="Arial" w:hAnsi="Arial" w:cs="Arial"/>
          <w:lang w:val="en-US"/>
        </w:rPr>
        <w:t xml:space="preserve"> T c</w:t>
      </w:r>
      <w:r w:rsidRPr="00223A98">
        <w:rPr>
          <w:rFonts w:ascii="Arial" w:hAnsi="Arial" w:cs="Arial"/>
          <w:lang w:val="en-US"/>
        </w:rPr>
        <w:t xml:space="preserve">ells were stimulated with PMA (100 ng/ml) and ionomycin (1.5 µM; both Cell Signaling Technology®, Danvers, U.S.) in the presence of Brefeldin A (eBioscience, San Diego, U.S.) for 3 hours. To exclude dead cells, cells </w:t>
      </w:r>
      <w:r w:rsidRPr="00223A98">
        <w:rPr>
          <w:rFonts w:ascii="Arial" w:hAnsi="Arial" w:cs="Arial"/>
          <w:lang w:val="en-US"/>
        </w:rPr>
        <w:lastRenderedPageBreak/>
        <w:t>were stained by the LIVE/DEAD™ Fixable Dead Cell Stain Kit (Invitrogen, ThermoFisher Scientific, Carlsbad, U.S.). For intracellular staining, cells were fixed and made permeable by the BD Cytofix/Cytoperm Kit (BD Bioscience, Heidelberg, Germany) according to the manufacturer´s instruct</w:t>
      </w:r>
      <w:r>
        <w:rPr>
          <w:rFonts w:ascii="Arial" w:hAnsi="Arial" w:cs="Arial"/>
          <w:lang w:val="en-US"/>
        </w:rPr>
        <w:t>ions and stained with anti-IL17A</w:t>
      </w:r>
      <w:r w:rsidRPr="00223A98">
        <w:rPr>
          <w:rFonts w:ascii="Arial" w:hAnsi="Arial" w:cs="Arial"/>
          <w:lang w:val="en-US"/>
        </w:rPr>
        <w:t>, anti-IFN-</w:t>
      </w:r>
      <w:r w:rsidRPr="00223A98">
        <w:rPr>
          <w:rFonts w:ascii="Arial" w:hAnsi="Arial" w:cs="Arial"/>
        </w:rPr>
        <w:t>γ</w:t>
      </w:r>
      <w:r w:rsidRPr="00223A98">
        <w:rPr>
          <w:rFonts w:ascii="Arial" w:hAnsi="Arial" w:cs="Arial"/>
          <w:lang w:val="en-US"/>
        </w:rPr>
        <w:t xml:space="preserve"> (both affymetrix eBioscience). </w:t>
      </w:r>
      <w:r w:rsidRPr="00237052">
        <w:rPr>
          <w:rFonts w:ascii="Arial" w:hAnsi="Arial" w:cs="Arial"/>
          <w:lang w:val="en-US"/>
        </w:rPr>
        <w:t>Data were acquired on the Gallios 10/3 flow cytometer (Beckman Coulter, Krefeld, Germany).</w:t>
      </w:r>
    </w:p>
    <w:p w14:paraId="3F34A875" w14:textId="77777777" w:rsidR="00AD56DD" w:rsidRDefault="00AD56DD" w:rsidP="00AD56DD">
      <w:pPr>
        <w:spacing w:before="240" w:line="480" w:lineRule="auto"/>
        <w:ind w:firstLine="709"/>
        <w:jc w:val="both"/>
        <w:rPr>
          <w:rFonts w:ascii="Arial" w:hAnsi="Arial" w:cs="Arial"/>
          <w:lang w:val="en-US"/>
        </w:rPr>
      </w:pPr>
      <w:r w:rsidRPr="00223A98">
        <w:rPr>
          <w:rFonts w:ascii="Arial" w:hAnsi="Arial" w:cs="Arial"/>
          <w:i/>
          <w:lang w:val="en-US"/>
        </w:rPr>
        <w:t xml:space="preserve">Quantitative Real Time PCR. </w:t>
      </w:r>
      <w:r w:rsidRPr="00223A98">
        <w:rPr>
          <w:rFonts w:ascii="Arial" w:hAnsi="Arial" w:cs="Arial"/>
          <w:lang w:val="en-US"/>
        </w:rPr>
        <w:t>RNA was isolated from CD45RA</w:t>
      </w:r>
      <w:r w:rsidRPr="00223A98">
        <w:rPr>
          <w:rFonts w:ascii="Arial" w:hAnsi="Arial" w:cs="Arial"/>
          <w:vertAlign w:val="superscript"/>
          <w:lang w:val="en-US"/>
        </w:rPr>
        <w:t>+</w:t>
      </w:r>
      <w:r w:rsidRPr="00223A98">
        <w:rPr>
          <w:rFonts w:ascii="Arial" w:hAnsi="Arial" w:cs="Arial"/>
          <w:lang w:val="en-US"/>
        </w:rPr>
        <w:t>RO</w:t>
      </w:r>
      <w:r w:rsidRPr="00223A98">
        <w:rPr>
          <w:rFonts w:ascii="Arial" w:hAnsi="Arial" w:cs="Arial"/>
          <w:vertAlign w:val="superscript"/>
          <w:lang w:val="en-US"/>
        </w:rPr>
        <w:t>-</w:t>
      </w:r>
      <w:r w:rsidRPr="00223A98">
        <w:rPr>
          <w:rFonts w:ascii="Arial" w:hAnsi="Arial" w:cs="Arial"/>
          <w:lang w:val="en-US"/>
        </w:rPr>
        <w:t xml:space="preserve"> T cells using the RNeasy Mini Kit and converted into cDNA using the QuantiTectReverse Transcription Kit (both Qiagen, Hilden, Germany). All primers were purchased from Applied Biosystems. All reactions were performed using the 7500 Fast Real-Time PCR System (Applied Biosystems). The values are represented as the difference in C</w:t>
      </w:r>
      <w:r w:rsidRPr="00223A98">
        <w:rPr>
          <w:rFonts w:ascii="Arial" w:hAnsi="Arial" w:cs="Arial"/>
          <w:vertAlign w:val="subscript"/>
          <w:lang w:val="en-US"/>
        </w:rPr>
        <w:t>t</w:t>
      </w:r>
      <w:r w:rsidRPr="00223A98">
        <w:rPr>
          <w:rFonts w:ascii="Arial" w:hAnsi="Arial" w:cs="Arial"/>
          <w:lang w:val="en-US"/>
        </w:rPr>
        <w:t xml:space="preserve"> values normalized to </w:t>
      </w:r>
      <w:r w:rsidRPr="00223A98">
        <w:rPr>
          <w:rFonts w:ascii="Arial" w:hAnsi="Arial" w:cs="Arial"/>
        </w:rPr>
        <w:t>β</w:t>
      </w:r>
      <w:r w:rsidRPr="00223A98">
        <w:rPr>
          <w:rFonts w:ascii="Arial" w:hAnsi="Arial" w:cs="Arial"/>
          <w:lang w:val="en-US"/>
        </w:rPr>
        <w:t>2</w:t>
      </w:r>
      <w:r w:rsidRPr="00223A98">
        <w:rPr>
          <w:rFonts w:ascii="Arial" w:hAnsi="Arial" w:cs="Arial"/>
          <w:lang w:val="en-US"/>
        </w:rPr>
        <w:noBreakHyphen/>
        <w:t>microglobulin for each sample using the following formula: relative RNA expression = (2</w:t>
      </w:r>
      <w:r w:rsidRPr="00223A98">
        <w:rPr>
          <w:rFonts w:ascii="Arial" w:hAnsi="Arial" w:cs="Arial"/>
          <w:lang w:val="en-US"/>
        </w:rPr>
        <w:noBreakHyphen/>
      </w:r>
      <w:r w:rsidRPr="00223A98">
        <w:rPr>
          <w:rFonts w:ascii="Arial" w:hAnsi="Arial" w:cs="Arial"/>
          <w:vertAlign w:val="superscript"/>
          <w:lang w:val="en-US"/>
        </w:rPr>
        <w:t>dCt</w:t>
      </w:r>
      <w:r w:rsidRPr="00223A98">
        <w:rPr>
          <w:rFonts w:ascii="Arial" w:hAnsi="Arial" w:cs="Arial"/>
          <w:lang w:val="en-US"/>
        </w:rPr>
        <w:t>) x 10</w:t>
      </w:r>
      <w:r w:rsidRPr="00223A98">
        <w:rPr>
          <w:rFonts w:ascii="Arial" w:hAnsi="Arial" w:cs="Arial"/>
          <w:vertAlign w:val="superscript"/>
          <w:lang w:val="en-US"/>
        </w:rPr>
        <w:t>3</w:t>
      </w:r>
      <w:r w:rsidRPr="00223A98">
        <w:rPr>
          <w:rFonts w:ascii="Arial" w:hAnsi="Arial" w:cs="Arial"/>
          <w:lang w:val="en-US"/>
        </w:rPr>
        <w:t>.</w:t>
      </w:r>
    </w:p>
    <w:p w14:paraId="64E52C31" w14:textId="31BA6CD5" w:rsidR="00C54929" w:rsidRDefault="00AD56DD" w:rsidP="00C54929">
      <w:pPr>
        <w:spacing w:before="240" w:line="480" w:lineRule="auto"/>
        <w:ind w:firstLine="709"/>
        <w:jc w:val="both"/>
        <w:rPr>
          <w:rFonts w:ascii="Arial" w:hAnsi="Arial" w:cs="Arial"/>
          <w:color w:val="000000" w:themeColor="text1"/>
          <w:lang w:val="en-US"/>
        </w:rPr>
      </w:pPr>
      <w:r w:rsidRPr="00223A98">
        <w:rPr>
          <w:rFonts w:ascii="Arial" w:hAnsi="Arial" w:cs="Arial"/>
          <w:i/>
          <w:lang w:val="en-US"/>
        </w:rPr>
        <w:t>Statistics.</w:t>
      </w:r>
      <w:r w:rsidRPr="00223A98">
        <w:rPr>
          <w:rFonts w:ascii="Arial" w:hAnsi="Arial" w:cs="Arial"/>
          <w:lang w:val="en-US"/>
        </w:rPr>
        <w:t xml:space="preserve"> Statistical analysis was performed using </w:t>
      </w:r>
      <w:r w:rsidRPr="002779DF">
        <w:rPr>
          <w:rFonts w:ascii="Arial" w:hAnsi="Arial" w:cs="Arial"/>
          <w:color w:val="000000" w:themeColor="text1"/>
          <w:lang w:val="en-US"/>
        </w:rPr>
        <w:t>GraphPad Prism. Where indicated, data were analyzed by non-parametric Mann-Whitney</w:t>
      </w:r>
      <w:r w:rsidR="00AC07FA">
        <w:rPr>
          <w:rFonts w:ascii="Arial" w:hAnsi="Arial" w:cs="Arial"/>
          <w:color w:val="000000" w:themeColor="text1"/>
          <w:lang w:val="en-US"/>
        </w:rPr>
        <w:t xml:space="preserve"> test </w:t>
      </w:r>
      <w:r w:rsidRPr="002779DF">
        <w:rPr>
          <w:rFonts w:ascii="Arial" w:hAnsi="Arial" w:cs="Arial"/>
          <w:color w:val="000000" w:themeColor="text1"/>
          <w:lang w:val="en-US"/>
        </w:rPr>
        <w:t xml:space="preserve">or </w:t>
      </w:r>
      <w:r w:rsidR="00AC07FA">
        <w:rPr>
          <w:rFonts w:ascii="Arial" w:hAnsi="Arial" w:cs="Arial"/>
          <w:color w:val="000000" w:themeColor="text1"/>
          <w:lang w:val="en-US"/>
        </w:rPr>
        <w:t>student’s t-test</w:t>
      </w:r>
      <w:r w:rsidRPr="002779DF">
        <w:rPr>
          <w:rFonts w:ascii="Arial" w:hAnsi="Arial" w:cs="Arial"/>
          <w:color w:val="000000" w:themeColor="text1"/>
          <w:lang w:val="en-US"/>
        </w:rPr>
        <w:t xml:space="preserve"> and are presented as the mean ± SEM. </w:t>
      </w:r>
      <w:r w:rsidRPr="002779DF">
        <w:rPr>
          <w:rFonts w:ascii="Arial" w:hAnsi="Arial" w:cs="Arial"/>
          <w:i/>
          <w:color w:val="000000" w:themeColor="text1"/>
          <w:lang w:val="en-US"/>
        </w:rPr>
        <w:t>p </w:t>
      </w:r>
      <w:r w:rsidRPr="002779DF">
        <w:rPr>
          <w:rFonts w:ascii="Arial" w:hAnsi="Arial" w:cs="Arial"/>
          <w:color w:val="000000" w:themeColor="text1"/>
          <w:lang w:val="en-US"/>
        </w:rPr>
        <w:t>&lt; 0.05 was considered as statistically significant.</w:t>
      </w:r>
    </w:p>
    <w:p w14:paraId="2967DD8D" w14:textId="6596E570" w:rsidR="00677064" w:rsidRPr="009A6360" w:rsidRDefault="009A6360" w:rsidP="009A6360">
      <w:pPr>
        <w:spacing w:line="480" w:lineRule="auto"/>
        <w:rPr>
          <w:rFonts w:ascii="Arial" w:hAnsi="Arial" w:cs="Arial"/>
          <w:bCs/>
          <w:color w:val="000000" w:themeColor="text1"/>
          <w:lang w:val="en-US"/>
        </w:rPr>
      </w:pPr>
      <w:r w:rsidRPr="009A6360">
        <w:rPr>
          <w:rFonts w:ascii="Arial" w:hAnsi="Arial" w:cs="Arial"/>
          <w:b/>
          <w:color w:val="000000" w:themeColor="text1"/>
          <w:lang w:val="en-US"/>
        </w:rPr>
        <w:tab/>
      </w:r>
    </w:p>
    <w:sectPr w:rsidR="00677064" w:rsidRPr="009A6360" w:rsidSect="00F353ED">
      <w:pgSz w:w="11900" w:h="16840"/>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6DD"/>
    <w:rsid w:val="000009C8"/>
    <w:rsid w:val="00001B91"/>
    <w:rsid w:val="00002BEA"/>
    <w:rsid w:val="00002DFE"/>
    <w:rsid w:val="000043E2"/>
    <w:rsid w:val="000057E3"/>
    <w:rsid w:val="000132DB"/>
    <w:rsid w:val="0001431B"/>
    <w:rsid w:val="00014A1A"/>
    <w:rsid w:val="000208EB"/>
    <w:rsid w:val="00023793"/>
    <w:rsid w:val="0002769A"/>
    <w:rsid w:val="00031AEF"/>
    <w:rsid w:val="000336FB"/>
    <w:rsid w:val="00033BB8"/>
    <w:rsid w:val="00036771"/>
    <w:rsid w:val="000411A0"/>
    <w:rsid w:val="00041FC6"/>
    <w:rsid w:val="00044707"/>
    <w:rsid w:val="00052145"/>
    <w:rsid w:val="000573F6"/>
    <w:rsid w:val="0006399E"/>
    <w:rsid w:val="0008261A"/>
    <w:rsid w:val="000A0E52"/>
    <w:rsid w:val="000A4E8C"/>
    <w:rsid w:val="000B32E4"/>
    <w:rsid w:val="000B3AF7"/>
    <w:rsid w:val="000C1226"/>
    <w:rsid w:val="000C3151"/>
    <w:rsid w:val="000C56F7"/>
    <w:rsid w:val="000C6586"/>
    <w:rsid w:val="000C7AAC"/>
    <w:rsid w:val="000D3E2C"/>
    <w:rsid w:val="000D685A"/>
    <w:rsid w:val="000E09BC"/>
    <w:rsid w:val="000E0A53"/>
    <w:rsid w:val="000E46A8"/>
    <w:rsid w:val="000E5E08"/>
    <w:rsid w:val="000F03D5"/>
    <w:rsid w:val="000F4B83"/>
    <w:rsid w:val="000F6F07"/>
    <w:rsid w:val="00101192"/>
    <w:rsid w:val="00101F33"/>
    <w:rsid w:val="00112E22"/>
    <w:rsid w:val="00113612"/>
    <w:rsid w:val="001169E5"/>
    <w:rsid w:val="00120F10"/>
    <w:rsid w:val="00132118"/>
    <w:rsid w:val="00134378"/>
    <w:rsid w:val="0013655D"/>
    <w:rsid w:val="00137E97"/>
    <w:rsid w:val="00142B2A"/>
    <w:rsid w:val="001503BE"/>
    <w:rsid w:val="00163417"/>
    <w:rsid w:val="00163852"/>
    <w:rsid w:val="00172295"/>
    <w:rsid w:val="001732F8"/>
    <w:rsid w:val="0018042E"/>
    <w:rsid w:val="00182631"/>
    <w:rsid w:val="00187445"/>
    <w:rsid w:val="00190227"/>
    <w:rsid w:val="00193795"/>
    <w:rsid w:val="00194954"/>
    <w:rsid w:val="00194B99"/>
    <w:rsid w:val="00196304"/>
    <w:rsid w:val="001A6F20"/>
    <w:rsid w:val="001C2477"/>
    <w:rsid w:val="001C421C"/>
    <w:rsid w:val="001D03DF"/>
    <w:rsid w:val="001D6C47"/>
    <w:rsid w:val="002036EA"/>
    <w:rsid w:val="00206BFC"/>
    <w:rsid w:val="00207319"/>
    <w:rsid w:val="002150BD"/>
    <w:rsid w:val="00216DBE"/>
    <w:rsid w:val="00222070"/>
    <w:rsid w:val="0023140E"/>
    <w:rsid w:val="0023636D"/>
    <w:rsid w:val="00250214"/>
    <w:rsid w:val="00255F86"/>
    <w:rsid w:val="002577E9"/>
    <w:rsid w:val="002636B9"/>
    <w:rsid w:val="002663F6"/>
    <w:rsid w:val="00272AC5"/>
    <w:rsid w:val="00273FE3"/>
    <w:rsid w:val="0027560C"/>
    <w:rsid w:val="00291E2F"/>
    <w:rsid w:val="00291F81"/>
    <w:rsid w:val="00295FA4"/>
    <w:rsid w:val="002A0022"/>
    <w:rsid w:val="002A4761"/>
    <w:rsid w:val="002B081F"/>
    <w:rsid w:val="002C316C"/>
    <w:rsid w:val="002C4B1A"/>
    <w:rsid w:val="002C57D6"/>
    <w:rsid w:val="002C642C"/>
    <w:rsid w:val="002D1CA6"/>
    <w:rsid w:val="002D36A2"/>
    <w:rsid w:val="002D7CB3"/>
    <w:rsid w:val="002E74EA"/>
    <w:rsid w:val="002F13EF"/>
    <w:rsid w:val="002F40AE"/>
    <w:rsid w:val="002F5D6C"/>
    <w:rsid w:val="00301CB6"/>
    <w:rsid w:val="0032089C"/>
    <w:rsid w:val="00321500"/>
    <w:rsid w:val="003261AF"/>
    <w:rsid w:val="003355E5"/>
    <w:rsid w:val="00342AC8"/>
    <w:rsid w:val="00343E2A"/>
    <w:rsid w:val="0034611B"/>
    <w:rsid w:val="00346428"/>
    <w:rsid w:val="003543F5"/>
    <w:rsid w:val="003634DB"/>
    <w:rsid w:val="0037661D"/>
    <w:rsid w:val="00380A65"/>
    <w:rsid w:val="003820FC"/>
    <w:rsid w:val="00387172"/>
    <w:rsid w:val="00396D29"/>
    <w:rsid w:val="003A0837"/>
    <w:rsid w:val="003A12A1"/>
    <w:rsid w:val="003A5858"/>
    <w:rsid w:val="003B1EF5"/>
    <w:rsid w:val="003B24FE"/>
    <w:rsid w:val="003B2707"/>
    <w:rsid w:val="003B4FB8"/>
    <w:rsid w:val="003C0D49"/>
    <w:rsid w:val="003D0437"/>
    <w:rsid w:val="003D18E6"/>
    <w:rsid w:val="003D22A2"/>
    <w:rsid w:val="003D5C0F"/>
    <w:rsid w:val="003E502B"/>
    <w:rsid w:val="0040322F"/>
    <w:rsid w:val="0040401C"/>
    <w:rsid w:val="00421AE0"/>
    <w:rsid w:val="00422BD6"/>
    <w:rsid w:val="00423417"/>
    <w:rsid w:val="00424B8A"/>
    <w:rsid w:val="004257A3"/>
    <w:rsid w:val="00427714"/>
    <w:rsid w:val="0042774E"/>
    <w:rsid w:val="00432F8D"/>
    <w:rsid w:val="0043439E"/>
    <w:rsid w:val="00434535"/>
    <w:rsid w:val="00435D0F"/>
    <w:rsid w:val="00435EE8"/>
    <w:rsid w:val="00435F12"/>
    <w:rsid w:val="00437E3E"/>
    <w:rsid w:val="004536ED"/>
    <w:rsid w:val="00460438"/>
    <w:rsid w:val="00461333"/>
    <w:rsid w:val="00465F05"/>
    <w:rsid w:val="004755C1"/>
    <w:rsid w:val="00482ED7"/>
    <w:rsid w:val="0048321B"/>
    <w:rsid w:val="00487DBF"/>
    <w:rsid w:val="0049008D"/>
    <w:rsid w:val="00495A56"/>
    <w:rsid w:val="0049665B"/>
    <w:rsid w:val="004A501B"/>
    <w:rsid w:val="004A5A86"/>
    <w:rsid w:val="004A7658"/>
    <w:rsid w:val="004B1897"/>
    <w:rsid w:val="004B306D"/>
    <w:rsid w:val="004E0E76"/>
    <w:rsid w:val="004E1FEB"/>
    <w:rsid w:val="004E30A5"/>
    <w:rsid w:val="00507D8D"/>
    <w:rsid w:val="005100EE"/>
    <w:rsid w:val="0051093C"/>
    <w:rsid w:val="0051432A"/>
    <w:rsid w:val="0051437B"/>
    <w:rsid w:val="0051482A"/>
    <w:rsid w:val="00516FC3"/>
    <w:rsid w:val="00517A80"/>
    <w:rsid w:val="00526938"/>
    <w:rsid w:val="00527370"/>
    <w:rsid w:val="00527752"/>
    <w:rsid w:val="00543948"/>
    <w:rsid w:val="00544407"/>
    <w:rsid w:val="00550A65"/>
    <w:rsid w:val="00552D1A"/>
    <w:rsid w:val="005710A8"/>
    <w:rsid w:val="005778E1"/>
    <w:rsid w:val="00586799"/>
    <w:rsid w:val="00590D1F"/>
    <w:rsid w:val="0059442E"/>
    <w:rsid w:val="005A08B0"/>
    <w:rsid w:val="005A0937"/>
    <w:rsid w:val="005A4D03"/>
    <w:rsid w:val="005A6AA7"/>
    <w:rsid w:val="005A6F0B"/>
    <w:rsid w:val="005B17F1"/>
    <w:rsid w:val="005C0E36"/>
    <w:rsid w:val="005C123E"/>
    <w:rsid w:val="005D0196"/>
    <w:rsid w:val="005D5947"/>
    <w:rsid w:val="005F3073"/>
    <w:rsid w:val="005F554D"/>
    <w:rsid w:val="00610477"/>
    <w:rsid w:val="0061349B"/>
    <w:rsid w:val="006162DE"/>
    <w:rsid w:val="00636F43"/>
    <w:rsid w:val="00641850"/>
    <w:rsid w:val="00643A64"/>
    <w:rsid w:val="0064457D"/>
    <w:rsid w:val="00645FB1"/>
    <w:rsid w:val="00651128"/>
    <w:rsid w:val="0065244F"/>
    <w:rsid w:val="006554B0"/>
    <w:rsid w:val="006650F8"/>
    <w:rsid w:val="00665CFE"/>
    <w:rsid w:val="00673B8C"/>
    <w:rsid w:val="00676DEE"/>
    <w:rsid w:val="00683427"/>
    <w:rsid w:val="0068660F"/>
    <w:rsid w:val="006906E4"/>
    <w:rsid w:val="00692A1A"/>
    <w:rsid w:val="00697B0F"/>
    <w:rsid w:val="006A29A3"/>
    <w:rsid w:val="006A3E1A"/>
    <w:rsid w:val="006A53C3"/>
    <w:rsid w:val="006B0997"/>
    <w:rsid w:val="006B1EB2"/>
    <w:rsid w:val="006B4856"/>
    <w:rsid w:val="006B4ADD"/>
    <w:rsid w:val="006B6DB7"/>
    <w:rsid w:val="006C08E6"/>
    <w:rsid w:val="006C09EC"/>
    <w:rsid w:val="006C26B7"/>
    <w:rsid w:val="006C4343"/>
    <w:rsid w:val="006C4E79"/>
    <w:rsid w:val="006C7E39"/>
    <w:rsid w:val="006D2276"/>
    <w:rsid w:val="006D28C8"/>
    <w:rsid w:val="006D2BCF"/>
    <w:rsid w:val="006D7AF1"/>
    <w:rsid w:val="006E077E"/>
    <w:rsid w:val="006E4877"/>
    <w:rsid w:val="006F079A"/>
    <w:rsid w:val="00702B75"/>
    <w:rsid w:val="0070309A"/>
    <w:rsid w:val="00714E26"/>
    <w:rsid w:val="007234E1"/>
    <w:rsid w:val="00726AF2"/>
    <w:rsid w:val="00730BD0"/>
    <w:rsid w:val="00733863"/>
    <w:rsid w:val="00735DCC"/>
    <w:rsid w:val="00741DC4"/>
    <w:rsid w:val="00742222"/>
    <w:rsid w:val="00747808"/>
    <w:rsid w:val="00750C3A"/>
    <w:rsid w:val="00755FB6"/>
    <w:rsid w:val="00790B05"/>
    <w:rsid w:val="00794BF3"/>
    <w:rsid w:val="007A0F38"/>
    <w:rsid w:val="007A649D"/>
    <w:rsid w:val="007B1845"/>
    <w:rsid w:val="007B23E4"/>
    <w:rsid w:val="007B3245"/>
    <w:rsid w:val="007C00A0"/>
    <w:rsid w:val="007C0BDC"/>
    <w:rsid w:val="007C54D1"/>
    <w:rsid w:val="007E7791"/>
    <w:rsid w:val="007F6E6D"/>
    <w:rsid w:val="008001B4"/>
    <w:rsid w:val="00802D8C"/>
    <w:rsid w:val="00814C2F"/>
    <w:rsid w:val="0082465F"/>
    <w:rsid w:val="00827352"/>
    <w:rsid w:val="0083039A"/>
    <w:rsid w:val="0083087C"/>
    <w:rsid w:val="00830C06"/>
    <w:rsid w:val="00831C56"/>
    <w:rsid w:val="00831E0D"/>
    <w:rsid w:val="00835738"/>
    <w:rsid w:val="008368FC"/>
    <w:rsid w:val="00836C97"/>
    <w:rsid w:val="00840E16"/>
    <w:rsid w:val="008506DF"/>
    <w:rsid w:val="00864DDC"/>
    <w:rsid w:val="008652C9"/>
    <w:rsid w:val="008746E4"/>
    <w:rsid w:val="00882350"/>
    <w:rsid w:val="008835A8"/>
    <w:rsid w:val="00883820"/>
    <w:rsid w:val="008847A6"/>
    <w:rsid w:val="00890D91"/>
    <w:rsid w:val="008A02D8"/>
    <w:rsid w:val="008A0F6C"/>
    <w:rsid w:val="008A1591"/>
    <w:rsid w:val="008A1773"/>
    <w:rsid w:val="008A3FDD"/>
    <w:rsid w:val="008A7119"/>
    <w:rsid w:val="008B4905"/>
    <w:rsid w:val="008C2D96"/>
    <w:rsid w:val="008D6F14"/>
    <w:rsid w:val="008F142C"/>
    <w:rsid w:val="008F38E7"/>
    <w:rsid w:val="009009E9"/>
    <w:rsid w:val="009026E1"/>
    <w:rsid w:val="0091101B"/>
    <w:rsid w:val="009131F4"/>
    <w:rsid w:val="00936524"/>
    <w:rsid w:val="00942732"/>
    <w:rsid w:val="00944D01"/>
    <w:rsid w:val="00966777"/>
    <w:rsid w:val="009719CD"/>
    <w:rsid w:val="00982A86"/>
    <w:rsid w:val="00984222"/>
    <w:rsid w:val="009860BF"/>
    <w:rsid w:val="00987C1D"/>
    <w:rsid w:val="009918DA"/>
    <w:rsid w:val="00997BEB"/>
    <w:rsid w:val="009A2720"/>
    <w:rsid w:val="009A3FA9"/>
    <w:rsid w:val="009A4574"/>
    <w:rsid w:val="009A53D7"/>
    <w:rsid w:val="009A5B60"/>
    <w:rsid w:val="009A6360"/>
    <w:rsid w:val="009B0FCD"/>
    <w:rsid w:val="009B26F9"/>
    <w:rsid w:val="009C34E7"/>
    <w:rsid w:val="009D1D03"/>
    <w:rsid w:val="009E1634"/>
    <w:rsid w:val="009F699D"/>
    <w:rsid w:val="009F6FFB"/>
    <w:rsid w:val="00A02FFA"/>
    <w:rsid w:val="00A044CD"/>
    <w:rsid w:val="00A04A09"/>
    <w:rsid w:val="00A05DA3"/>
    <w:rsid w:val="00A10957"/>
    <w:rsid w:val="00A16679"/>
    <w:rsid w:val="00A22614"/>
    <w:rsid w:val="00A25785"/>
    <w:rsid w:val="00A311FB"/>
    <w:rsid w:val="00A37877"/>
    <w:rsid w:val="00A47895"/>
    <w:rsid w:val="00A6057E"/>
    <w:rsid w:val="00A61935"/>
    <w:rsid w:val="00A74867"/>
    <w:rsid w:val="00AA0EA4"/>
    <w:rsid w:val="00AA4894"/>
    <w:rsid w:val="00AA7702"/>
    <w:rsid w:val="00AC07FA"/>
    <w:rsid w:val="00AC0CE9"/>
    <w:rsid w:val="00AD42A9"/>
    <w:rsid w:val="00AD56DD"/>
    <w:rsid w:val="00AF0906"/>
    <w:rsid w:val="00AF1FEE"/>
    <w:rsid w:val="00AF31C9"/>
    <w:rsid w:val="00AF7C3A"/>
    <w:rsid w:val="00B01586"/>
    <w:rsid w:val="00B043A2"/>
    <w:rsid w:val="00B138E5"/>
    <w:rsid w:val="00B17365"/>
    <w:rsid w:val="00B220D9"/>
    <w:rsid w:val="00B246FE"/>
    <w:rsid w:val="00B24E21"/>
    <w:rsid w:val="00B365FD"/>
    <w:rsid w:val="00B43A19"/>
    <w:rsid w:val="00B56EFD"/>
    <w:rsid w:val="00B66429"/>
    <w:rsid w:val="00B67976"/>
    <w:rsid w:val="00B70199"/>
    <w:rsid w:val="00B7124A"/>
    <w:rsid w:val="00B82D4B"/>
    <w:rsid w:val="00B9049E"/>
    <w:rsid w:val="00B96BD6"/>
    <w:rsid w:val="00BA18DC"/>
    <w:rsid w:val="00BA6E96"/>
    <w:rsid w:val="00BC21B8"/>
    <w:rsid w:val="00BE0BCC"/>
    <w:rsid w:val="00BF76C4"/>
    <w:rsid w:val="00C03B5B"/>
    <w:rsid w:val="00C13F35"/>
    <w:rsid w:val="00C172A3"/>
    <w:rsid w:val="00C20021"/>
    <w:rsid w:val="00C25F51"/>
    <w:rsid w:val="00C340A4"/>
    <w:rsid w:val="00C35123"/>
    <w:rsid w:val="00C51EAF"/>
    <w:rsid w:val="00C53999"/>
    <w:rsid w:val="00C54929"/>
    <w:rsid w:val="00C57A5E"/>
    <w:rsid w:val="00C62DC3"/>
    <w:rsid w:val="00C73131"/>
    <w:rsid w:val="00C75BC6"/>
    <w:rsid w:val="00C86637"/>
    <w:rsid w:val="00C87C86"/>
    <w:rsid w:val="00C90EA5"/>
    <w:rsid w:val="00C92068"/>
    <w:rsid w:val="00C95AD1"/>
    <w:rsid w:val="00CA1B99"/>
    <w:rsid w:val="00CA6D3B"/>
    <w:rsid w:val="00CB332A"/>
    <w:rsid w:val="00CC77C3"/>
    <w:rsid w:val="00CC781F"/>
    <w:rsid w:val="00CD4EDE"/>
    <w:rsid w:val="00CF5C82"/>
    <w:rsid w:val="00D06C1C"/>
    <w:rsid w:val="00D10F7D"/>
    <w:rsid w:val="00D163DA"/>
    <w:rsid w:val="00D26BF1"/>
    <w:rsid w:val="00D4442F"/>
    <w:rsid w:val="00D45BD3"/>
    <w:rsid w:val="00D51DA7"/>
    <w:rsid w:val="00D5691F"/>
    <w:rsid w:val="00D6260E"/>
    <w:rsid w:val="00D65F28"/>
    <w:rsid w:val="00D66B16"/>
    <w:rsid w:val="00D7233C"/>
    <w:rsid w:val="00D74974"/>
    <w:rsid w:val="00D8115C"/>
    <w:rsid w:val="00D82447"/>
    <w:rsid w:val="00D83269"/>
    <w:rsid w:val="00D915B8"/>
    <w:rsid w:val="00D9191D"/>
    <w:rsid w:val="00D92BA6"/>
    <w:rsid w:val="00D97063"/>
    <w:rsid w:val="00DA5DE6"/>
    <w:rsid w:val="00DA6597"/>
    <w:rsid w:val="00DA79AE"/>
    <w:rsid w:val="00DB3D57"/>
    <w:rsid w:val="00DB4CCD"/>
    <w:rsid w:val="00DB6309"/>
    <w:rsid w:val="00DC2491"/>
    <w:rsid w:val="00DC4DC4"/>
    <w:rsid w:val="00DC5E22"/>
    <w:rsid w:val="00DD1336"/>
    <w:rsid w:val="00DD344A"/>
    <w:rsid w:val="00DD43D6"/>
    <w:rsid w:val="00DD6E53"/>
    <w:rsid w:val="00DE62F3"/>
    <w:rsid w:val="00DE64F2"/>
    <w:rsid w:val="00DF36F1"/>
    <w:rsid w:val="00E02BB0"/>
    <w:rsid w:val="00E03F2C"/>
    <w:rsid w:val="00E15826"/>
    <w:rsid w:val="00E23308"/>
    <w:rsid w:val="00E24C30"/>
    <w:rsid w:val="00E26BD3"/>
    <w:rsid w:val="00E308B1"/>
    <w:rsid w:val="00E357AA"/>
    <w:rsid w:val="00E35EFF"/>
    <w:rsid w:val="00E41D86"/>
    <w:rsid w:val="00E43310"/>
    <w:rsid w:val="00E459A5"/>
    <w:rsid w:val="00E45BD3"/>
    <w:rsid w:val="00E61858"/>
    <w:rsid w:val="00E62661"/>
    <w:rsid w:val="00E6606C"/>
    <w:rsid w:val="00E70ABC"/>
    <w:rsid w:val="00E714E4"/>
    <w:rsid w:val="00E71C43"/>
    <w:rsid w:val="00E80793"/>
    <w:rsid w:val="00E82C82"/>
    <w:rsid w:val="00E82E8A"/>
    <w:rsid w:val="00E84508"/>
    <w:rsid w:val="00E8530F"/>
    <w:rsid w:val="00E90C21"/>
    <w:rsid w:val="00E93376"/>
    <w:rsid w:val="00E93F9F"/>
    <w:rsid w:val="00EB6B85"/>
    <w:rsid w:val="00EC22D9"/>
    <w:rsid w:val="00ED77B4"/>
    <w:rsid w:val="00EE0E62"/>
    <w:rsid w:val="00EE7DF3"/>
    <w:rsid w:val="00EF3257"/>
    <w:rsid w:val="00EF483D"/>
    <w:rsid w:val="00F117E3"/>
    <w:rsid w:val="00F15E51"/>
    <w:rsid w:val="00F167F9"/>
    <w:rsid w:val="00F24F78"/>
    <w:rsid w:val="00F353ED"/>
    <w:rsid w:val="00F51C3A"/>
    <w:rsid w:val="00F637D0"/>
    <w:rsid w:val="00F64350"/>
    <w:rsid w:val="00F66203"/>
    <w:rsid w:val="00F71E48"/>
    <w:rsid w:val="00F8081E"/>
    <w:rsid w:val="00F824CB"/>
    <w:rsid w:val="00F8752A"/>
    <w:rsid w:val="00F94CA0"/>
    <w:rsid w:val="00FA31B3"/>
    <w:rsid w:val="00FA5062"/>
    <w:rsid w:val="00FA7828"/>
    <w:rsid w:val="00FB0C2A"/>
    <w:rsid w:val="00FB753D"/>
    <w:rsid w:val="00FD0831"/>
    <w:rsid w:val="00FD356C"/>
    <w:rsid w:val="00FD636A"/>
    <w:rsid w:val="00FE01AD"/>
    <w:rsid w:val="00FF2966"/>
    <w:rsid w:val="00FF74E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12344FF5"/>
  <w14:defaultImageDpi w14:val="32767"/>
  <w15:chartTrackingRefBased/>
  <w15:docId w15:val="{D8E39B60-C2C3-1749-83AD-B7632F414E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AD56DD"/>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
    <w:name w:val="EndNote Bibliography"/>
    <w:basedOn w:val="Normal"/>
    <w:link w:val="EndNoteBibliographyZchn"/>
    <w:rsid w:val="00A16679"/>
    <w:pPr>
      <w:jc w:val="center"/>
    </w:pPr>
    <w:rPr>
      <w:rFonts w:ascii="Calibri" w:hAnsi="Calibri" w:cs="Calibri"/>
      <w:lang w:val="en-US"/>
    </w:rPr>
  </w:style>
  <w:style w:type="character" w:customStyle="1" w:styleId="EndNoteBibliographyZchn">
    <w:name w:val="EndNote Bibliography Zchn"/>
    <w:basedOn w:val="DefaultParagraphFont"/>
    <w:link w:val="EndNoteBibliography"/>
    <w:rsid w:val="00A16679"/>
    <w:rPr>
      <w:rFonts w:ascii="Calibri" w:eastAsiaTheme="minorEastAsia"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680</Words>
  <Characters>3877</Characters>
  <Application>Microsoft Office Word</Application>
  <DocSecurity>0</DocSecurity>
  <Lines>32</Lines>
  <Paragraphs>9</Paragraphs>
  <ScaleCrop>false</ScaleCrop>
  <Company/>
  <LinksUpToDate>false</LinksUpToDate>
  <CharactersWithSpaces>4548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Kofler</dc:creator>
  <cp:keywords/>
  <dc:description/>
  <cp:lastModifiedBy>Microsoft Office User</cp:lastModifiedBy>
  <cp:revision>7</cp:revision>
  <dcterms:created xsi:type="dcterms:W3CDTF">2020-03-10T08:56:00Z</dcterms:created>
  <dcterms:modified xsi:type="dcterms:W3CDTF">2020-03-27T15:06:00Z</dcterms:modified>
</cp:coreProperties>
</file>