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A4800">
      <w:pPr>
        <w:ind w:firstLine="240" w:firstLineChars="1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Sample and imaging characteristics of the studies included extraversion analysis.</w:t>
      </w:r>
    </w:p>
    <w:tbl>
      <w:tblPr>
        <w:tblStyle w:val="16"/>
        <w:tblW w:w="0" w:type="auto"/>
        <w:tblInd w:w="5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1143"/>
        <w:gridCol w:w="1143"/>
        <w:gridCol w:w="1428"/>
        <w:gridCol w:w="1429"/>
        <w:gridCol w:w="1999"/>
        <w:gridCol w:w="2286"/>
        <w:gridCol w:w="2572"/>
      </w:tblGrid>
      <w:tr w14:paraId="286657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52" w:hRule="atLeast"/>
        </w:trPr>
        <w:tc>
          <w:tcPr>
            <w:tcW w:w="17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6184310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3DE37CC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Included study</w:t>
            </w:r>
          </w:p>
          <w:p w14:paraId="1ADD58A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43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37766136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389DA71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Sample size</w:t>
            </w:r>
          </w:p>
        </w:tc>
        <w:tc>
          <w:tcPr>
            <w:tcW w:w="1143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5A437BE3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1320540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Ratio F/M</w:t>
            </w:r>
          </w:p>
        </w:tc>
        <w:tc>
          <w:tcPr>
            <w:tcW w:w="1428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6792A759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5A448A9A">
            <w:pPr>
              <w:spacing w:after="0" w:line="240" w:lineRule="auto"/>
              <w:rPr>
                <w:rFonts w:ascii="等线" w:hAnsi="等线" w:eastAsia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Mean age (SD)</w:t>
            </w:r>
          </w:p>
        </w:tc>
        <w:tc>
          <w:tcPr>
            <w:tcW w:w="1429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0AF28CF3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12860BAB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Scales</w:t>
            </w:r>
          </w:p>
        </w:tc>
        <w:tc>
          <w:tcPr>
            <w:tcW w:w="1999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6243D65F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3B7A4AC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Scanner/FWHM (mm)</w:t>
            </w:r>
          </w:p>
        </w:tc>
        <w:tc>
          <w:tcPr>
            <w:tcW w:w="2286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5FF07CD5">
            <w:pPr>
              <w:spacing w:after="0" w:line="240" w:lineRule="auto"/>
              <w:rPr>
                <w:rFonts w:ascii="Times New Roman" w:hAnsi="Times New Roman" w:cs="Times New Roman" w:eastAsiaTheme="minorEastAsia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5D9496B4">
            <w:pPr>
              <w:spacing w:after="0" w:line="240" w:lineRule="auto"/>
              <w:rPr>
                <w:rFonts w:ascii="等线" w:hAnsi="等线" w:eastAsia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Nuisance covariate</w:t>
            </w:r>
          </w:p>
        </w:tc>
        <w:tc>
          <w:tcPr>
            <w:tcW w:w="2572" w:type="dxa"/>
            <w:tcBorders>
              <w:top w:val="single" w:color="auto" w:sz="12" w:space="0"/>
              <w:bottom w:val="single" w:color="auto" w:sz="12" w:space="0"/>
              <w:right w:val="nil"/>
              <w:insideH w:val="single" w:sz="12" w:space="0"/>
              <w:insideV w:val="nil"/>
              <w:tl2br w:val="nil"/>
              <w:tr2bl w:val="nil"/>
            </w:tcBorders>
            <w:shd w:val="clear" w:color="auto" w:fill="D8D8D8" w:themeFill="background1" w:themeFillShade="D9"/>
          </w:tcPr>
          <w:p w14:paraId="1D76B19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2BCA56F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Statistical analysis/p-value corr</w:t>
            </w:r>
          </w:p>
        </w:tc>
      </w:tr>
      <w:tr w14:paraId="16608C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14" w:type="dxa"/>
            <w:shd w:val="clear" w:color="auto" w:fill="FFFFFF" w:themeFill="background1"/>
          </w:tcPr>
          <w:p w14:paraId="220C644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Andar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et al., 201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143" w:type="dxa"/>
            <w:shd w:val="clear" w:color="auto" w:fill="FFFFFF" w:themeFill="background1"/>
          </w:tcPr>
          <w:p w14:paraId="506ED379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143" w:type="dxa"/>
            <w:shd w:val="clear" w:color="auto" w:fill="FFFFFF" w:themeFill="background1"/>
          </w:tcPr>
          <w:p w14:paraId="46B3BC32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13/17</w:t>
            </w:r>
          </w:p>
        </w:tc>
        <w:tc>
          <w:tcPr>
            <w:tcW w:w="1428" w:type="dxa"/>
            <w:shd w:val="clear" w:color="auto" w:fill="FFFFFF" w:themeFill="background1"/>
          </w:tcPr>
          <w:p w14:paraId="7847B1F0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23.57 (3.70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29" w:type="dxa"/>
            <w:shd w:val="clear" w:color="auto" w:fill="FFFFFF" w:themeFill="background1"/>
          </w:tcPr>
          <w:p w14:paraId="718233FA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NEO-PI-R</w:t>
            </w:r>
          </w:p>
        </w:tc>
        <w:tc>
          <w:tcPr>
            <w:tcW w:w="1999" w:type="dxa"/>
            <w:shd w:val="clear" w:color="auto" w:fill="FFFFFF" w:themeFill="background1"/>
          </w:tcPr>
          <w:p w14:paraId="2B10FE53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1.5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T/8</w:t>
            </w:r>
          </w:p>
        </w:tc>
        <w:tc>
          <w:tcPr>
            <w:tcW w:w="2286" w:type="dxa"/>
            <w:shd w:val="clear" w:color="auto" w:fill="FFFFFF" w:themeFill="background1"/>
          </w:tcPr>
          <w:p w14:paraId="45F97D6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 TGMV</w:t>
            </w:r>
          </w:p>
        </w:tc>
        <w:tc>
          <w:tcPr>
            <w:tcW w:w="2572" w:type="dxa"/>
            <w:shd w:val="clear" w:color="auto" w:fill="FFFFFF" w:themeFill="background1"/>
          </w:tcPr>
          <w:p w14:paraId="0F4CF50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p &lt;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nonstationary corr.</w:t>
            </w:r>
          </w:p>
        </w:tc>
      </w:tr>
      <w:tr w14:paraId="7C76A3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14" w:type="dxa"/>
            <w:shd w:val="clear" w:color="auto" w:fill="D8D8D8" w:themeFill="background1" w:themeFillShade="D9"/>
          </w:tcPr>
          <w:p w14:paraId="678303E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Coutinho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et al.,201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283ADEF6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758855DC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29/23</w:t>
            </w:r>
          </w:p>
        </w:tc>
        <w:tc>
          <w:tcPr>
            <w:tcW w:w="1428" w:type="dxa"/>
            <w:shd w:val="clear" w:color="auto" w:fill="D8D8D8" w:themeFill="background1" w:themeFillShade="D9"/>
          </w:tcPr>
          <w:p w14:paraId="0A52D89A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25.0 (5.1)</w:t>
            </w:r>
          </w:p>
        </w:tc>
        <w:tc>
          <w:tcPr>
            <w:tcW w:w="1429" w:type="dxa"/>
            <w:shd w:val="clear" w:color="auto" w:fill="D8D8D8" w:themeFill="background1" w:themeFillShade="D9"/>
          </w:tcPr>
          <w:p w14:paraId="274C5334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NEO-FFI</w:t>
            </w:r>
          </w:p>
        </w:tc>
        <w:tc>
          <w:tcPr>
            <w:tcW w:w="1999" w:type="dxa"/>
            <w:shd w:val="clear" w:color="auto" w:fill="D8D8D8" w:themeFill="background1" w:themeFillShade="D9"/>
          </w:tcPr>
          <w:p w14:paraId="3620C1C4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1.5 T/1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286" w:type="dxa"/>
            <w:shd w:val="clear" w:color="auto" w:fill="D8D8D8" w:themeFill="background1" w:themeFillShade="D9"/>
          </w:tcPr>
          <w:p w14:paraId="21B647C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 TIV</w:t>
            </w:r>
          </w:p>
        </w:tc>
        <w:tc>
          <w:tcPr>
            <w:tcW w:w="2572" w:type="dxa"/>
            <w:shd w:val="clear" w:color="auto" w:fill="D8D8D8" w:themeFill="background1" w:themeFillShade="D9"/>
          </w:tcPr>
          <w:p w14:paraId="2432A1B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.05, Monte Carlo </w:t>
            </w:r>
          </w:p>
          <w:p w14:paraId="68ED8E3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corr</w:t>
            </w:r>
          </w:p>
        </w:tc>
      </w:tr>
      <w:tr w14:paraId="239880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14" w:type="dxa"/>
            <w:shd w:val="clear" w:color="auto" w:fill="FFFFFF" w:themeFill="background1"/>
          </w:tcPr>
          <w:p w14:paraId="7932CB7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Cremers et al., 2011</w:t>
            </w:r>
          </w:p>
        </w:tc>
        <w:tc>
          <w:tcPr>
            <w:tcW w:w="1143" w:type="dxa"/>
            <w:shd w:val="clear" w:color="auto" w:fill="FFFFFF" w:themeFill="background1"/>
          </w:tcPr>
          <w:p w14:paraId="2CB5CE3C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143" w:type="dxa"/>
            <w:shd w:val="clear" w:color="auto" w:fill="FFFFFF" w:themeFill="background1"/>
          </w:tcPr>
          <w:p w14:paraId="55B59A74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42/23</w:t>
            </w:r>
          </w:p>
        </w:tc>
        <w:tc>
          <w:tcPr>
            <w:tcW w:w="1428" w:type="dxa"/>
            <w:shd w:val="clear" w:color="auto" w:fill="FFFFFF" w:themeFill="background1"/>
          </w:tcPr>
          <w:p w14:paraId="32F338FF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40.5 (9.7)</w:t>
            </w:r>
          </w:p>
        </w:tc>
        <w:tc>
          <w:tcPr>
            <w:tcW w:w="1429" w:type="dxa"/>
            <w:shd w:val="clear" w:color="auto" w:fill="FFFFFF" w:themeFill="background1"/>
          </w:tcPr>
          <w:p w14:paraId="37DE54D8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NEO-FFI</w:t>
            </w:r>
          </w:p>
        </w:tc>
        <w:tc>
          <w:tcPr>
            <w:tcW w:w="1999" w:type="dxa"/>
            <w:shd w:val="clear" w:color="auto" w:fill="FFFFFF" w:themeFill="background1"/>
          </w:tcPr>
          <w:p w14:paraId="6769C3E0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T/8</w:t>
            </w:r>
          </w:p>
        </w:tc>
        <w:tc>
          <w:tcPr>
            <w:tcW w:w="2286" w:type="dxa"/>
            <w:shd w:val="clear" w:color="auto" w:fill="FFFFFF" w:themeFill="background1"/>
          </w:tcPr>
          <w:p w14:paraId="5F8C474F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Age, scan center,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TGMV</w:t>
            </w:r>
          </w:p>
        </w:tc>
        <w:tc>
          <w:tcPr>
            <w:tcW w:w="2572" w:type="dxa"/>
            <w:shd w:val="clear" w:color="auto" w:fill="FFFFFF" w:themeFill="background1"/>
          </w:tcPr>
          <w:p w14:paraId="280C453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.05, FWE corr and </w:t>
            </w:r>
          </w:p>
          <w:p w14:paraId="5ADDA94F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.001, uncorr</w:t>
            </w:r>
          </w:p>
        </w:tc>
      </w:tr>
      <w:tr w14:paraId="4C0489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14" w:type="dxa"/>
            <w:shd w:val="clear" w:color="auto" w:fill="D8D8D8" w:themeFill="background1" w:themeFillShade="D9"/>
          </w:tcPr>
          <w:p w14:paraId="3B85F82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DeYoung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et al., 201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1D8CDD9C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401E786C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58/58</w:t>
            </w:r>
          </w:p>
        </w:tc>
        <w:tc>
          <w:tcPr>
            <w:tcW w:w="1428" w:type="dxa"/>
            <w:shd w:val="clear" w:color="auto" w:fill="D8D8D8" w:themeFill="background1" w:themeFillShade="D9"/>
          </w:tcPr>
          <w:p w14:paraId="6BFE9D66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22.9 (5.5)</w:t>
            </w:r>
          </w:p>
        </w:tc>
        <w:tc>
          <w:tcPr>
            <w:tcW w:w="1429" w:type="dxa"/>
            <w:shd w:val="clear" w:color="auto" w:fill="D8D8D8" w:themeFill="background1" w:themeFillShade="D9"/>
          </w:tcPr>
          <w:p w14:paraId="21E94DEA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NEO-PI-R</w:t>
            </w:r>
          </w:p>
        </w:tc>
        <w:tc>
          <w:tcPr>
            <w:tcW w:w="1999" w:type="dxa"/>
            <w:shd w:val="clear" w:color="auto" w:fill="D8D8D8" w:themeFill="background1" w:themeFillShade="D9"/>
          </w:tcPr>
          <w:p w14:paraId="0E5EC73A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T/8</w:t>
            </w:r>
          </w:p>
        </w:tc>
        <w:tc>
          <w:tcPr>
            <w:tcW w:w="2286" w:type="dxa"/>
            <w:shd w:val="clear" w:color="auto" w:fill="D8D8D8" w:themeFill="background1" w:themeFillShade="D9"/>
          </w:tcPr>
          <w:p w14:paraId="650DBEE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 TGMV</w:t>
            </w:r>
          </w:p>
        </w:tc>
        <w:tc>
          <w:tcPr>
            <w:tcW w:w="2572" w:type="dxa"/>
            <w:shd w:val="clear" w:color="auto" w:fill="D8D8D8" w:themeFill="background1" w:themeFillShade="D9"/>
          </w:tcPr>
          <w:p w14:paraId="5B61A50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GLM/p &lt; 0.05, cluster-size corr (Monte Carlo simulation)</w:t>
            </w:r>
          </w:p>
        </w:tc>
      </w:tr>
      <w:tr w14:paraId="0B7187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B37120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Forsman et al.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0" w:type="auto"/>
          </w:tcPr>
          <w:p w14:paraId="6ABAABEB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0" w:type="auto"/>
          </w:tcPr>
          <w:p w14:paraId="1662445E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0/32</w:t>
            </w:r>
          </w:p>
        </w:tc>
        <w:tc>
          <w:tcPr>
            <w:tcW w:w="0" w:type="auto"/>
          </w:tcPr>
          <w:p w14:paraId="52E59680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33.2 (7.8)</w:t>
            </w:r>
          </w:p>
        </w:tc>
        <w:tc>
          <w:tcPr>
            <w:tcW w:w="0" w:type="auto"/>
          </w:tcPr>
          <w:p w14:paraId="4CCB89DC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16PF</w:t>
            </w:r>
          </w:p>
        </w:tc>
        <w:tc>
          <w:tcPr>
            <w:tcW w:w="0" w:type="auto"/>
          </w:tcPr>
          <w:p w14:paraId="3774A333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1.5 T /12</w:t>
            </w:r>
          </w:p>
        </w:tc>
        <w:tc>
          <w:tcPr>
            <w:tcW w:w="0" w:type="auto"/>
          </w:tcPr>
          <w:p w14:paraId="10A5B30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0" w:type="auto"/>
          </w:tcPr>
          <w:p w14:paraId="3FD28CD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FDR, corr</w:t>
            </w:r>
          </w:p>
        </w:tc>
      </w:tr>
      <w:tr w14:paraId="6B03AA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714" w:type="dxa"/>
            <w:shd w:val="clear" w:color="auto" w:fill="D8D8D8" w:themeFill="background1" w:themeFillShade="D9"/>
          </w:tcPr>
          <w:p w14:paraId="3B504CD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Grodin et al., 201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129FA3E1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115E99D3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46/37</w:t>
            </w:r>
          </w:p>
        </w:tc>
        <w:tc>
          <w:tcPr>
            <w:tcW w:w="1428" w:type="dxa"/>
            <w:shd w:val="clear" w:color="auto" w:fill="D8D8D8" w:themeFill="background1" w:themeFillShade="D9"/>
          </w:tcPr>
          <w:p w14:paraId="753FF822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24.9 (7.7)</w:t>
            </w:r>
          </w:p>
        </w:tc>
        <w:tc>
          <w:tcPr>
            <w:tcW w:w="1429" w:type="dxa"/>
            <w:shd w:val="clear" w:color="auto" w:fill="D8D8D8" w:themeFill="background1" w:themeFillShade="D9"/>
          </w:tcPr>
          <w:p w14:paraId="321F314E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MPQ-BF</w:t>
            </w:r>
          </w:p>
        </w:tc>
        <w:tc>
          <w:tcPr>
            <w:tcW w:w="1999" w:type="dxa"/>
            <w:shd w:val="clear" w:color="auto" w:fill="D8D8D8" w:themeFill="background1" w:themeFillShade="D9"/>
          </w:tcPr>
          <w:p w14:paraId="71B34809">
            <w:pPr>
              <w:spacing w:after="0" w:line="240" w:lineRule="auto"/>
              <w:ind w:firstLine="360" w:firstLineChars="2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T/12</w:t>
            </w:r>
          </w:p>
        </w:tc>
        <w:tc>
          <w:tcPr>
            <w:tcW w:w="2286" w:type="dxa"/>
            <w:shd w:val="clear" w:color="auto" w:fill="D8D8D8" w:themeFill="background1" w:themeFillShade="D9"/>
          </w:tcPr>
          <w:p w14:paraId="48965BC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Gender, age, alternate </w:t>
            </w:r>
          </w:p>
          <w:p w14:paraId="05DF852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extraversion traits</w:t>
            </w:r>
          </w:p>
        </w:tc>
        <w:tc>
          <w:tcPr>
            <w:tcW w:w="2572" w:type="dxa"/>
            <w:shd w:val="clear" w:color="auto" w:fill="D8D8D8" w:themeFill="background1" w:themeFillShade="D9"/>
          </w:tcPr>
          <w:p w14:paraId="1D07F9A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.05, FDR, </w:t>
            </w:r>
          </w:p>
          <w:p w14:paraId="7B010510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corr&amp;p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.001, uncorr</w:t>
            </w:r>
          </w:p>
        </w:tc>
      </w:tr>
      <w:tr w14:paraId="6EED90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714" w:type="dxa"/>
          </w:tcPr>
          <w:p w14:paraId="332A4E6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Kapogiannis, et al.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1143" w:type="dxa"/>
          </w:tcPr>
          <w:p w14:paraId="790EF246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1143" w:type="dxa"/>
          </w:tcPr>
          <w:p w14:paraId="4D71695B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42/45</w:t>
            </w:r>
          </w:p>
        </w:tc>
        <w:tc>
          <w:tcPr>
            <w:tcW w:w="1428" w:type="dxa"/>
          </w:tcPr>
          <w:p w14:paraId="12E3A0B4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72 (7.7)</w:t>
            </w:r>
          </w:p>
        </w:tc>
        <w:tc>
          <w:tcPr>
            <w:tcW w:w="1429" w:type="dxa"/>
          </w:tcPr>
          <w:p w14:paraId="4198C84C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NEO-PI-R</w:t>
            </w:r>
          </w:p>
        </w:tc>
        <w:tc>
          <w:tcPr>
            <w:tcW w:w="1999" w:type="dxa"/>
          </w:tcPr>
          <w:p w14:paraId="1D48DA36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1.5 T /12</w:t>
            </w:r>
          </w:p>
        </w:tc>
        <w:tc>
          <w:tcPr>
            <w:tcW w:w="2286" w:type="dxa"/>
          </w:tcPr>
          <w:p w14:paraId="1C5FA02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Gender, age, TIV, </w:t>
            </w:r>
          </w:p>
          <w:p w14:paraId="0EE811D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years of education</w:t>
            </w:r>
          </w:p>
        </w:tc>
        <w:tc>
          <w:tcPr>
            <w:tcW w:w="2572" w:type="dxa"/>
          </w:tcPr>
          <w:p w14:paraId="78018F9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FWE corr</w:t>
            </w:r>
          </w:p>
        </w:tc>
      </w:tr>
      <w:tr w14:paraId="0FE477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14" w:type="dxa"/>
            <w:shd w:val="clear" w:color="auto" w:fill="D8D8D8" w:themeFill="background1" w:themeFillShade="D9"/>
          </w:tcPr>
          <w:p w14:paraId="6494483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Li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et al., 201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27A46B76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337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69BB47C9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189/148</w:t>
            </w:r>
          </w:p>
        </w:tc>
        <w:tc>
          <w:tcPr>
            <w:tcW w:w="1428" w:type="dxa"/>
            <w:shd w:val="clear" w:color="auto" w:fill="D8D8D8" w:themeFill="background1" w:themeFillShade="D9"/>
          </w:tcPr>
          <w:p w14:paraId="50BDD385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20.0 (1.3)</w:t>
            </w:r>
          </w:p>
        </w:tc>
        <w:tc>
          <w:tcPr>
            <w:tcW w:w="1429" w:type="dxa"/>
            <w:shd w:val="clear" w:color="auto" w:fill="D8D8D8" w:themeFill="background1" w:themeFillShade="D9"/>
          </w:tcPr>
          <w:p w14:paraId="1D686591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NEO-PI-R</w:t>
            </w:r>
          </w:p>
        </w:tc>
        <w:tc>
          <w:tcPr>
            <w:tcW w:w="1999" w:type="dxa"/>
            <w:shd w:val="clear" w:color="auto" w:fill="D8D8D8" w:themeFill="background1" w:themeFillShade="D9"/>
          </w:tcPr>
          <w:p w14:paraId="490D33C2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286" w:type="dxa"/>
            <w:shd w:val="clear" w:color="auto" w:fill="D8D8D8" w:themeFill="background1" w:themeFillShade="D9"/>
          </w:tcPr>
          <w:p w14:paraId="1A87694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other</w:t>
            </w:r>
            <w:r>
              <w:rPr>
                <w:rFonts w:ascii="Caslon540LTStd-Roman" w:hAnsi="Caslon540LTStd-Roman" w:eastAsia="Times New Roman" w:cs="Times New Roman"/>
                <w:color w:val="231F2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four traits,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TGMV</w:t>
            </w:r>
          </w:p>
        </w:tc>
        <w:tc>
          <w:tcPr>
            <w:tcW w:w="2572" w:type="dxa"/>
            <w:shd w:val="clear" w:color="auto" w:fill="D8D8D8" w:themeFill="background1" w:themeFillShade="D9"/>
          </w:tcPr>
          <w:p w14:paraId="57DE8D6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FWE corr</w:t>
            </w:r>
          </w:p>
        </w:tc>
      </w:tr>
      <w:tr w14:paraId="304F08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14" w:type="dxa"/>
          </w:tcPr>
          <w:p w14:paraId="06A8CE86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Lu </w:t>
            </w:r>
            <w:bookmarkStart w:id="0" w:name="OLE_LINK3"/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et al., 2014</w:t>
            </w:r>
            <w:bookmarkEnd w:id="0"/>
          </w:p>
        </w:tc>
        <w:tc>
          <w:tcPr>
            <w:tcW w:w="1143" w:type="dxa"/>
          </w:tcPr>
          <w:p w14:paraId="1507A50D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143" w:type="dxa"/>
          </w:tcPr>
          <w:p w14:paraId="6153AA4E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37/34</w:t>
            </w:r>
          </w:p>
        </w:tc>
        <w:tc>
          <w:tcPr>
            <w:tcW w:w="1428" w:type="dxa"/>
          </w:tcPr>
          <w:p w14:paraId="61B95038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22.35 (1.5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29" w:type="dxa"/>
          </w:tcPr>
          <w:p w14:paraId="1D47650A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EPQ-RSC</w:t>
            </w:r>
          </w:p>
        </w:tc>
        <w:tc>
          <w:tcPr>
            <w:tcW w:w="1999" w:type="dxa"/>
          </w:tcPr>
          <w:p w14:paraId="56FBEB4D">
            <w:pPr>
              <w:spacing w:after="0" w:line="240" w:lineRule="auto"/>
              <w:ind w:firstLine="360" w:firstLineChars="2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T/8</w:t>
            </w:r>
          </w:p>
        </w:tc>
        <w:tc>
          <w:tcPr>
            <w:tcW w:w="2286" w:type="dxa"/>
          </w:tcPr>
          <w:p w14:paraId="197ECB6E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 TIV</w:t>
            </w:r>
          </w:p>
        </w:tc>
        <w:tc>
          <w:tcPr>
            <w:tcW w:w="2572" w:type="dxa"/>
          </w:tcPr>
          <w:p w14:paraId="46395DCB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AlphaSim corr</w:t>
            </w:r>
          </w:p>
        </w:tc>
      </w:tr>
      <w:tr w14:paraId="4B5BCF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14" w:type="dxa"/>
            <w:shd w:val="clear" w:color="auto" w:fill="D8D8D8" w:themeFill="background1" w:themeFillShade="D9"/>
          </w:tcPr>
          <w:p w14:paraId="6300A39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Omura et al., 2005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2A9190FB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2D73C9F2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22/19</w:t>
            </w:r>
          </w:p>
        </w:tc>
        <w:tc>
          <w:tcPr>
            <w:tcW w:w="1428" w:type="dxa"/>
            <w:shd w:val="clear" w:color="auto" w:fill="D8D8D8" w:themeFill="background1" w:themeFillShade="D9"/>
          </w:tcPr>
          <w:p w14:paraId="4E171DCF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23.8 (5.4)</w:t>
            </w:r>
          </w:p>
        </w:tc>
        <w:tc>
          <w:tcPr>
            <w:tcW w:w="1429" w:type="dxa"/>
            <w:shd w:val="clear" w:color="auto" w:fill="D8D8D8" w:themeFill="background1" w:themeFillShade="D9"/>
          </w:tcPr>
          <w:p w14:paraId="67DF6052">
            <w:pPr>
              <w:spacing w:after="0" w:line="240" w:lineRule="auto"/>
              <w:ind w:firstLine="180" w:firstLineChars="1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NEO-PI-R</w:t>
            </w:r>
          </w:p>
        </w:tc>
        <w:tc>
          <w:tcPr>
            <w:tcW w:w="1999" w:type="dxa"/>
            <w:shd w:val="clear" w:color="auto" w:fill="D8D8D8" w:themeFill="background1" w:themeFillShade="D9"/>
          </w:tcPr>
          <w:p w14:paraId="7F7F069F">
            <w:pPr>
              <w:spacing w:after="0" w:line="240" w:lineRule="auto"/>
              <w:ind w:firstLine="360" w:firstLineChars="200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T/12</w:t>
            </w:r>
          </w:p>
        </w:tc>
        <w:tc>
          <w:tcPr>
            <w:tcW w:w="2286" w:type="dxa"/>
            <w:shd w:val="clear" w:color="auto" w:fill="D8D8D8" w:themeFill="background1" w:themeFillShade="D9"/>
          </w:tcPr>
          <w:p w14:paraId="472E03FD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</w:t>
            </w:r>
          </w:p>
        </w:tc>
        <w:tc>
          <w:tcPr>
            <w:tcW w:w="2572" w:type="dxa"/>
            <w:shd w:val="clear" w:color="auto" w:fill="D8D8D8" w:themeFill="background1" w:themeFillShade="D9"/>
          </w:tcPr>
          <w:p w14:paraId="43C6F971">
            <w:pPr>
              <w:spacing w:after="0" w:line="240" w:lineRule="auto"/>
              <w:rPr>
                <w:rFonts w:ascii="等线" w:hAnsi="等线" w:eastAsia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.001, uncorr</w:t>
            </w:r>
          </w:p>
        </w:tc>
      </w:tr>
      <w:tr w14:paraId="6388BF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14" w:type="dxa"/>
          </w:tcPr>
          <w:p w14:paraId="0D8A538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Nostro et al., 2017</w:t>
            </w:r>
          </w:p>
        </w:tc>
        <w:tc>
          <w:tcPr>
            <w:tcW w:w="1143" w:type="dxa"/>
          </w:tcPr>
          <w:p w14:paraId="0EB37102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364</w:t>
            </w:r>
          </w:p>
        </w:tc>
        <w:tc>
          <w:tcPr>
            <w:tcW w:w="1143" w:type="dxa"/>
          </w:tcPr>
          <w:p w14:paraId="15032316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182/182</w:t>
            </w:r>
          </w:p>
        </w:tc>
        <w:tc>
          <w:tcPr>
            <w:tcW w:w="1428" w:type="dxa"/>
          </w:tcPr>
          <w:p w14:paraId="3465AFCD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29.1 (3.45)</w:t>
            </w:r>
          </w:p>
        </w:tc>
        <w:tc>
          <w:tcPr>
            <w:tcW w:w="1429" w:type="dxa"/>
          </w:tcPr>
          <w:p w14:paraId="3C1616C7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NEO-FFI</w:t>
            </w:r>
          </w:p>
        </w:tc>
        <w:tc>
          <w:tcPr>
            <w:tcW w:w="1999" w:type="dxa"/>
          </w:tcPr>
          <w:p w14:paraId="367498D3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T/8</w:t>
            </w:r>
          </w:p>
        </w:tc>
        <w:tc>
          <w:tcPr>
            <w:tcW w:w="2286" w:type="dxa"/>
          </w:tcPr>
          <w:p w14:paraId="3217A9E6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 TIV</w:t>
            </w:r>
          </w:p>
        </w:tc>
        <w:tc>
          <w:tcPr>
            <w:tcW w:w="2572" w:type="dxa"/>
          </w:tcPr>
          <w:p w14:paraId="50DDAED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FWE corr</w:t>
            </w:r>
          </w:p>
        </w:tc>
      </w:tr>
      <w:tr w14:paraId="5AB3AA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14" w:type="dxa"/>
            <w:shd w:val="clear" w:color="auto" w:fill="D8D8D8" w:themeFill="background1" w:themeFillShade="D9"/>
          </w:tcPr>
          <w:p w14:paraId="1EDBDA3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Su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et al., 201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734F890E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143" w:type="dxa"/>
            <w:shd w:val="clear" w:color="auto" w:fill="D8D8D8" w:themeFill="background1" w:themeFillShade="D9"/>
          </w:tcPr>
          <w:p w14:paraId="4D49E1CF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58/42</w:t>
            </w:r>
          </w:p>
        </w:tc>
        <w:tc>
          <w:tcPr>
            <w:tcW w:w="1428" w:type="dxa"/>
            <w:shd w:val="clear" w:color="auto" w:fill="D8D8D8" w:themeFill="background1" w:themeFillShade="D9"/>
          </w:tcPr>
          <w:p w14:paraId="2668A8A1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22.0 (2.33)</w:t>
            </w:r>
          </w:p>
        </w:tc>
        <w:tc>
          <w:tcPr>
            <w:tcW w:w="1429" w:type="dxa"/>
            <w:shd w:val="clear" w:color="auto" w:fill="D8D8D8" w:themeFill="background1" w:themeFillShade="D9"/>
          </w:tcPr>
          <w:p w14:paraId="1819E795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EPQ-RSC</w:t>
            </w:r>
          </w:p>
        </w:tc>
        <w:tc>
          <w:tcPr>
            <w:tcW w:w="1999" w:type="dxa"/>
            <w:shd w:val="clear" w:color="auto" w:fill="D8D8D8" w:themeFill="background1" w:themeFillShade="D9"/>
          </w:tcPr>
          <w:p w14:paraId="34D5F05C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T/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286" w:type="dxa"/>
            <w:shd w:val="clear" w:color="auto" w:fill="D8D8D8" w:themeFill="background1" w:themeFillShade="D9"/>
          </w:tcPr>
          <w:p w14:paraId="0E72B9D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age, TIV</w:t>
            </w:r>
          </w:p>
        </w:tc>
        <w:tc>
          <w:tcPr>
            <w:tcW w:w="2572" w:type="dxa"/>
            <w:shd w:val="clear" w:color="auto" w:fill="D8D8D8" w:themeFill="background1" w:themeFillShade="D9"/>
          </w:tcPr>
          <w:p w14:paraId="62510ED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FDR corr</w:t>
            </w:r>
          </w:p>
        </w:tc>
      </w:tr>
      <w:tr w14:paraId="1B1F82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714" w:type="dxa"/>
          </w:tcPr>
          <w:p w14:paraId="1E3ACB0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Zou,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et al., 20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143" w:type="dxa"/>
          </w:tcPr>
          <w:p w14:paraId="508BA156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143" w:type="dxa"/>
          </w:tcPr>
          <w:p w14:paraId="17B93943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50/50</w:t>
            </w:r>
          </w:p>
        </w:tc>
        <w:tc>
          <w:tcPr>
            <w:tcW w:w="1428" w:type="dxa"/>
          </w:tcPr>
          <w:p w14:paraId="37D66AB9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21.91(2.29)</w:t>
            </w:r>
          </w:p>
        </w:tc>
        <w:tc>
          <w:tcPr>
            <w:tcW w:w="1429" w:type="dxa"/>
          </w:tcPr>
          <w:p w14:paraId="37C91B91">
            <w:pPr>
              <w:spacing w:after="0" w:line="240" w:lineRule="auto"/>
              <w:ind w:firstLine="180" w:firstLineChars="1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EPQ-RSC</w:t>
            </w:r>
          </w:p>
        </w:tc>
        <w:tc>
          <w:tcPr>
            <w:tcW w:w="1999" w:type="dxa"/>
          </w:tcPr>
          <w:p w14:paraId="393353C8">
            <w:pPr>
              <w:spacing w:after="0" w:line="240" w:lineRule="auto"/>
              <w:ind w:firstLine="360" w:firstLineChars="20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3.0T/6</w:t>
            </w:r>
          </w:p>
        </w:tc>
        <w:tc>
          <w:tcPr>
            <w:tcW w:w="2286" w:type="dxa"/>
          </w:tcPr>
          <w:p w14:paraId="0121EBC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Gender, age</w:t>
            </w:r>
          </w:p>
        </w:tc>
        <w:tc>
          <w:tcPr>
            <w:tcW w:w="2572" w:type="dxa"/>
          </w:tcPr>
          <w:p w14:paraId="0D5F467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 xml:space="preserve">GLM/p &lt;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14:ligatures w14:val="none"/>
              </w:rPr>
              <w:t>.05, FWE corr</w:t>
            </w:r>
          </w:p>
        </w:tc>
      </w:tr>
    </w:tbl>
    <w:p w14:paraId="644FAB9D">
      <w:pPr>
        <w:spacing w:before="156" w:beforeLines="50" w:after="0" w:line="240" w:lineRule="auto"/>
        <w:ind w:right="220" w:rightChars="100"/>
        <w:jc w:val="both"/>
        <w:rPr>
          <w:rFonts w:ascii="Times New Roman" w:hAnsi="Times New Roman" w:eastAsia="Times New Roman" w:cs="Times New Roman"/>
          <w:kern w:val="0"/>
          <w:sz w:val="18"/>
          <w:szCs w:val="18"/>
          <w14:ligatures w14:val="none"/>
        </w:rPr>
      </w:pP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/>
          <w14:ligatures w14:val="none"/>
        </w:rPr>
        <w:t xml:space="preserve">Corr,correction; </w:t>
      </w:r>
      <w:bookmarkStart w:id="1" w:name="_GoBack"/>
      <w:bookmarkEnd w:id="1"/>
      <w:r>
        <w:rPr>
          <w:rFonts w:ascii="Times New Roman" w:hAnsi="Times New Roman" w:eastAsia="Times New Roman" w:cs="Times New Roman"/>
          <w:kern w:val="0"/>
          <w:sz w:val="18"/>
          <w:szCs w:val="18"/>
          <w14:ligatures w14:val="none"/>
        </w:rPr>
        <w:t>16PF, Sixteen Personality Factor Questionnaire; corr, correction; EPQ-RSC, Eysenck Personality Questionnaire-Revised Short Scale for Chinese; F, female;</w:t>
      </w:r>
      <w:r>
        <w:rPr>
          <w:rFonts w:ascii="AdvTTa9c1b374" w:hAnsi="AdvTTa9c1b374"/>
          <w:color w:val="000000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18"/>
          <w:szCs w:val="18"/>
          <w14:ligatures w14:val="none"/>
        </w:rPr>
        <w:t>FDR, false discovery rate; FWE, family-wise error; FWHM, full width at half maximum; GLM, general linear model;</w:t>
      </w:r>
      <w:r>
        <w:rPr>
          <w:rFonts w:ascii="Times New Roman" w:hAnsi="Times New Roman" w:cs="Times New Roman"/>
          <w:sz w:val="18"/>
          <w:szCs w:val="18"/>
        </w:rPr>
        <w:t xml:space="preserve"> GRF</w:t>
      </w:r>
      <w:r>
        <w:rPr>
          <w:rFonts w:hint="eastAsia" w:ascii="Times New Roman" w:hAnsi="Times New Roman" w:cs="Times New Roman"/>
          <w:sz w:val="18"/>
          <w:szCs w:val="18"/>
        </w:rPr>
        <w:t>,</w:t>
      </w:r>
      <w:r>
        <w:rPr>
          <w:rFonts w:ascii="AdvArial" w:hAnsi="AdvArial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Gaussian random field</w:t>
      </w:r>
      <w:r>
        <w:rPr>
          <w:rFonts w:hint="eastAsia"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eastAsia="Times New Roman" w:cs="Times New Roman"/>
          <w:kern w:val="0"/>
          <w:sz w:val="18"/>
          <w:szCs w:val="18"/>
          <w14:ligatures w14:val="none"/>
        </w:rPr>
        <w:t xml:space="preserve"> M, male;</w:t>
      </w:r>
      <w:r>
        <w:rPr>
          <w:rFonts w:ascii="AdvTTa9c1b374" w:hAnsi="AdvTTa9c1b374" w:eastAsia="宋体" w:cs="宋体"/>
          <w:color w:val="000000"/>
          <w:kern w:val="0"/>
          <w:sz w:val="15"/>
          <w:szCs w:val="15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18"/>
          <w:szCs w:val="18"/>
          <w14:ligatures w14:val="none"/>
        </w:rPr>
        <w:t>MPQ-BF, Multidimensional Personality Questionnaire Brief Form; NEO-FFI, NEO Five Factor Inventory; NEO-PI-R, Revised NEO Personality Inventory; TGMV, total gray matter volume; TIV, total intracranial volumes; uncorr, uncorrection.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slon540LTStd-Roman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dvTTa9c1b374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Arial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70"/>
    <w:rsid w:val="00042BCA"/>
    <w:rsid w:val="000A218E"/>
    <w:rsid w:val="00100D00"/>
    <w:rsid w:val="00122334"/>
    <w:rsid w:val="001B0B29"/>
    <w:rsid w:val="001C34FD"/>
    <w:rsid w:val="00231082"/>
    <w:rsid w:val="00284A34"/>
    <w:rsid w:val="002A5EA0"/>
    <w:rsid w:val="00353562"/>
    <w:rsid w:val="003952AF"/>
    <w:rsid w:val="003D0E0A"/>
    <w:rsid w:val="004307A7"/>
    <w:rsid w:val="00460D12"/>
    <w:rsid w:val="0047734B"/>
    <w:rsid w:val="005279EA"/>
    <w:rsid w:val="00665306"/>
    <w:rsid w:val="00760A70"/>
    <w:rsid w:val="007811B5"/>
    <w:rsid w:val="00784057"/>
    <w:rsid w:val="008920A7"/>
    <w:rsid w:val="008C097B"/>
    <w:rsid w:val="00902153"/>
    <w:rsid w:val="00954C45"/>
    <w:rsid w:val="0095688C"/>
    <w:rsid w:val="00A560A4"/>
    <w:rsid w:val="00A9295B"/>
    <w:rsid w:val="00A9792A"/>
    <w:rsid w:val="00AE40C1"/>
    <w:rsid w:val="00B747E8"/>
    <w:rsid w:val="00D21F83"/>
    <w:rsid w:val="00D248D2"/>
    <w:rsid w:val="00D55F9B"/>
    <w:rsid w:val="00D704B5"/>
    <w:rsid w:val="00D71F07"/>
    <w:rsid w:val="00DB7116"/>
    <w:rsid w:val="00DC3105"/>
    <w:rsid w:val="00DF5DCB"/>
    <w:rsid w:val="00E15843"/>
    <w:rsid w:val="00E46229"/>
    <w:rsid w:val="00FB4DC2"/>
    <w:rsid w:val="00FC2C18"/>
    <w:rsid w:val="00FC3C53"/>
    <w:rsid w:val="2CDE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样式3"/>
    <w:basedOn w:val="13"/>
    <w:uiPriority w:val="99"/>
    <w:pPr>
      <w:spacing w:after="0" w:line="240" w:lineRule="auto"/>
    </w:pPr>
    <w:rPr>
      <w:rFonts w:ascii="等线" w:hAnsi="等线" w:eastAsia="Times New Roman" w:cs="Times New Roman"/>
      <w:kern w:val="0"/>
      <w:sz w:val="24"/>
      <w:szCs w:val="20"/>
      <w14:ligatures w14:val="none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12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1788</Characters>
  <Lines>139</Lines>
  <Paragraphs>135</Paragraphs>
  <TotalTime>179</TotalTime>
  <ScaleCrop>false</ScaleCrop>
  <LinksUpToDate>false</LinksUpToDate>
  <CharactersWithSpaces>2030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2025-03-09T11:33:00Z</dcterms:created>
  <dc:creator>ASUS</dc:creator>
  <cp:lastModifiedBy>WPS_1607769612</cp:lastModifiedBy>
  <dcterms:modified xsi:type="dcterms:W3CDTF">2025-04-23T12:23:37Z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eyJoZGlkIjoiM2M0Y2Y5NjIyOWQ5MDQ5MDRkNGNmMGRiNTU2ZjlkNWEiLCJ1c2VySWQiOiIxMTUxNTM3OTAyIn0=</vt:lpwstr>
  </property>
  <property fmtid="{D5CDD505-2E9C-101B-9397-08002B2CF9AE}" pid="3" name="KSOProductBuildVer">
    <vt:lpwstr>2052-12.1.0.20784</vt:lpwstr>
  </property>
  <property fmtid="{D5CDD505-2E9C-101B-9397-08002B2CF9AE}" pid="4" name="ICV">
    <vt:lpwstr>D2384496AEF14493AF09E0BAB798D873_12</vt:lpwstr>
  </property>
</Properties>
</file>