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DF4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150100"/>
            <wp:effectExtent l="0" t="0" r="8890" b="3175"/>
            <wp:docPr id="1" name="图片 1" descr="figS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I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1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9665B">
      <w:pPr>
        <w:rPr>
          <w:rFonts w:hint="eastAsia" w:eastAsiaTheme="minorEastAsia"/>
          <w:lang w:eastAsia="zh-CN"/>
        </w:rPr>
      </w:pPr>
    </w:p>
    <w:p w14:paraId="3CFC9071">
      <w:pPr>
        <w:keepNext/>
        <w:keepLines/>
        <w:spacing w:before="120" w:line="360" w:lineRule="auto"/>
        <w:outlineLvl w:val="1"/>
        <w:rPr>
          <w:rFonts w:hint="eastAsia" w:ascii="Times New Roman" w:hAnsi="Times New Roman" w:cs="Times New Roman" w:eastAsiaTheme="minorEastAsia"/>
          <w:color w:val="auto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</w:rPr>
        <w:t>Supplementary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lang w:val="en-US" w:eastAsia="zh-CN"/>
        </w:rPr>
        <w:t>Fig.</w:t>
      </w:r>
      <w:r>
        <w:rPr>
          <w:rFonts w:ascii="Times New Roman" w:hAnsi="Times New Roman" w:cs="Times New Roman"/>
          <w:b/>
          <w:bCs/>
          <w:color w:val="auto"/>
          <w:sz w:val="24"/>
        </w:rPr>
        <w:t>1</w:t>
      </w:r>
      <w:r>
        <w:rPr>
          <w:rFonts w:ascii="Times New Roman" w:hAnsi="Times New Roman" w:cs="Times New Roman"/>
          <w:color w:val="auto"/>
          <w:sz w:val="24"/>
        </w:rPr>
        <w:t xml:space="preserve">  </w:t>
      </w:r>
      <w:r>
        <w:rPr>
          <w:rStyle w:val="4"/>
          <w:rFonts w:hint="eastAsia" w:ascii="Times New Roman" w:hAnsi="Times New Roman" w:eastAsia="宋体" w:cs="Times New Roman"/>
          <w:b w:val="0"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CBD alleviates LPS-induced systemic inflammation, blood-brain barrier disruption, and astrocyte activation in vivo, with characterization of iPSC and primary astrocyte cultures.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Style w:val="4"/>
          <w:rFonts w:hint="eastAsia" w:ascii="Times New Roman" w:hAnsi="Times New Roman" w:eastAsia="宋体" w:cs="Times New Roman"/>
          <w:b w:val="0"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 xml:space="preserve">A) Total distance traveled in the open field test, n=8. </w:t>
      </w:r>
      <w:r>
        <w:rPr>
          <w:rFonts w:ascii="Times New Roman" w:hAnsi="Times New Roman" w:cs="Times New Roman"/>
          <w:color w:val="auto"/>
          <w:sz w:val="24"/>
        </w:rPr>
        <w:t>Data represent the mean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±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SEM; ns, not significant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/>
          <w:color w:val="auto"/>
          <w:sz w:val="24"/>
        </w:rPr>
        <w:t>***p&lt;0.001.</w:t>
      </w:r>
      <w:r>
        <w:rPr>
          <w:rStyle w:val="4"/>
          <w:rFonts w:hint="eastAsia" w:ascii="Times New Roman" w:hAnsi="Times New Roman" w:eastAsia="宋体" w:cs="Times New Roman"/>
          <w:b w:val="0"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B) Body weight records during the 7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noBreakHyphen/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day modeling period. Body weight was measured daily in the Ctrl, LPS+Veh, and LPS+CBD groups. C) Serum levels of pro-inflammatory cytokines (T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NF‑α, IL‑1β, and IL‑6) in the three groups. Cytokine concentrations were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measured by ELISA, n=3. </w:t>
      </w:r>
      <w:r>
        <w:rPr>
          <w:rFonts w:ascii="Times New Roman" w:hAnsi="Times New Roman" w:cs="Times New Roman"/>
          <w:color w:val="auto"/>
          <w:sz w:val="24"/>
        </w:rPr>
        <w:t>Data represent the mean ± SEM; ***p&lt;0.001.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D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Style w:val="4"/>
          <w:rFonts w:hint="eastAsia" w:ascii="Times New Roman" w:hAnsi="Times New Roman" w:eastAsia="宋体" w:cs="Times New Roman"/>
          <w:b w:val="0"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 xml:space="preserve">Representative brain images showing FITC-dextran extravasation of the three groups. </w:t>
      </w: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E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Representative immunofluorescence images of tight junction proteins (claudin-5, Occludin, and ZO-1) in the three groups. Scale bar = 100 or 25 µm. F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ascii="Times New Roman" w:hAnsi="Times New Roman" w:eastAsia="等线 Light" w:cs="Times New Roman"/>
          <w:color w:val="auto"/>
          <w:sz w:val="24"/>
          <w:szCs w:val="40"/>
        </w:rPr>
        <w:t>Immunofluorescence staining</w:t>
      </w:r>
      <w:r>
        <w:rPr>
          <w:rFonts w:ascii="Times New Roman" w:hAnsi="Times New Roman" w:cs="Times New Roman"/>
          <w:color w:val="auto"/>
          <w:sz w:val="24"/>
        </w:rPr>
        <w:t xml:space="preserve"> of pluripotency marker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NANOG</w:t>
      </w:r>
      <w:r>
        <w:rPr>
          <w:rFonts w:ascii="Times New Roman" w:hAnsi="Times New Roman" w:cs="Times New Roman"/>
          <w:color w:val="auto"/>
          <w:sz w:val="24"/>
        </w:rPr>
        <w:t xml:space="preserve"> in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iPSC</w:t>
      </w:r>
      <w:r>
        <w:rPr>
          <w:rFonts w:ascii="Times New Roman" w:hAnsi="Times New Roman" w:cs="Times New Roman"/>
          <w:color w:val="auto"/>
          <w:sz w:val="24"/>
        </w:rPr>
        <w:t>s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. Scale bar = 200 or 100 µm. G</w:t>
      </w:r>
      <w:r>
        <w:rPr>
          <w:rFonts w:ascii="Times New Roman" w:hAnsi="Times New Roman" w:cs="Times New Roman"/>
          <w:color w:val="auto"/>
          <w:sz w:val="24"/>
        </w:rPr>
        <w:t>) Quantitative RT-PCR of the expression of markers in induction process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, n=3</w:t>
      </w:r>
      <w:r>
        <w:rPr>
          <w:rFonts w:ascii="Times New Roman" w:hAnsi="Times New Roman" w:cs="Times New Roman"/>
          <w:color w:val="auto"/>
          <w:sz w:val="24"/>
        </w:rPr>
        <w:t>.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Data represent the mean ± SEM; ns, not significant; *p&lt;0.05, **p &lt; 0.01 and ***p&lt;0.001.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H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Representative immunofluorescence images of primary astrocytes identified by GFAP staining. The images confirm the purity and morphology of the astrocyte culture. Scale bar =20 µm.</w:t>
      </w:r>
    </w:p>
    <w:p w14:paraId="60ADAB4C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29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2026-09-11T03:45:19Z</dcterms:created>
  <dc:creator>Chenyue</dc:creator>
  <cp:lastModifiedBy>陈悦</cp:lastModifiedBy>
  <dcterms:modified xsi:type="dcterms:W3CDTF">2026-09-11T03:46:42Z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eyJoZGlkIjoiN2ZjOWM3NTI2ZGE2MTVjNGIwYTIxYzVkOWI5NDYxOTgiLCJ1c2VySWQiOiIzOTQxOTg2ODkifQ==</vt:lpwstr>
  </property>
  <property fmtid="{D5CDD505-2E9C-101B-9397-08002B2CF9AE}" pid="4" name="ICV">
    <vt:lpwstr>9BE4B7E2A6F64B53A4A67DE9BFE08336_12</vt:lpwstr>
  </property>
</Properties>
</file>