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00076" w14:textId="0B18B477" w:rsidR="00575619" w:rsidRDefault="00000000">
      <w:pPr>
        <w:pStyle w:val="NormalWeb"/>
        <w:widowControl/>
        <w:spacing w:beforeAutospacing="1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7EDE">
        <w:rPr>
          <w:rFonts w:ascii="Times New Roman" w:hAnsi="Times New Roman" w:cs="Times New Roman"/>
          <w:sz w:val="28"/>
          <w:szCs w:val="28"/>
        </w:rPr>
        <w:t xml:space="preserve">Supplementary file 1: </w:t>
      </w:r>
      <w:r>
        <w:rPr>
          <w:rFonts w:ascii="Times New Roman" w:hAnsi="Times New Roman" w:cs="Times New Roman"/>
          <w:sz w:val="28"/>
          <w:szCs w:val="28"/>
        </w:rPr>
        <w:t>Pharmacokinetics of GPR3 Ligands</w:t>
      </w:r>
    </w:p>
    <w:p w14:paraId="09B1549F" w14:textId="77777777" w:rsidR="00575619" w:rsidRDefault="00000000">
      <w:pPr>
        <w:pStyle w:val="NormalWeb"/>
        <w:widowControl/>
        <w:spacing w:beforeAutospacing="1" w:afterAutospacing="1"/>
        <w:ind w:firstLineChars="100" w:firstLine="24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The following are the pharmacokinetic characteristics of common GPR3 ligands—oleic acid (OA), </w:t>
      </w:r>
      <w:proofErr w:type="spellStart"/>
      <w:r>
        <w:rPr>
          <w:rFonts w:ascii="Times New Roman" w:hAnsi="Times New Roman" w:cs="Times New Roman"/>
          <w:color w:val="FF0000"/>
        </w:rPr>
        <w:t>diphenyliodonium</w:t>
      </w:r>
      <w:proofErr w:type="spellEnd"/>
      <w:r>
        <w:rPr>
          <w:rFonts w:ascii="Times New Roman" w:hAnsi="Times New Roman" w:cs="Times New Roman"/>
          <w:color w:val="FF0000"/>
        </w:rPr>
        <w:t xml:space="preserve"> (DPI), 1 - </w:t>
      </w:r>
      <w:proofErr w:type="spellStart"/>
      <w:r>
        <w:rPr>
          <w:rFonts w:ascii="Times New Roman" w:hAnsi="Times New Roman" w:cs="Times New Roman"/>
          <w:color w:val="FF0000"/>
        </w:rPr>
        <w:t>phosphorylserine</w:t>
      </w:r>
      <w:proofErr w:type="spellEnd"/>
      <w:r>
        <w:rPr>
          <w:rFonts w:ascii="Times New Roman" w:hAnsi="Times New Roman" w:cs="Times New Roman"/>
          <w:color w:val="FF0000"/>
        </w:rPr>
        <w:t xml:space="preserve"> (S1P), AF64394, and cannabidiol (CBD).</w:t>
      </w:r>
    </w:p>
    <w:p w14:paraId="7D7FBBBC" w14:textId="77777777" w:rsidR="00575619" w:rsidRDefault="00000000">
      <w:pPr>
        <w:pStyle w:val="NormalWeb"/>
        <w:widowControl/>
        <w:numPr>
          <w:ilvl w:val="0"/>
          <w:numId w:val="1"/>
        </w:numPr>
        <w:spacing w:beforeAutospacing="1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Oleic </w:t>
      </w:r>
      <w:proofErr w:type="gramStart"/>
      <w:r>
        <w:rPr>
          <w:rFonts w:ascii="Times New Roman" w:hAnsi="Times New Roman" w:cs="Times New Roman"/>
        </w:rPr>
        <w:t>Acid(</w:t>
      </w:r>
      <w:proofErr w:type="gramEnd"/>
      <w:r>
        <w:rPr>
          <w:rFonts w:ascii="Times New Roman" w:hAnsi="Times New Roman" w:cs="Times New Roman"/>
        </w:rPr>
        <w:t>OA)</w:t>
      </w:r>
      <w:r>
        <w:rPr>
          <w:rFonts w:ascii="Times New Roman" w:hAnsi="Times New Roman" w:cs="Times New Roman"/>
        </w:rPr>
        <w:t>：</w:t>
      </w:r>
    </w:p>
    <w:p w14:paraId="4F4720C8" w14:textId="77777777" w:rsidR="00575619" w:rsidRDefault="00000000">
      <w:pPr>
        <w:pStyle w:val="NormalWeb"/>
        <w:widowControl/>
        <w:spacing w:beforeAutospacing="1" w:afterAutospacing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（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）</w:t>
      </w:r>
      <w:r>
        <w:rPr>
          <w:rFonts w:ascii="Times New Roman" w:hAnsi="Times New Roman" w:cs="Times New Roman"/>
        </w:rPr>
        <w:t>Classification of the substance or mixture</w:t>
      </w:r>
      <w:r>
        <w:rPr>
          <w:rFonts w:ascii="Times New Roman" w:hAnsi="Times New Roman" w:cs="Times New Roman"/>
        </w:rPr>
        <w:t>：</w:t>
      </w:r>
    </w:p>
    <w:p w14:paraId="3D213169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GHS Classification in accordance with 29 CFR 1910 (OSHA HCS)</w:t>
      </w:r>
    </w:p>
    <w:p w14:paraId="5BF2E88F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Acute toxicity, Oral (Category 4), H302</w:t>
      </w:r>
    </w:p>
    <w:p w14:paraId="43035BC6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Acute aquatic toxicity (Category 1), H400</w:t>
      </w:r>
    </w:p>
    <w:p w14:paraId="0EC618D3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Chronic aquatic toxicity (Category 1), H410</w:t>
      </w:r>
    </w:p>
    <w:p w14:paraId="7DEA9CB9" w14:textId="77777777" w:rsidR="00575619" w:rsidRDefault="00000000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Pharmacokinetics</w:t>
      </w:r>
    </w:p>
    <w:p w14:paraId="77A1831B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Half-life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（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t</w:t>
      </w:r>
      <w:r>
        <w:rPr>
          <w:rFonts w:ascii="Times New Roman" w:eastAsia="Helvetica" w:hAnsi="Times New Roman" w:cs="Times New Roman"/>
          <w:color w:val="000000"/>
          <w:kern w:val="0"/>
          <w:sz w:val="24"/>
          <w:vertAlign w:val="subscript"/>
          <w:lang w:bidi="ar"/>
        </w:rPr>
        <w:t>1/2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）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:2 - 4 minutes in blood; a few weeks or a few months in organized triglycerides and membrane phospholipids</w:t>
      </w:r>
    </w:p>
    <w:p w14:paraId="03D0A7BA" w14:textId="77777777" w:rsidR="00575619" w:rsidRDefault="00000000">
      <w:pPr>
        <w:spacing w:line="360" w:lineRule="auto"/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Bioavailability(F)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：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95% in take orally</w:t>
      </w:r>
    </w:p>
    <w:p w14:paraId="04647A6E" w14:textId="77777777" w:rsidR="00575619" w:rsidRDefault="00000000">
      <w:pPr>
        <w:spacing w:line="360" w:lineRule="auto"/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Clearance (CL)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：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The clearance rate of free oleic acid in plasma is extremely high, primarily determined by the uptake and oxidation rates in tissues (especially muscles, heart, and liver).</w:t>
      </w:r>
    </w:p>
    <w:p w14:paraId="22C82ABC" w14:textId="77777777" w:rsidR="00575619" w:rsidRDefault="00575619">
      <w:pPr>
        <w:spacing w:line="360" w:lineRule="auto"/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</w:pPr>
    </w:p>
    <w:p w14:paraId="340BF17F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Style w:val="Hyperlink"/>
          <w:rFonts w:ascii="Times New Roman" w:eastAsia="SimSun" w:hAnsi="Times New Roman" w:cs="Times New Roman" w:hint="eastAsia"/>
          <w:snapToGrid w:val="0"/>
          <w:color w:val="08090C"/>
          <w:kern w:val="0"/>
          <w:sz w:val="24"/>
          <w:u w:val="none"/>
        </w:rPr>
        <w:t>2.</w:t>
      </w:r>
      <w:r>
        <w:rPr>
          <w:rStyle w:val="Hyperlink"/>
          <w:rFonts w:ascii="Times New Roman" w:eastAsia="SimSun" w:hAnsi="Times New Roman" w:cs="Times New Roman"/>
          <w:snapToGrid w:val="0"/>
          <w:color w:val="08090C"/>
          <w:kern w:val="0"/>
          <w:sz w:val="24"/>
          <w:u w:val="none"/>
        </w:rPr>
        <w:t>Diphenyleneiodonium (DPI)</w:t>
      </w:r>
    </w:p>
    <w:p w14:paraId="1F8F1DCD" w14:textId="77777777" w:rsidR="00575619" w:rsidRDefault="000000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Classification of the substance or mixture</w:t>
      </w:r>
      <w:r>
        <w:rPr>
          <w:rFonts w:ascii="Times New Roman" w:hAnsi="Times New Roman" w:cs="Times New Roman"/>
          <w:sz w:val="24"/>
        </w:rPr>
        <w:t>：</w:t>
      </w:r>
    </w:p>
    <w:p w14:paraId="564C2A49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GHS Classification in accordance with 29 CFR 1910 (OSHA HCS)</w:t>
      </w:r>
    </w:p>
    <w:p w14:paraId="5F98657B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H319 #Causes serious eye irritation.</w:t>
      </w:r>
    </w:p>
    <w:p w14:paraId="14243F97" w14:textId="77777777" w:rsidR="00575619" w:rsidRDefault="00000000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Pharmacokinetics</w:t>
      </w:r>
    </w:p>
    <w:p w14:paraId="24FD71FF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t</w:t>
      </w:r>
      <w:r>
        <w:rPr>
          <w:rFonts w:ascii="Times New Roman" w:eastAsia="Helvetica" w:hAnsi="Times New Roman" w:cs="Times New Roman"/>
          <w:color w:val="000000"/>
          <w:kern w:val="0"/>
          <w:sz w:val="24"/>
          <w:vertAlign w:val="subscript"/>
          <w:lang w:bidi="ar"/>
        </w:rPr>
        <w:t>1/2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：</w:t>
      </w:r>
      <w:r>
        <w:rPr>
          <w:rFonts w:ascii="Times New Roman" w:hAnsi="Times New Roman" w:cs="Times New Roman"/>
          <w:sz w:val="24"/>
        </w:rPr>
        <w:t>Due to its rapid tissue binding, initial plasma clearance is expected to be rapid.</w:t>
      </w:r>
    </w:p>
    <w:p w14:paraId="7D8D1776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/>
          <w:sz w:val="24"/>
        </w:rPr>
        <w:t>Cannot be calculated using conventional drug models</w:t>
      </w:r>
    </w:p>
    <w:p w14:paraId="2D92B347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/>
          <w:sz w:val="24"/>
        </w:rPr>
        <w:t>Administered non-orally, with unknown oral bioavailability</w:t>
      </w:r>
    </w:p>
    <w:p w14:paraId="6A529B3A" w14:textId="77777777" w:rsidR="00575619" w:rsidRDefault="00575619">
      <w:pPr>
        <w:spacing w:line="360" w:lineRule="auto"/>
        <w:rPr>
          <w:rFonts w:ascii="Times New Roman" w:hAnsi="Times New Roman" w:cs="Times New Roman"/>
          <w:sz w:val="24"/>
        </w:rPr>
      </w:pPr>
    </w:p>
    <w:p w14:paraId="33AF4C10" w14:textId="77777777" w:rsidR="00575619" w:rsidRDefault="00000000">
      <w:pPr>
        <w:spacing w:line="360" w:lineRule="auto"/>
        <w:rPr>
          <w:rStyle w:val="Hyperlink"/>
          <w:rFonts w:ascii="Times New Roman" w:eastAsia="SimSun" w:hAnsi="Times New Roman" w:cs="Times New Roman"/>
          <w:snapToGrid w:val="0"/>
          <w:color w:val="08090C"/>
          <w:kern w:val="0"/>
          <w:sz w:val="24"/>
          <w:u w:val="none"/>
        </w:rPr>
      </w:pPr>
      <w:r>
        <w:rPr>
          <w:rStyle w:val="Hyperlink"/>
          <w:rFonts w:ascii="Times New Roman" w:eastAsia="SimSun" w:hAnsi="Times New Roman" w:cs="Times New Roman" w:hint="eastAsia"/>
          <w:snapToGrid w:val="0"/>
          <w:color w:val="08090C"/>
          <w:kern w:val="0"/>
          <w:sz w:val="24"/>
          <w:u w:val="none"/>
        </w:rPr>
        <w:t>3.</w:t>
      </w:r>
      <w:r>
        <w:rPr>
          <w:rStyle w:val="Hyperlink"/>
          <w:rFonts w:ascii="Times New Roman" w:eastAsia="SimSun" w:hAnsi="Times New Roman" w:cs="Times New Roman"/>
          <w:snapToGrid w:val="0"/>
          <w:color w:val="08090C"/>
          <w:kern w:val="0"/>
          <w:sz w:val="24"/>
          <w:u w:val="none"/>
        </w:rPr>
        <w:t>Sphingosine-1-phosphate (S1P)</w:t>
      </w:r>
    </w:p>
    <w:p w14:paraId="1EE29C60" w14:textId="77777777" w:rsidR="00575619" w:rsidRDefault="000000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Classification of the substance or mixture</w:t>
      </w:r>
    </w:p>
    <w:p w14:paraId="320D431E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GHS Classification in accordance with 29 CFR 1910 (OSHA HCS)</w:t>
      </w:r>
    </w:p>
    <w:p w14:paraId="2241FD82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H315 #Causes skin irritation.</w:t>
      </w:r>
    </w:p>
    <w:p w14:paraId="0F16B69B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H319 #Causes serious eye irritation.</w:t>
      </w:r>
    </w:p>
    <w:p w14:paraId="2FAA5A76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H335 #May cause respiratory irritation.</w:t>
      </w:r>
    </w:p>
    <w:p w14:paraId="1692FE49" w14:textId="77777777" w:rsidR="00575619" w:rsidRDefault="00000000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Pharmacokinetics</w:t>
      </w:r>
    </w:p>
    <w:p w14:paraId="4A96AE6E" w14:textId="77777777" w:rsidR="00575619" w:rsidRDefault="00000000">
      <w:pPr>
        <w:spacing w:line="360" w:lineRule="auto"/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t</w:t>
      </w:r>
      <w:r>
        <w:rPr>
          <w:rFonts w:ascii="Times New Roman" w:eastAsia="Helvetica" w:hAnsi="Times New Roman" w:cs="Times New Roman"/>
          <w:color w:val="000000"/>
          <w:kern w:val="0"/>
          <w:sz w:val="24"/>
          <w:vertAlign w:val="subscript"/>
          <w:lang w:bidi="ar"/>
        </w:rPr>
        <w:t>1/2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：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Relatively stable in blood (due to carrier protection), with a half-life of several hours; in tissue cells, the half-life is only a few minutes due to the high activity of lytic enzymes.</w:t>
      </w:r>
    </w:p>
    <w:p w14:paraId="11217E36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/>
          <w:sz w:val="24"/>
        </w:rPr>
        <w:t>The clearance of S1P is extremely rapid, primarily through irreversible enzymatic degradation within cells rather than organ excretion.</w:t>
      </w:r>
    </w:p>
    <w:p w14:paraId="6B22665E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>
        <w:rPr>
          <w:rFonts w:ascii="Times New Roman" w:hAnsi="Times New Roman" w:cs="Times New Roman"/>
          <w:sz w:val="24"/>
        </w:rPr>
        <w:t>：</w:t>
      </w:r>
      <w:r>
        <w:rPr>
          <w:rFonts w:ascii="Times New Roman" w:hAnsi="Times New Roman" w:cs="Times New Roman"/>
          <w:sz w:val="24"/>
        </w:rPr>
        <w:t xml:space="preserve">The concentration of S1P in human plasma is approximately 0.2–0.9 </w:t>
      </w:r>
      <w:proofErr w:type="spellStart"/>
      <w:r>
        <w:rPr>
          <w:rFonts w:ascii="Times New Roman" w:hAnsi="Times New Roman" w:cs="Times New Roman"/>
          <w:sz w:val="24"/>
        </w:rPr>
        <w:t>μM</w:t>
      </w:r>
      <w:proofErr w:type="spellEnd"/>
      <w:r>
        <w:rPr>
          <w:rFonts w:ascii="Times New Roman" w:hAnsi="Times New Roman" w:cs="Times New Roman"/>
          <w:sz w:val="24"/>
        </w:rPr>
        <w:t xml:space="preserve">, with a rapidly renewing systemic S1P pool. Approximately 60–70% of plasma S1P is bound to </w:t>
      </w:r>
      <w:proofErr w:type="spellStart"/>
      <w:r>
        <w:rPr>
          <w:rFonts w:ascii="Times New Roman" w:hAnsi="Times New Roman" w:cs="Times New Roman"/>
          <w:sz w:val="24"/>
        </w:rPr>
        <w:t>ApoM</w:t>
      </w:r>
      <w:proofErr w:type="spellEnd"/>
      <w:r>
        <w:rPr>
          <w:rFonts w:ascii="Times New Roman" w:hAnsi="Times New Roman" w:cs="Times New Roman"/>
          <w:sz w:val="24"/>
        </w:rPr>
        <w:t xml:space="preserve"> on HDL.</w:t>
      </w:r>
    </w:p>
    <w:p w14:paraId="7FFDBCDD" w14:textId="77777777" w:rsidR="00575619" w:rsidRDefault="00575619">
      <w:pPr>
        <w:spacing w:line="360" w:lineRule="auto"/>
        <w:rPr>
          <w:rFonts w:ascii="Times New Roman" w:hAnsi="Times New Roman" w:cs="Times New Roman"/>
          <w:sz w:val="24"/>
        </w:rPr>
      </w:pPr>
    </w:p>
    <w:p w14:paraId="36C9692D" w14:textId="77777777" w:rsidR="00575619" w:rsidRDefault="00000000">
      <w:pPr>
        <w:spacing w:line="360" w:lineRule="auto"/>
        <w:rPr>
          <w:rStyle w:val="Hyperlink"/>
          <w:rFonts w:ascii="Times New Roman" w:eastAsia="SimSun" w:hAnsi="Times New Roman" w:cs="Times New Roman"/>
          <w:snapToGrid w:val="0"/>
          <w:color w:val="08090C"/>
          <w:kern w:val="0"/>
          <w:sz w:val="24"/>
          <w:u w:val="none"/>
        </w:rPr>
      </w:pPr>
      <w:r>
        <w:rPr>
          <w:rStyle w:val="Hyperlink"/>
          <w:rFonts w:ascii="Times New Roman" w:eastAsia="SimSun" w:hAnsi="Times New Roman" w:cs="Times New Roman" w:hint="eastAsia"/>
          <w:snapToGrid w:val="0"/>
          <w:color w:val="08090C"/>
          <w:kern w:val="0"/>
          <w:sz w:val="24"/>
          <w:u w:val="none"/>
        </w:rPr>
        <w:t>4.</w:t>
      </w:r>
      <w:r>
        <w:rPr>
          <w:rStyle w:val="Hyperlink"/>
          <w:rFonts w:ascii="Times New Roman" w:eastAsia="SimSun" w:hAnsi="Times New Roman" w:cs="Times New Roman"/>
          <w:snapToGrid w:val="0"/>
          <w:color w:val="08090C"/>
          <w:kern w:val="0"/>
          <w:sz w:val="24"/>
          <w:u w:val="none"/>
        </w:rPr>
        <w:t>AF64394</w:t>
      </w:r>
    </w:p>
    <w:p w14:paraId="5DB8BC79" w14:textId="77777777" w:rsidR="00575619" w:rsidRDefault="00000000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Classification of the substance or mixture</w:t>
      </w:r>
    </w:p>
    <w:p w14:paraId="49D4382F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H302#Acute toxicity, oral </w:t>
      </w:r>
    </w:p>
    <w:p w14:paraId="757C112B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H315#Skin corrosion/irritation </w:t>
      </w:r>
    </w:p>
    <w:p w14:paraId="7CFDA95F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H319#</w:t>
      </w:r>
      <w:proofErr w:type="gramStart"/>
      <w:r>
        <w:rPr>
          <w:rFonts w:ascii="Times New Roman" w:hAnsi="Times New Roman" w:cs="Times New Roman"/>
          <w:sz w:val="24"/>
        </w:rPr>
        <w:t>Serious</w:t>
      </w:r>
      <w:proofErr w:type="gramEnd"/>
      <w:r>
        <w:rPr>
          <w:rFonts w:ascii="Times New Roman" w:hAnsi="Times New Roman" w:cs="Times New Roman"/>
          <w:sz w:val="24"/>
        </w:rPr>
        <w:t xml:space="preserve"> eye damage/eye irritation</w:t>
      </w:r>
    </w:p>
    <w:p w14:paraId="4CFED6AE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H335#Specific target organ toxicity, single exposure; Respiratory tract irritation</w:t>
      </w:r>
    </w:p>
    <w:p w14:paraId="115EDB84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（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2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）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Pharmacokinetics</w:t>
      </w:r>
    </w:p>
    <w:p w14:paraId="41BA5D07" w14:textId="77777777" w:rsidR="00575619" w:rsidRDefault="00000000">
      <w:pPr>
        <w:spacing w:line="360" w:lineRule="auto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/>
          <w:sz w:val="24"/>
        </w:rPr>
        <w:t>No literature has explicitly reported the specific half-life, oral bioavailability, or systemic clearance of CBD in humans.</w:t>
      </w:r>
    </w:p>
    <w:p w14:paraId="1BBAD0CD" w14:textId="77777777" w:rsidR="00575619" w:rsidRDefault="00575619">
      <w:pPr>
        <w:spacing w:line="360" w:lineRule="auto"/>
        <w:rPr>
          <w:rFonts w:ascii="Times New Roman" w:eastAsia="SimSun" w:hAnsi="Times New Roman" w:cs="Times New Roman"/>
          <w:sz w:val="24"/>
        </w:rPr>
      </w:pPr>
    </w:p>
    <w:p w14:paraId="38690C42" w14:textId="77777777" w:rsidR="00575619" w:rsidRDefault="00000000">
      <w:pPr>
        <w:spacing w:line="360" w:lineRule="auto"/>
        <w:rPr>
          <w:rStyle w:val="Hyperlink"/>
          <w:rFonts w:ascii="Times New Roman" w:eastAsia="SimSun" w:hAnsi="Times New Roman" w:cs="Times New Roman"/>
          <w:snapToGrid w:val="0"/>
          <w:color w:val="08090C"/>
          <w:kern w:val="0"/>
          <w:sz w:val="24"/>
          <w:u w:val="none"/>
        </w:rPr>
      </w:pPr>
      <w:r>
        <w:rPr>
          <w:rStyle w:val="Hyperlink"/>
          <w:rFonts w:ascii="Times New Roman" w:eastAsia="SimSun" w:hAnsi="Times New Roman" w:cs="Times New Roman" w:hint="eastAsia"/>
          <w:snapToGrid w:val="0"/>
          <w:color w:val="08090C"/>
          <w:kern w:val="0"/>
          <w:sz w:val="24"/>
          <w:u w:val="none"/>
        </w:rPr>
        <w:t>5.</w:t>
      </w:r>
      <w:r>
        <w:rPr>
          <w:rStyle w:val="Hyperlink"/>
          <w:rFonts w:ascii="Times New Roman" w:eastAsia="SimSun" w:hAnsi="Times New Roman" w:cs="Times New Roman"/>
          <w:snapToGrid w:val="0"/>
          <w:color w:val="08090C"/>
          <w:kern w:val="0"/>
          <w:sz w:val="24"/>
          <w:u w:val="none"/>
        </w:rPr>
        <w:t>Cannabidiol (CBD)</w:t>
      </w:r>
    </w:p>
    <w:p w14:paraId="08D5DE91" w14:textId="77777777" w:rsidR="00575619" w:rsidRDefault="00000000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Classification of the substance or mixture</w:t>
      </w:r>
    </w:p>
    <w:p w14:paraId="10B1A387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 significant toxicity was observed.</w:t>
      </w:r>
    </w:p>
    <w:p w14:paraId="7EF9D085" w14:textId="77777777" w:rsidR="00575619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（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2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）</w:t>
      </w:r>
      <w:r>
        <w:rPr>
          <w:rFonts w:ascii="Times New Roman" w:eastAsia="Helvetica" w:hAnsi="Times New Roman" w:cs="Times New Roman"/>
          <w:color w:val="000000"/>
          <w:kern w:val="0"/>
          <w:sz w:val="24"/>
          <w:lang w:bidi="ar"/>
        </w:rPr>
        <w:t>Pharmacokinetics</w:t>
      </w:r>
    </w:p>
    <w:p w14:paraId="4A9FB14E" w14:textId="77777777" w:rsidR="00575619" w:rsidRDefault="00000000">
      <w:pPr>
        <w:spacing w:line="360" w:lineRule="auto"/>
        <w:rPr>
          <w:rStyle w:val="Hyperlink"/>
          <w:rFonts w:ascii="Times New Roman" w:eastAsia="SimSun" w:hAnsi="Times New Roman" w:cs="Times New Roman"/>
          <w:snapToGrid w:val="0"/>
          <w:color w:val="08090C"/>
          <w:kern w:val="0"/>
          <w:szCs w:val="21"/>
          <w:u w:val="none"/>
        </w:rPr>
      </w:pPr>
      <w:r>
        <w:rPr>
          <w:rFonts w:ascii="Times New Roman" w:eastAsia="SimSun" w:hAnsi="Times New Roman" w:cs="Times New Roman"/>
          <w:sz w:val="24"/>
        </w:rPr>
        <w:t>No literature has explicitly reported the specific half-life, oral bioavailability, or systemic clearance of CBD in humans</w:t>
      </w:r>
      <w:r>
        <w:rPr>
          <w:rFonts w:ascii="Times New Roman" w:eastAsia="SimSun" w:hAnsi="Times New Roman" w:cs="Times New Roman"/>
          <w:szCs w:val="21"/>
        </w:rPr>
        <w:t>.</w:t>
      </w:r>
    </w:p>
    <w:p w14:paraId="7E6F4910" w14:textId="77777777" w:rsidR="00575619" w:rsidRDefault="00575619"/>
    <w:p w14:paraId="11F49943" w14:textId="77777777" w:rsidR="00575619" w:rsidRDefault="00575619"/>
    <w:sectPr w:rsidR="005756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D5B40B"/>
    <w:multiLevelType w:val="singleLevel"/>
    <w:tmpl w:val="80D5B40B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1AC0406"/>
    <w:multiLevelType w:val="singleLevel"/>
    <w:tmpl w:val="F1AC0406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10750B2E"/>
    <w:multiLevelType w:val="singleLevel"/>
    <w:tmpl w:val="10750B2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14C00449"/>
    <w:multiLevelType w:val="singleLevel"/>
    <w:tmpl w:val="14C00449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16A0EC08"/>
    <w:multiLevelType w:val="singleLevel"/>
    <w:tmpl w:val="16A0EC08"/>
    <w:lvl w:ilvl="0">
      <w:start w:val="1"/>
      <w:numFmt w:val="decimal"/>
      <w:suff w:val="nothing"/>
      <w:lvlText w:val="（%1）"/>
      <w:lvlJc w:val="left"/>
    </w:lvl>
  </w:abstractNum>
  <w:abstractNum w:abstractNumId="5" w15:restartNumberingAfterBreak="0">
    <w:nsid w:val="3391F599"/>
    <w:multiLevelType w:val="singleLevel"/>
    <w:tmpl w:val="3391F599"/>
    <w:lvl w:ilvl="0">
      <w:start w:val="2"/>
      <w:numFmt w:val="decimal"/>
      <w:suff w:val="nothing"/>
      <w:lvlText w:val="（%1）"/>
      <w:lvlJc w:val="left"/>
    </w:lvl>
  </w:abstractNum>
  <w:num w:numId="1" w16cid:durableId="2132899237">
    <w:abstractNumId w:val="2"/>
  </w:num>
  <w:num w:numId="2" w16cid:durableId="578946830">
    <w:abstractNumId w:val="5"/>
  </w:num>
  <w:num w:numId="3" w16cid:durableId="1975526877">
    <w:abstractNumId w:val="3"/>
  </w:num>
  <w:num w:numId="4" w16cid:durableId="905724234">
    <w:abstractNumId w:val="1"/>
  </w:num>
  <w:num w:numId="5" w16cid:durableId="710695106">
    <w:abstractNumId w:val="4"/>
  </w:num>
  <w:num w:numId="6" w16cid:durableId="96346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EBD1E9F"/>
    <w:rsid w:val="002E0EDA"/>
    <w:rsid w:val="00575619"/>
    <w:rsid w:val="00E67EDE"/>
    <w:rsid w:val="05F31C91"/>
    <w:rsid w:val="1DAE5C95"/>
    <w:rsid w:val="25117180"/>
    <w:rsid w:val="28BA0162"/>
    <w:rsid w:val="2DE637F8"/>
    <w:rsid w:val="42813BA5"/>
    <w:rsid w:val="477D49BD"/>
    <w:rsid w:val="50BD049E"/>
    <w:rsid w:val="625C216F"/>
    <w:rsid w:val="6EBD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D3895"/>
  <w15:docId w15:val="{EE740F40-9459-4A54-B467-079E81761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  <w:style w:type="character" w:styleId="Hyperlink">
    <w:name w:val="Hyperlink"/>
    <w:basedOn w:val="DefaultParagraphFont"/>
    <w:uiPriority w:val="99"/>
    <w:unhideWhenUsed/>
    <w:qFormat/>
    <w:rPr>
      <w:color w:val="0026E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冯老登</dc:creator>
  <cp:lastModifiedBy>Madhura Patkar</cp:lastModifiedBy>
  <cp:revision>2</cp:revision>
  <dcterms:created xsi:type="dcterms:W3CDTF">2026-01-05T13:09:00Z</dcterms:created>
  <dcterms:modified xsi:type="dcterms:W3CDTF">2026-01-05T13:09:00Z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31CBA69CF5D14AF192176E4EC4D9910F_13</vt:lpwstr>
  </property>
  <property fmtid="{D5CDD505-2E9C-101B-9397-08002B2CF9AE}" pid="4" name="KSOTemplateDocerSaveRecord">
    <vt:lpwstr>eyJoZGlkIjoiM2FiZDIzMjBhYjY3YjcwYmIxYWI1NjM4YzVmYjEyMDMiLCJ1c2VySWQiOiIyNjQxMjc0ODAifQ==</vt:lpwstr>
  </property>
</Properties>
</file>