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E64DA2" w14:textId="77777777" w:rsidR="00FC17EF" w:rsidRPr="008B05E2" w:rsidRDefault="00FC17EF" w:rsidP="009F157C">
      <w:pPr>
        <w:pStyle w:val="Heading1"/>
      </w:pPr>
      <w:bookmarkStart w:id="0" w:name="_GoBack"/>
      <w:bookmarkEnd w:id="0"/>
      <w:r w:rsidRPr="008B05E2">
        <w:t>Supplementary Online Material</w:t>
      </w:r>
    </w:p>
    <w:p w14:paraId="1D3D0636" w14:textId="77777777" w:rsidR="00FC17EF" w:rsidRPr="00DA7CD0" w:rsidRDefault="00FC17EF" w:rsidP="009F157C">
      <w:pPr>
        <w:rPr>
          <w:rFonts w:cs="Times New Roman"/>
          <w:b/>
          <w:szCs w:val="24"/>
        </w:rPr>
      </w:pPr>
      <w:r w:rsidRPr="00DA7CD0">
        <w:rPr>
          <w:rFonts w:cs="Times New Roman"/>
          <w:b/>
          <w:szCs w:val="24"/>
        </w:rPr>
        <w:t>Fatty acid amide hydrolase Inhibition by JNJ-42165279: A multiple-ascending dose and a positron emission tomography study in healthy volunteers</w:t>
      </w:r>
    </w:p>
    <w:p w14:paraId="49240E99" w14:textId="77777777" w:rsidR="00FC17EF" w:rsidRDefault="00FC17EF" w:rsidP="009F157C">
      <w:pPr>
        <w:rPr>
          <w:rFonts w:cs="Times New Roman"/>
          <w:szCs w:val="24"/>
          <w:lang w:val="nl-NL"/>
        </w:rPr>
      </w:pPr>
    </w:p>
    <w:p w14:paraId="0750DA47" w14:textId="77777777" w:rsidR="00FC17EF" w:rsidRPr="008B05E2" w:rsidRDefault="00FC17EF" w:rsidP="009F157C">
      <w:pPr>
        <w:rPr>
          <w:rFonts w:cs="Times New Roman"/>
          <w:szCs w:val="24"/>
          <w:vertAlign w:val="superscript"/>
          <w:lang w:val="nl-NL"/>
        </w:rPr>
      </w:pPr>
      <w:r w:rsidRPr="008B05E2">
        <w:rPr>
          <w:rFonts w:cs="Times New Roman"/>
          <w:szCs w:val="24"/>
          <w:lang w:val="nl-NL"/>
        </w:rPr>
        <w:t>Andrey Postnov</w:t>
      </w:r>
      <w:r w:rsidRPr="008B05E2">
        <w:rPr>
          <w:rFonts w:cs="Times New Roman"/>
          <w:szCs w:val="24"/>
          <w:vertAlign w:val="superscript"/>
          <w:lang w:val="nl-NL"/>
        </w:rPr>
        <w:t>1, 10</w:t>
      </w:r>
      <w:r w:rsidRPr="008B05E2">
        <w:rPr>
          <w:rFonts w:cs="Times New Roman"/>
          <w:szCs w:val="24"/>
          <w:lang w:val="nl-NL"/>
        </w:rPr>
        <w:t>, Mark E. Schmidt</w:t>
      </w:r>
      <w:r w:rsidRPr="008B05E2">
        <w:rPr>
          <w:rFonts w:cs="Times New Roman"/>
          <w:szCs w:val="24"/>
          <w:vertAlign w:val="superscript"/>
          <w:lang w:val="nl-NL"/>
        </w:rPr>
        <w:t>2</w:t>
      </w:r>
      <w:r w:rsidRPr="008B05E2">
        <w:rPr>
          <w:rFonts w:cs="Times New Roman"/>
          <w:szCs w:val="24"/>
          <w:lang w:val="nl-NL"/>
        </w:rPr>
        <w:t xml:space="preserve">*, </w:t>
      </w:r>
      <w:r w:rsidRPr="008B05E2">
        <w:rPr>
          <w:lang w:val="nl-NL"/>
        </w:rPr>
        <w:t>Darrel J. Pemberton</w:t>
      </w:r>
      <w:r w:rsidRPr="008B05E2">
        <w:rPr>
          <w:vertAlign w:val="superscript"/>
          <w:lang w:val="nl-NL"/>
        </w:rPr>
        <w:t>2</w:t>
      </w:r>
      <w:r w:rsidRPr="008B05E2">
        <w:rPr>
          <w:lang w:val="nl-NL"/>
        </w:rPr>
        <w:t xml:space="preserve">, </w:t>
      </w:r>
      <w:r w:rsidRPr="008B05E2">
        <w:rPr>
          <w:rFonts w:cs="Times New Roman"/>
          <w:szCs w:val="24"/>
          <w:lang w:val="nl-NL"/>
        </w:rPr>
        <w:t>Jan de Hoon</w:t>
      </w:r>
      <w:r w:rsidRPr="008B05E2">
        <w:rPr>
          <w:rFonts w:cs="Times New Roman"/>
          <w:szCs w:val="24"/>
          <w:vertAlign w:val="superscript"/>
          <w:lang w:val="nl-NL"/>
        </w:rPr>
        <w:t>3</w:t>
      </w:r>
      <w:r w:rsidRPr="008B05E2">
        <w:rPr>
          <w:rFonts w:cs="Times New Roman"/>
          <w:szCs w:val="24"/>
          <w:lang w:val="nl-NL"/>
        </w:rPr>
        <w:t>, Anne Van Hecken</w:t>
      </w:r>
      <w:r w:rsidRPr="008B05E2">
        <w:rPr>
          <w:rFonts w:cs="Times New Roman"/>
          <w:szCs w:val="24"/>
          <w:vertAlign w:val="superscript"/>
          <w:lang w:val="nl-NL"/>
        </w:rPr>
        <w:t>3</w:t>
      </w:r>
      <w:r w:rsidRPr="008B05E2">
        <w:rPr>
          <w:rFonts w:cs="Times New Roman"/>
          <w:szCs w:val="24"/>
          <w:lang w:val="nl-NL"/>
        </w:rPr>
        <w:t>, Maarten van den Boer</w:t>
      </w:r>
      <w:r w:rsidRPr="008B05E2">
        <w:rPr>
          <w:rFonts w:cs="Times New Roman"/>
          <w:szCs w:val="24"/>
          <w:vertAlign w:val="superscript"/>
          <w:lang w:val="nl-NL"/>
        </w:rPr>
        <w:t>4</w:t>
      </w:r>
      <w:r w:rsidRPr="008B05E2">
        <w:rPr>
          <w:rFonts w:cs="Times New Roman"/>
          <w:szCs w:val="24"/>
          <w:lang w:val="nl-NL"/>
        </w:rPr>
        <w:t>, Peter Zannikos</w:t>
      </w:r>
      <w:r w:rsidRPr="008B05E2">
        <w:rPr>
          <w:rFonts w:cs="Times New Roman"/>
          <w:szCs w:val="24"/>
          <w:vertAlign w:val="superscript"/>
          <w:lang w:val="nl-NL"/>
        </w:rPr>
        <w:t>5</w:t>
      </w:r>
      <w:r w:rsidRPr="008B05E2">
        <w:rPr>
          <w:rFonts w:cs="Times New Roman"/>
          <w:szCs w:val="24"/>
          <w:lang w:val="nl-NL"/>
        </w:rPr>
        <w:t>, Peter van der Ark</w:t>
      </w:r>
      <w:r w:rsidRPr="008B05E2">
        <w:rPr>
          <w:rFonts w:cs="Times New Roman"/>
          <w:szCs w:val="24"/>
          <w:vertAlign w:val="superscript"/>
          <w:lang w:val="nl-NL"/>
        </w:rPr>
        <w:t>6</w:t>
      </w:r>
      <w:r w:rsidRPr="008B05E2">
        <w:rPr>
          <w:rFonts w:cs="Times New Roman"/>
          <w:szCs w:val="24"/>
          <w:lang w:val="nl-NL"/>
        </w:rPr>
        <w:t>, James A. Palmer</w:t>
      </w:r>
      <w:r w:rsidRPr="008B05E2">
        <w:rPr>
          <w:rFonts w:cs="Times New Roman"/>
          <w:szCs w:val="24"/>
          <w:vertAlign w:val="superscript"/>
          <w:lang w:val="nl-NL"/>
        </w:rPr>
        <w:t>7</w:t>
      </w:r>
      <w:r w:rsidRPr="008B05E2">
        <w:rPr>
          <w:rFonts w:cs="Times New Roman"/>
          <w:szCs w:val="24"/>
          <w:lang w:val="nl-NL"/>
        </w:rPr>
        <w:t>, Stef Rassnick</w:t>
      </w:r>
      <w:r w:rsidRPr="008B05E2">
        <w:rPr>
          <w:rFonts w:cs="Times New Roman"/>
          <w:szCs w:val="24"/>
          <w:vertAlign w:val="superscript"/>
          <w:lang w:val="nl-NL"/>
        </w:rPr>
        <w:t>8</w:t>
      </w:r>
      <w:r w:rsidRPr="008B05E2">
        <w:rPr>
          <w:rFonts w:cs="Times New Roman"/>
          <w:szCs w:val="24"/>
          <w:lang w:val="nl-NL"/>
        </w:rPr>
        <w:t>, Sofie Celen</w:t>
      </w:r>
      <w:r w:rsidRPr="008B05E2">
        <w:rPr>
          <w:rFonts w:cs="Times New Roman"/>
          <w:szCs w:val="24"/>
          <w:vertAlign w:val="superscript"/>
          <w:lang w:val="nl-NL"/>
        </w:rPr>
        <w:t>9</w:t>
      </w:r>
      <w:r w:rsidRPr="008B05E2">
        <w:rPr>
          <w:rFonts w:cs="Times New Roman"/>
          <w:szCs w:val="24"/>
          <w:lang w:val="nl-NL"/>
        </w:rPr>
        <w:t>, Guy Bormans</w:t>
      </w:r>
      <w:r w:rsidRPr="008B05E2">
        <w:rPr>
          <w:rFonts w:cs="Times New Roman"/>
          <w:szCs w:val="24"/>
          <w:vertAlign w:val="superscript"/>
          <w:lang w:val="nl-NL"/>
        </w:rPr>
        <w:t>9</w:t>
      </w:r>
      <w:r w:rsidRPr="008B05E2">
        <w:rPr>
          <w:rFonts w:cs="Times New Roman"/>
          <w:szCs w:val="24"/>
          <w:lang w:val="nl-NL"/>
        </w:rPr>
        <w:t>, Koen van Laere</w:t>
      </w:r>
      <w:r w:rsidRPr="008B05E2">
        <w:rPr>
          <w:rFonts w:cs="Times New Roman"/>
          <w:szCs w:val="24"/>
          <w:vertAlign w:val="superscript"/>
          <w:lang w:val="nl-NL"/>
        </w:rPr>
        <w:t>1</w:t>
      </w:r>
    </w:p>
    <w:p w14:paraId="43D28F57" w14:textId="77777777" w:rsidR="00FC17EF" w:rsidRPr="009E12C8" w:rsidRDefault="00FC17EF" w:rsidP="009F157C">
      <w:pPr>
        <w:rPr>
          <w:rFonts w:cs="Times New Roman"/>
          <w:szCs w:val="24"/>
          <w:vertAlign w:val="superscript"/>
          <w:lang w:val="nl-NL"/>
        </w:rPr>
      </w:pPr>
    </w:p>
    <w:p w14:paraId="7FD1C342" w14:textId="77777777" w:rsidR="00FC17EF" w:rsidRPr="008B05E2" w:rsidRDefault="00FC17EF" w:rsidP="009F157C">
      <w:pPr>
        <w:rPr>
          <w:rFonts w:cs="Times New Roman"/>
          <w:szCs w:val="24"/>
        </w:rPr>
      </w:pPr>
      <w:r w:rsidRPr="008B05E2">
        <w:rPr>
          <w:rFonts w:cs="Times New Roman"/>
          <w:szCs w:val="24"/>
          <w:vertAlign w:val="superscript"/>
        </w:rPr>
        <w:t>1</w:t>
      </w:r>
      <w:r w:rsidRPr="008B05E2">
        <w:rPr>
          <w:rFonts w:cs="Times New Roman"/>
          <w:szCs w:val="24"/>
        </w:rPr>
        <w:t xml:space="preserve">Division of Nuclear Medicine, Department of Imaging and Pathology, University Hospital and KU Leuven, Leuven, Belgium; </w:t>
      </w:r>
      <w:r w:rsidRPr="008B05E2">
        <w:rPr>
          <w:rFonts w:cs="Times New Roman"/>
          <w:szCs w:val="24"/>
          <w:vertAlign w:val="superscript"/>
        </w:rPr>
        <w:t>2</w:t>
      </w:r>
      <w:r w:rsidRPr="008B05E2">
        <w:rPr>
          <w:rFonts w:cs="Times New Roman"/>
          <w:szCs w:val="24"/>
        </w:rPr>
        <w:t xml:space="preserve">Neuroscience Research &amp; Development, Janssen Pharmaceutica </w:t>
      </w:r>
      <w:r w:rsidRPr="009E12C8">
        <w:rPr>
          <w:rFonts w:cs="Times New Roman"/>
          <w:szCs w:val="24"/>
        </w:rPr>
        <w:t xml:space="preserve">NV, Beerse, Belgium; </w:t>
      </w:r>
      <w:r w:rsidRPr="009E12C8">
        <w:rPr>
          <w:rFonts w:cs="Times New Roman"/>
          <w:szCs w:val="24"/>
          <w:vertAlign w:val="superscript"/>
        </w:rPr>
        <w:t>3</w:t>
      </w:r>
      <w:r w:rsidRPr="009E12C8">
        <w:rPr>
          <w:rFonts w:cs="Times New Roman"/>
          <w:szCs w:val="24"/>
        </w:rPr>
        <w:t xml:space="preserve">Department of Pharmaceutical and Pharmacological Sciences, Center for Clinical Pharmacology, University Hospitals of Leuven, Leuven, Belgium; </w:t>
      </w:r>
      <w:r w:rsidRPr="009E12C8">
        <w:rPr>
          <w:rFonts w:cs="Times New Roman"/>
          <w:szCs w:val="24"/>
          <w:vertAlign w:val="superscript"/>
        </w:rPr>
        <w:t>4</w:t>
      </w:r>
      <w:r w:rsidRPr="009E12C8">
        <w:t xml:space="preserve">Clinical Pharmacology Unit, Janssen Research </w:t>
      </w:r>
      <w:r w:rsidRPr="008B05E2">
        <w:t>&amp; Development, Merksem, Belgium</w:t>
      </w:r>
      <w:r w:rsidRPr="008B05E2">
        <w:rPr>
          <w:rFonts w:cs="Times New Roman"/>
          <w:szCs w:val="24"/>
        </w:rPr>
        <w:t xml:space="preserve">; </w:t>
      </w:r>
      <w:r w:rsidRPr="008B05E2">
        <w:rPr>
          <w:rFonts w:cs="Times New Roman"/>
          <w:szCs w:val="24"/>
          <w:vertAlign w:val="superscript"/>
        </w:rPr>
        <w:t>5</w:t>
      </w:r>
      <w:r w:rsidRPr="008B05E2">
        <w:rPr>
          <w:rFonts w:cs="Times New Roman"/>
          <w:szCs w:val="24"/>
        </w:rPr>
        <w:t xml:space="preserve">Janssen Research &amp; Development, Titusville, New Jersey, USA; </w:t>
      </w:r>
      <w:r w:rsidRPr="008B05E2">
        <w:rPr>
          <w:rFonts w:cs="Times New Roman"/>
          <w:szCs w:val="24"/>
          <w:vertAlign w:val="superscript"/>
        </w:rPr>
        <w:t>6</w:t>
      </w:r>
      <w:r w:rsidRPr="008B05E2">
        <w:rPr>
          <w:rFonts w:cs="Times New Roman"/>
          <w:szCs w:val="24"/>
        </w:rPr>
        <w:t>Janssen Research &amp; Development, Beerse, Antwerp, Belgium;</w:t>
      </w:r>
      <w:r w:rsidRPr="008B05E2">
        <w:rPr>
          <w:rFonts w:cs="Times New Roman"/>
          <w:szCs w:val="24"/>
          <w:vertAlign w:val="superscript"/>
        </w:rPr>
        <w:t xml:space="preserve"> 7</w:t>
      </w:r>
      <w:r w:rsidRPr="008B05E2">
        <w:rPr>
          <w:rFonts w:cs="Times New Roman"/>
          <w:szCs w:val="24"/>
        </w:rPr>
        <w:t xml:space="preserve">Janssen Research &amp; Development, San Diego, California, USA; </w:t>
      </w:r>
      <w:r w:rsidRPr="008B05E2">
        <w:rPr>
          <w:rFonts w:cs="Times New Roman"/>
          <w:szCs w:val="24"/>
          <w:vertAlign w:val="superscript"/>
        </w:rPr>
        <w:t>8</w:t>
      </w:r>
      <w:r w:rsidRPr="008B05E2">
        <w:rPr>
          <w:rFonts w:cs="Times New Roman"/>
          <w:szCs w:val="24"/>
        </w:rPr>
        <w:t xml:space="preserve">Janssen Research &amp; Development, Spring House, Pennsylvania, USA; </w:t>
      </w:r>
      <w:r w:rsidRPr="008B05E2">
        <w:rPr>
          <w:rFonts w:cs="Times New Roman"/>
          <w:szCs w:val="24"/>
          <w:vertAlign w:val="superscript"/>
        </w:rPr>
        <w:t>9</w:t>
      </w:r>
      <w:r w:rsidRPr="008B05E2">
        <w:rPr>
          <w:rFonts w:cs="Times New Roman"/>
          <w:szCs w:val="24"/>
        </w:rPr>
        <w:t xml:space="preserve">Laboratory of Radiopharmaceutical Research of the KU Leuven, Leuven, Belgium; </w:t>
      </w:r>
      <w:r w:rsidRPr="008B05E2">
        <w:rPr>
          <w:rFonts w:cs="Times New Roman"/>
          <w:szCs w:val="24"/>
          <w:vertAlign w:val="superscript"/>
        </w:rPr>
        <w:t>1</w:t>
      </w:r>
      <w:r>
        <w:rPr>
          <w:rFonts w:cs="Times New Roman"/>
          <w:szCs w:val="24"/>
          <w:vertAlign w:val="superscript"/>
        </w:rPr>
        <w:t>0</w:t>
      </w:r>
      <w:r w:rsidRPr="008B05E2">
        <w:rPr>
          <w:rFonts w:cs="Times New Roman"/>
          <w:szCs w:val="24"/>
        </w:rPr>
        <w:t>MEPhI National Research Nuclear University, Moscow, Russia</w:t>
      </w:r>
      <w:r w:rsidRPr="008B05E2">
        <w:rPr>
          <w:rFonts w:cs="Times New Roman"/>
          <w:szCs w:val="24"/>
          <w:vertAlign w:val="superscript"/>
        </w:rPr>
        <w:t xml:space="preserve"> </w:t>
      </w:r>
    </w:p>
    <w:p w14:paraId="2D3CC632" w14:textId="77777777" w:rsidR="00FC17EF" w:rsidRPr="008B05E2" w:rsidRDefault="00FC17EF" w:rsidP="009F157C">
      <w:pPr>
        <w:rPr>
          <w:rFonts w:cs="Times New Roman"/>
          <w:b/>
          <w:szCs w:val="24"/>
        </w:rPr>
      </w:pPr>
      <w:r w:rsidRPr="008B05E2">
        <w:rPr>
          <w:rFonts w:cs="Times New Roman"/>
          <w:b/>
          <w:szCs w:val="24"/>
        </w:rPr>
        <w:t xml:space="preserve">*Corresponding author: </w:t>
      </w:r>
    </w:p>
    <w:p w14:paraId="0F8C3286" w14:textId="77777777" w:rsidR="00FC17EF" w:rsidRPr="008B05E2" w:rsidRDefault="00FC17EF" w:rsidP="009F157C">
      <w:pPr>
        <w:rPr>
          <w:rFonts w:cs="Times New Roman"/>
          <w:szCs w:val="24"/>
        </w:rPr>
      </w:pPr>
      <w:r w:rsidRPr="008B05E2">
        <w:rPr>
          <w:rFonts w:cs="Times New Roman"/>
          <w:szCs w:val="24"/>
        </w:rPr>
        <w:t>Mark E. Schmidt</w:t>
      </w:r>
    </w:p>
    <w:p w14:paraId="107B07AA" w14:textId="77777777" w:rsidR="00FC17EF" w:rsidRPr="008B05E2" w:rsidRDefault="00FC17EF" w:rsidP="009F157C">
      <w:pPr>
        <w:spacing w:before="0" w:after="0" w:line="240" w:lineRule="auto"/>
        <w:rPr>
          <w:rFonts w:cs="Times New Roman"/>
          <w:szCs w:val="24"/>
        </w:rPr>
      </w:pPr>
      <w:r w:rsidRPr="008B05E2">
        <w:rPr>
          <w:rFonts w:cs="Times New Roman"/>
          <w:szCs w:val="24"/>
        </w:rPr>
        <w:t>Neuroscience Research &amp; Development</w:t>
      </w:r>
    </w:p>
    <w:p w14:paraId="5AE1B516" w14:textId="77777777" w:rsidR="00FC17EF" w:rsidRPr="009E12C8" w:rsidRDefault="00FC17EF" w:rsidP="009F157C">
      <w:pPr>
        <w:spacing w:before="0" w:after="0" w:line="240" w:lineRule="auto"/>
        <w:rPr>
          <w:rFonts w:cs="Times New Roman"/>
          <w:szCs w:val="24"/>
          <w:lang w:val="fr-FR"/>
        </w:rPr>
      </w:pPr>
      <w:r w:rsidRPr="009E12C8">
        <w:rPr>
          <w:rFonts w:cs="Times New Roman"/>
          <w:szCs w:val="24"/>
          <w:lang w:val="fr-FR"/>
        </w:rPr>
        <w:t>Janssen Pharmaceutica NV, Post Code 2340</w:t>
      </w:r>
    </w:p>
    <w:p w14:paraId="1FECECE7" w14:textId="77777777" w:rsidR="00FC17EF" w:rsidRPr="008B05E2" w:rsidRDefault="00FC17EF" w:rsidP="009F157C">
      <w:pPr>
        <w:spacing w:before="0" w:after="0" w:line="240" w:lineRule="auto"/>
        <w:rPr>
          <w:rFonts w:cs="Times New Roman"/>
          <w:szCs w:val="24"/>
        </w:rPr>
      </w:pPr>
      <w:r w:rsidRPr="008B05E2">
        <w:rPr>
          <w:rFonts w:cs="Times New Roman"/>
          <w:szCs w:val="24"/>
        </w:rPr>
        <w:t>Beerse, Belgium</w:t>
      </w:r>
    </w:p>
    <w:p w14:paraId="5F492093" w14:textId="77777777" w:rsidR="00FC17EF" w:rsidRPr="008B05E2" w:rsidRDefault="00FC17EF" w:rsidP="009F157C">
      <w:pPr>
        <w:spacing w:before="0" w:after="0" w:line="240" w:lineRule="auto"/>
        <w:rPr>
          <w:rFonts w:cs="Times New Roman"/>
          <w:szCs w:val="24"/>
        </w:rPr>
      </w:pPr>
      <w:r w:rsidRPr="008B05E2">
        <w:rPr>
          <w:rFonts w:cs="Times New Roman"/>
          <w:szCs w:val="24"/>
        </w:rPr>
        <w:t>Telephone number: +32 1460 6399</w:t>
      </w:r>
    </w:p>
    <w:p w14:paraId="13738C42" w14:textId="77777777" w:rsidR="00FC17EF" w:rsidRPr="008B05E2" w:rsidRDefault="00FC17EF" w:rsidP="009F157C">
      <w:pPr>
        <w:pStyle w:val="BodyText12"/>
        <w:spacing w:line="240" w:lineRule="auto"/>
        <w:rPr>
          <w:sz w:val="24"/>
          <w:szCs w:val="24"/>
        </w:rPr>
      </w:pPr>
      <w:r w:rsidRPr="008B05E2">
        <w:rPr>
          <w:sz w:val="24"/>
          <w:szCs w:val="24"/>
        </w:rPr>
        <w:t xml:space="preserve">Email: </w:t>
      </w:r>
      <w:hyperlink r:id="rId7" w:history="1">
        <w:r w:rsidRPr="008B05E2">
          <w:rPr>
            <w:rStyle w:val="Hyperlink"/>
            <w:rFonts w:eastAsiaTheme="minorEastAsia"/>
            <w:sz w:val="24"/>
            <w:szCs w:val="24"/>
          </w:rPr>
          <w:t>MSCHMID4@its.jnj.com</w:t>
        </w:r>
      </w:hyperlink>
      <w:r w:rsidRPr="008B05E2">
        <w:rPr>
          <w:sz w:val="24"/>
          <w:szCs w:val="24"/>
        </w:rPr>
        <w:t xml:space="preserve"> </w:t>
      </w:r>
    </w:p>
    <w:p w14:paraId="52D8862F" w14:textId="77777777" w:rsidR="00FC17EF" w:rsidRPr="008B05E2" w:rsidRDefault="00FC17EF" w:rsidP="009F157C">
      <w:pPr>
        <w:spacing w:before="0" w:after="200" w:line="276" w:lineRule="auto"/>
        <w:rPr>
          <w:rFonts w:eastAsia="Times New Roman" w:cs="Times New Roman"/>
          <w:b/>
          <w:bCs/>
          <w:kern w:val="36"/>
          <w:szCs w:val="48"/>
        </w:rPr>
      </w:pPr>
      <w:r w:rsidRPr="008B05E2">
        <w:br w:type="page"/>
      </w:r>
    </w:p>
    <w:p w14:paraId="57A09A7B" w14:textId="77777777" w:rsidR="00FC17EF" w:rsidRPr="008B05E2" w:rsidRDefault="00FC17EF" w:rsidP="009F157C">
      <w:pPr>
        <w:pStyle w:val="Heading1"/>
      </w:pPr>
      <w:r w:rsidRPr="008B05E2">
        <w:lastRenderedPageBreak/>
        <w:t>Methods</w:t>
      </w:r>
    </w:p>
    <w:p w14:paraId="47533F9E" w14:textId="77777777" w:rsidR="00FC17EF" w:rsidRPr="008B05E2" w:rsidRDefault="00FC17EF" w:rsidP="009F157C">
      <w:pPr>
        <w:pStyle w:val="Heading2"/>
      </w:pPr>
      <w:r w:rsidRPr="008B05E2">
        <w:t>Study design</w:t>
      </w:r>
    </w:p>
    <w:p w14:paraId="5FBC6F8E" w14:textId="77777777" w:rsidR="00FC17EF" w:rsidRPr="008B05E2" w:rsidRDefault="00FC17EF" w:rsidP="009F157C">
      <w:pPr>
        <w:pStyle w:val="Heading3"/>
        <w:rPr>
          <w:color w:val="auto"/>
        </w:rPr>
      </w:pPr>
      <w:r w:rsidRPr="008B05E2">
        <w:rPr>
          <w:color w:val="auto"/>
        </w:rPr>
        <w:t>MAD study</w:t>
      </w:r>
    </w:p>
    <w:p w14:paraId="5B108EA6" w14:textId="77777777" w:rsidR="00FC17EF" w:rsidRPr="008B05E2" w:rsidRDefault="00FC17EF" w:rsidP="009F157C">
      <w:pPr>
        <w:rPr>
          <w:szCs w:val="24"/>
        </w:rPr>
      </w:pPr>
      <w:r w:rsidRPr="008B05E2">
        <w:rPr>
          <w:szCs w:val="24"/>
        </w:rPr>
        <w:t xml:space="preserve">Part 1 was conducted in young healthy men (18-55 years) to assess exposure of JNJ-42165279, </w:t>
      </w:r>
      <w:r>
        <w:rPr>
          <w:szCs w:val="24"/>
        </w:rPr>
        <w:t>fatty acid amide hydrolase (</w:t>
      </w:r>
      <w:r w:rsidRPr="008B05E2">
        <w:rPr>
          <w:szCs w:val="24"/>
        </w:rPr>
        <w:t>FAAH</w:t>
      </w:r>
      <w:r>
        <w:rPr>
          <w:szCs w:val="24"/>
        </w:rPr>
        <w:t>)</w:t>
      </w:r>
      <w:r w:rsidRPr="008B05E2">
        <w:rPr>
          <w:szCs w:val="24"/>
        </w:rPr>
        <w:t xml:space="preserve"> activity in leucocytes and FAA turnover in the plasma and cerebrospinal fluid (CSF). Volunteers were divided into three cohorts and received an oral suspension of JNJ-42165279 or placebo for 10 days (cohort A, 25 mg QD; cohort B, 75 mg QD; cohort E, 10 mg QD). Doses covering a range of in vivo potencies and found to be safe based on results from a previous phase 1 study including single ascending doses up to 250 mg and limited repeat doses of 100 mg in healthy men were selected. Part 2 was conducted in healthy women (non-child bearing potential, 18-55 years), and elderly men and women (55-85 years) to assess the pharmacokinetics, and peripheral pharmacodynamics of JNJ-42165279 and </w:t>
      </w:r>
      <w:r>
        <w:rPr>
          <w:szCs w:val="24"/>
        </w:rPr>
        <w:t xml:space="preserve">to </w:t>
      </w:r>
      <w:r w:rsidRPr="008B05E2">
        <w:rPr>
          <w:szCs w:val="24"/>
        </w:rPr>
        <w:t xml:space="preserve">evaluate the safety of higher exposures in volunteers relevant for anticipated therapeutic trials. Volunteers were divided into 2 cohorts (cohort C, healthy women, 100 mg QD; cohort D, elderly men and women, 100mg QD) and similarly received an oral suspension of JNJ-42165279 or placebo for 10 days. </w:t>
      </w:r>
    </w:p>
    <w:p w14:paraId="253D5E02" w14:textId="77777777" w:rsidR="00FC17EF" w:rsidRPr="008B05E2" w:rsidRDefault="00FC17EF" w:rsidP="009F157C">
      <w:pPr>
        <w:pStyle w:val="Heading3"/>
        <w:rPr>
          <w:color w:val="auto"/>
        </w:rPr>
      </w:pPr>
      <w:r w:rsidRPr="008B05E2">
        <w:rPr>
          <w:color w:val="auto"/>
        </w:rPr>
        <w:t>PET study</w:t>
      </w:r>
    </w:p>
    <w:p w14:paraId="3E4C3530" w14:textId="77777777" w:rsidR="00FC17EF" w:rsidRPr="008B05E2" w:rsidRDefault="00FC17EF" w:rsidP="009F157C">
      <w:pPr>
        <w:pStyle w:val="Heading2"/>
      </w:pPr>
      <w:r w:rsidRPr="008B05E2">
        <w:t>Assessments</w:t>
      </w:r>
    </w:p>
    <w:p w14:paraId="0CA150B3" w14:textId="77777777" w:rsidR="00FC17EF" w:rsidRPr="008B05E2" w:rsidRDefault="00FC17EF" w:rsidP="009F157C">
      <w:pPr>
        <w:pStyle w:val="Heading3"/>
        <w:rPr>
          <w:color w:val="auto"/>
        </w:rPr>
      </w:pPr>
      <w:r w:rsidRPr="008B05E2">
        <w:rPr>
          <w:color w:val="auto"/>
        </w:rPr>
        <w:t>Arterial blood sampling</w:t>
      </w:r>
    </w:p>
    <w:p w14:paraId="23A1A9D6" w14:textId="77777777" w:rsidR="00FC17EF" w:rsidRPr="008B05E2" w:rsidRDefault="00FC17EF" w:rsidP="009F157C">
      <w:pPr>
        <w:rPr>
          <w:rFonts w:cs="Times New Roman"/>
          <w:snapToGrid w:val="0"/>
          <w:szCs w:val="24"/>
        </w:rPr>
      </w:pPr>
      <w:r w:rsidRPr="008B05E2">
        <w:rPr>
          <w:rFonts w:cs="Times New Roman"/>
          <w:szCs w:val="24"/>
        </w:rPr>
        <w:t xml:space="preserve">Twenty-two 2 mL samples were collected every 10 seconds during the first 2 minutes and later with an increasing time interval between samples until the end of scan. Blood samples were </w:t>
      </w:r>
      <w:r w:rsidRPr="008B05E2">
        <w:rPr>
          <w:rFonts w:cs="Times New Roman"/>
          <w:snapToGrid w:val="0"/>
          <w:szCs w:val="24"/>
        </w:rPr>
        <w:t xml:space="preserve">centrifuged to separate the plasma. Plasma was weighed and radioactivity was measured with </w:t>
      </w:r>
      <w:r>
        <w:rPr>
          <w:rFonts w:cs="Times New Roman"/>
          <w:snapToGrid w:val="0"/>
          <w:szCs w:val="24"/>
        </w:rPr>
        <w:t xml:space="preserve">a </w:t>
      </w:r>
      <w:r w:rsidRPr="008B05E2">
        <w:rPr>
          <w:rFonts w:cs="Times New Roman"/>
          <w:snapToGrid w:val="0"/>
          <w:szCs w:val="24"/>
        </w:rPr>
        <w:t>Wallac-1480 gamma-counter (PerkinElmer,</w:t>
      </w:r>
      <w:r w:rsidRPr="008B05E2">
        <w:rPr>
          <w:rFonts w:cs="Times New Roman"/>
          <w:szCs w:val="24"/>
        </w:rPr>
        <w:t xml:space="preserve"> Waltham, MA, USA</w:t>
      </w:r>
      <w:r w:rsidRPr="008B05E2">
        <w:rPr>
          <w:rFonts w:cs="Times New Roman"/>
          <w:snapToGrid w:val="0"/>
          <w:szCs w:val="24"/>
        </w:rPr>
        <w:t xml:space="preserve">) to generate an arterial plasma input function (AIF). </w:t>
      </w:r>
    </w:p>
    <w:p w14:paraId="0BFD432C" w14:textId="77777777" w:rsidR="00FC17EF" w:rsidRPr="008B05E2" w:rsidRDefault="00FC17EF" w:rsidP="009F157C">
      <w:pPr>
        <w:jc w:val="both"/>
        <w:rPr>
          <w:snapToGrid w:val="0"/>
        </w:rPr>
      </w:pPr>
      <w:r w:rsidRPr="008B05E2">
        <w:rPr>
          <w:snapToGrid w:val="0"/>
        </w:rPr>
        <w:lastRenderedPageBreak/>
        <w:t>To correct the arterial input function (AIF) for radiometabolites, additional 5-m</w:t>
      </w:r>
      <w:r>
        <w:rPr>
          <w:snapToGrid w:val="0"/>
        </w:rPr>
        <w:t>L</w:t>
      </w:r>
      <w:r w:rsidRPr="008B05E2">
        <w:rPr>
          <w:snapToGrid w:val="0"/>
        </w:rPr>
        <w:t xml:space="preserve"> arterial samples were withdrawn at 5, 10, 15, 30, 45, and 60 minutes post tracer injection, collected in </w:t>
      </w:r>
      <w:r w:rsidRPr="008B05E2">
        <w:t>lithium-heparin-treated tubes and stored on ice.</w:t>
      </w:r>
      <w:r w:rsidRPr="008B05E2">
        <w:rPr>
          <w:snapToGrid w:val="0"/>
        </w:rPr>
        <w:t xml:space="preserve"> These blood samples were centrifuged (5 minutes, 4000 rpm, 4 °C) to separate the plasma. Acetonitrile (1.2 mL) was then added to the plasma (1 mL), the mixture was spiked with unlabeled MK3168 (2 µg) and centrifuged (5 minutes, 4000 rpm, 4 °C) to precipitate proteins. The supernatant (1.5 m</w:t>
      </w:r>
      <w:r>
        <w:rPr>
          <w:snapToGrid w:val="0"/>
        </w:rPr>
        <w:t>L</w:t>
      </w:r>
      <w:r w:rsidRPr="008B05E2">
        <w:rPr>
          <w:snapToGrid w:val="0"/>
        </w:rPr>
        <w:t>) was filtered through a 0.22 µm membrane filter (Millex GV, 13 mm diameter; Millipore, Bedford, USA), followed by a flush with air (1 m</w:t>
      </w:r>
      <w:r>
        <w:rPr>
          <w:snapToGrid w:val="0"/>
        </w:rPr>
        <w:t>L</w:t>
      </w:r>
      <w:r w:rsidRPr="008B05E2">
        <w:rPr>
          <w:snapToGrid w:val="0"/>
        </w:rPr>
        <w:t xml:space="preserve">). The filtrate was analyzed for </w:t>
      </w:r>
      <w:r>
        <w:rPr>
          <w:snapToGrid w:val="0"/>
        </w:rPr>
        <w:t>radio</w:t>
      </w:r>
      <w:r w:rsidRPr="008B05E2">
        <w:rPr>
          <w:snapToGrid w:val="0"/>
        </w:rPr>
        <w:t>metabolites by injection (0.5 m</w:t>
      </w:r>
      <w:r>
        <w:rPr>
          <w:snapToGrid w:val="0"/>
        </w:rPr>
        <w:t>L</w:t>
      </w:r>
      <w:r w:rsidRPr="008B05E2">
        <w:rPr>
          <w:snapToGrid w:val="0"/>
        </w:rPr>
        <w:t>) onto a high-performance liquid chromatography (HPLC) system consisting of an analytical XTerra column (C</w:t>
      </w:r>
      <w:r w:rsidRPr="008B05E2">
        <w:rPr>
          <w:snapToGrid w:val="0"/>
          <w:vertAlign w:val="subscript"/>
        </w:rPr>
        <w:t>18</w:t>
      </w:r>
      <w:r w:rsidRPr="008B05E2">
        <w:rPr>
          <w:snapToGrid w:val="0"/>
        </w:rPr>
        <w:t>, 5µm, 4.6 mm x 250 mm; Waters, Milford, MA, USA) and eluted with a mixture of sodium acetate 0.05M pH 5.5 and acetonitrile (55/</w:t>
      </w:r>
      <w:r>
        <w:rPr>
          <w:snapToGrid w:val="0"/>
        </w:rPr>
        <w:t>45 v/v) at a flow rate of 0.9 mL</w:t>
      </w:r>
      <w:r w:rsidRPr="008B05E2">
        <w:rPr>
          <w:snapToGrid w:val="0"/>
        </w:rPr>
        <w:t>/min. The HPLC eluate was collected manually in two fractions after passing the UV detector (261 nm) and radio detector. The first fraction was collected from the start of the injection until the elution of the top of the MK3168 peak in the UV channel (radiometabolite fraction). The second fraction was collected starting at 0.5 minutes (dead time between UV detector and eluate isolation valve) after the start of the MK3168 elution in the UV channel until the end of the analysis (parent fraction).</w:t>
      </w:r>
      <w:r w:rsidRPr="008B05E2">
        <w:t xml:space="preserve"> The radioactivity in each fraction was measured using an automated gamma counter.</w:t>
      </w:r>
    </w:p>
    <w:p w14:paraId="0E06ACF4" w14:textId="77777777" w:rsidR="00FC17EF" w:rsidRPr="008B05E2" w:rsidRDefault="00FC17EF" w:rsidP="009F157C">
      <w:pPr>
        <w:jc w:val="both"/>
        <w:rPr>
          <w:snapToGrid w:val="0"/>
        </w:rPr>
      </w:pPr>
      <w:r w:rsidRPr="008B05E2">
        <w:rPr>
          <w:snapToGrid w:val="0"/>
        </w:rPr>
        <w:t>Previous studies (data not shown) had demonstrated that 99% of parent tracer is present at 2.5 minutes post tracer injection (p.i.); therefore, parent tracer concentration as a function of time was fitted to a Hill function with a time delay</w:t>
      </w:r>
      <w:r>
        <w:rPr>
          <w:noProof/>
          <w:snapToGrid w:val="0"/>
        </w:rPr>
        <w:t>(1)</w:t>
      </w:r>
      <w:r w:rsidRPr="008B05E2">
        <w:rPr>
          <w:snapToGrid w:val="0"/>
        </w:rPr>
        <w:t>.</w:t>
      </w:r>
    </w:p>
    <w:p w14:paraId="3125C86F" w14:textId="77777777" w:rsidR="00FC17EF" w:rsidRPr="008B05E2" w:rsidRDefault="00FC17EF" w:rsidP="009F157C">
      <w:pPr>
        <w:pStyle w:val="Heading3"/>
        <w:rPr>
          <w:color w:val="auto"/>
        </w:rPr>
      </w:pPr>
      <w:r w:rsidRPr="008B05E2">
        <w:rPr>
          <w:color w:val="auto"/>
        </w:rPr>
        <w:t>Determination of FAAH activity in leucocytes</w:t>
      </w:r>
    </w:p>
    <w:p w14:paraId="11872238" w14:textId="77777777" w:rsidR="00FC17EF" w:rsidRPr="008B05E2" w:rsidRDefault="00FC17EF" w:rsidP="009F157C">
      <w:r w:rsidRPr="008B05E2">
        <w:t>Blood samples were collected in heparin</w:t>
      </w:r>
      <w:r w:rsidRPr="008B05E2">
        <w:noBreakHyphen/>
        <w:t>treated blood collection tubes at pre-dose and at specific time point</w:t>
      </w:r>
      <w:r>
        <w:t>’s</w:t>
      </w:r>
      <w:r w:rsidRPr="008B05E2">
        <w:t xml:space="preserve"> post</w:t>
      </w:r>
      <w:r w:rsidRPr="008B05E2">
        <w:noBreakHyphen/>
        <w:t xml:space="preserve">dose. Leucocytes were isolated after lysing </w:t>
      </w:r>
      <w:r>
        <w:t>red blood cells (</w:t>
      </w:r>
      <w:r w:rsidRPr="008B05E2">
        <w:t>RBCs</w:t>
      </w:r>
      <w:r>
        <w:t>)</w:t>
      </w:r>
      <w:r w:rsidRPr="008B05E2">
        <w:t xml:space="preserve"> with RBC lysing buffer and gentle inversion for 30 minutes, followed by centrifugation to </w:t>
      </w:r>
      <w:r w:rsidRPr="008B05E2">
        <w:lastRenderedPageBreak/>
        <w:t xml:space="preserve">collect the </w:t>
      </w:r>
      <w:r w:rsidRPr="008B05E2">
        <w:rPr>
          <w:szCs w:val="24"/>
        </w:rPr>
        <w:t>leucocyte cell pellet</w:t>
      </w:r>
      <w:r w:rsidRPr="008B05E2">
        <w:t xml:space="preserve">. The resulting cell pellet was washed, re-centrifuged to collect the final </w:t>
      </w:r>
      <w:r w:rsidRPr="008B05E2">
        <w:rPr>
          <w:szCs w:val="24"/>
        </w:rPr>
        <w:t xml:space="preserve">leucocyte cell </w:t>
      </w:r>
      <w:r w:rsidRPr="008B05E2">
        <w:t>pellet frozen on dry</w:t>
      </w:r>
      <w:r w:rsidRPr="008B05E2">
        <w:noBreakHyphen/>
        <w:t>ice and stored at -80</w:t>
      </w:r>
      <w:r w:rsidRPr="008B05E2">
        <w:rPr>
          <w:rFonts w:cstheme="minorHAnsi"/>
        </w:rPr>
        <w:t>°</w:t>
      </w:r>
      <w:r w:rsidRPr="008B05E2">
        <w:t>C until shipping on dry</w:t>
      </w:r>
      <w:r w:rsidRPr="008B05E2">
        <w:noBreakHyphen/>
        <w:t>ice for analysis of FAAH activity.</w:t>
      </w:r>
    </w:p>
    <w:p w14:paraId="0838744C" w14:textId="77777777" w:rsidR="00FC17EF" w:rsidRPr="008B05E2" w:rsidRDefault="00FC17EF" w:rsidP="009F157C">
      <w:pPr>
        <w:rPr>
          <w:rFonts w:cs="Times New Roman"/>
        </w:rPr>
      </w:pPr>
      <w:r w:rsidRPr="008B05E2">
        <w:t xml:space="preserve">Fatty acid amide hydrolase activity was determined by measuring the ability of </w:t>
      </w:r>
      <w:r w:rsidRPr="008B05E2">
        <w:rPr>
          <w:szCs w:val="24"/>
        </w:rPr>
        <w:t xml:space="preserve">leucocyte </w:t>
      </w:r>
      <w:r w:rsidRPr="008B05E2">
        <w:t xml:space="preserve">membrane homogenates to hydrolyze tritiated anandamide (substrate) into the products arachidonic acid and tritiated ethanolamine. Briefly, each </w:t>
      </w:r>
      <w:r w:rsidRPr="008B05E2">
        <w:rPr>
          <w:szCs w:val="24"/>
        </w:rPr>
        <w:t xml:space="preserve">leucocyte </w:t>
      </w:r>
      <w:r w:rsidRPr="008B05E2">
        <w:t xml:space="preserve">pellet was homogenized in 500 </w:t>
      </w:r>
      <w:r w:rsidRPr="008B05E2">
        <w:rPr>
          <w:rFonts w:cstheme="minorHAnsi"/>
        </w:rPr>
        <w:t>μ</w:t>
      </w:r>
      <w:r w:rsidRPr="008B05E2">
        <w:t>L of FAAH buffer (125 mM Tris HCl pH 8.0, 1 mM EDTA, 0.2% glycerol, 0.02% Triton X-100, 0.4 mM HEPES pH 8.0), and triplicate 50 </w:t>
      </w:r>
      <w:r w:rsidRPr="008B05E2">
        <w:rPr>
          <w:rFonts w:cstheme="minorHAnsi"/>
        </w:rPr>
        <w:t>μ</w:t>
      </w:r>
      <w:r w:rsidRPr="008B05E2">
        <w:t>L samples of the resulting homogenate were incubated with 80 nM [</w:t>
      </w:r>
      <w:r w:rsidRPr="008B05E2">
        <w:rPr>
          <w:vertAlign w:val="superscript"/>
        </w:rPr>
        <w:t>3</w:t>
      </w:r>
      <w:r w:rsidRPr="008B05E2">
        <w:t>H]</w:t>
      </w:r>
      <w:r w:rsidRPr="008B05E2">
        <w:noBreakHyphen/>
        <w:t>anandamide in a total volume of 100 </w:t>
      </w:r>
      <w:r w:rsidRPr="008B05E2">
        <w:rPr>
          <w:rFonts w:cstheme="minorHAnsi"/>
        </w:rPr>
        <w:t>μ</w:t>
      </w:r>
      <w:r w:rsidRPr="008B05E2">
        <w:t>L for 60 minutes. The reaction was stopped and uncleaved [</w:t>
      </w:r>
      <w:r w:rsidRPr="008B05E2">
        <w:rPr>
          <w:vertAlign w:val="superscript"/>
        </w:rPr>
        <w:t>3</w:t>
      </w:r>
      <w:r w:rsidRPr="008B05E2">
        <w:t>H]</w:t>
      </w:r>
      <w:r w:rsidRPr="008B05E2">
        <w:noBreakHyphen/>
        <w:t>anandamide separated from [</w:t>
      </w:r>
      <w:r w:rsidRPr="008B05E2">
        <w:rPr>
          <w:vertAlign w:val="superscript"/>
        </w:rPr>
        <w:t>3</w:t>
      </w:r>
      <w:r w:rsidRPr="008B05E2">
        <w:t>H]</w:t>
      </w:r>
      <w:r w:rsidRPr="008B05E2">
        <w:noBreakHyphen/>
        <w:t>ethanolamine by filtration through activated charcoal into scintillant and quantified by liquid scintillation. Due to inter volunteer variability of the activity of FAAH in leucocytes, the FAAH activity of each sample collected after JNJ</w:t>
      </w:r>
      <w:r w:rsidRPr="008B05E2">
        <w:noBreakHyphen/>
        <w:t>42165279 administration was expressed as the percent activity remaining compared to that individual participant’s pre-dose (baseline) value.</w:t>
      </w:r>
    </w:p>
    <w:p w14:paraId="78D232B1" w14:textId="77777777" w:rsidR="00FC17EF" w:rsidRPr="008B05E2" w:rsidRDefault="00FC17EF" w:rsidP="009F157C">
      <w:pPr>
        <w:pStyle w:val="Heading3"/>
        <w:rPr>
          <w:color w:val="auto"/>
        </w:rPr>
      </w:pPr>
      <w:r w:rsidRPr="008B05E2">
        <w:rPr>
          <w:color w:val="auto"/>
        </w:rPr>
        <w:t xml:space="preserve">Determination of </w:t>
      </w:r>
      <w:r w:rsidRPr="008B05E2">
        <w:rPr>
          <w:color w:val="auto"/>
          <w:shd w:val="clear" w:color="auto" w:fill="FFFFFF"/>
        </w:rPr>
        <w:t xml:space="preserve">FAAs in </w:t>
      </w:r>
      <w:r w:rsidRPr="008B05E2">
        <w:rPr>
          <w:color w:val="auto"/>
        </w:rPr>
        <w:t>CSF</w:t>
      </w:r>
    </w:p>
    <w:p w14:paraId="32EF9B26" w14:textId="77777777" w:rsidR="00FC17EF" w:rsidRPr="008B05E2" w:rsidRDefault="00FC17EF" w:rsidP="009F157C">
      <w:pPr>
        <w:rPr>
          <w:rFonts w:cs="Times New Roman"/>
          <w:szCs w:val="24"/>
        </w:rPr>
      </w:pPr>
      <w:r w:rsidRPr="008B05E2">
        <w:rPr>
          <w:rFonts w:cs="Times New Roman"/>
          <w:szCs w:val="24"/>
        </w:rPr>
        <w:t xml:space="preserve">CSF samples collected pre-dose and between 2-4 hours post-dose of JNJ-42165279 or placebo were centrifuged at 2000 x g for 10 minutes at room temperature and stored frozen at -80°C. CSF levels of AEA, OEA and AA were quantified by LC-MS/MS. The CSF samples or calibration standards combined with the internal standards (AEA-d4, OEA-d4, or AA-d8 as applicable) were isolated by liquid-liquid extraction using methyl t-butyl ether, centrifuged and the organic phase transferred to a clean glass tube, dried down under nitrogen at 40°C and reconstituted with 2-propanol/water (50:50, v/v). Aliquots were analyzed in triplicate using the Applied Biosystems/MDS Sciex API 5500 QTrap with a Shimadzu 30AD UFLC system. A linear regression (weighted 1/x2) was applied to a plot of the peak area ratio versus </w:t>
      </w:r>
      <w:r w:rsidRPr="008B05E2">
        <w:rPr>
          <w:rFonts w:cs="Times New Roman"/>
          <w:szCs w:val="24"/>
        </w:rPr>
        <w:lastRenderedPageBreak/>
        <w:t>concentration for the standards to obtain the calibration curves. The lower limits of quantification (LLOQ) for the assays were: 0.1 pg/mL for AEA, 5 pg/mL for OEA and 0.5 ng/mL for AA.</w:t>
      </w:r>
    </w:p>
    <w:p w14:paraId="2D1FDB8B" w14:textId="77777777" w:rsidR="00FC17EF" w:rsidRPr="008B05E2" w:rsidRDefault="00FC17EF" w:rsidP="009F157C">
      <w:pPr>
        <w:pStyle w:val="Heading1"/>
      </w:pPr>
      <w:bookmarkStart w:id="1" w:name="_Compartmental_modeling_1"/>
      <w:bookmarkEnd w:id="1"/>
      <w:r w:rsidRPr="008B05E2">
        <w:t>Baseline and competitive blocking µPET experiment in Rhesus monkey</w:t>
      </w:r>
    </w:p>
    <w:p w14:paraId="3A363C10" w14:textId="77777777" w:rsidR="00FC17EF" w:rsidRPr="008B05E2" w:rsidRDefault="00FC17EF" w:rsidP="009F157C">
      <w:pPr>
        <w:rPr>
          <w:szCs w:val="24"/>
        </w:rPr>
      </w:pPr>
      <w:r w:rsidRPr="008B05E2">
        <w:rPr>
          <w:szCs w:val="24"/>
        </w:rPr>
        <w:t>Dynamic µPET scans with [</w:t>
      </w:r>
      <w:r w:rsidRPr="008B05E2">
        <w:rPr>
          <w:szCs w:val="24"/>
          <w:vertAlign w:val="superscript"/>
        </w:rPr>
        <w:t>11</w:t>
      </w:r>
      <w:r w:rsidRPr="008B05E2">
        <w:rPr>
          <w:szCs w:val="24"/>
        </w:rPr>
        <w:t>C]MK3168 were acquired with a Focus 220 µPET scanner (Concorde Microsystems, Knoxville, TN, USA) on a male rhesus monkey (Macaca mulatta, 7 kg; Laboratory for Neuro- and Psychophysiology KU Leuven). The experiments were conducted according to the Belgian code of practice for the care and use of animals, after approval from the local University Ethics Committee for Animals. Sedation was performed by intramuscular injection of a combination of ketamine (Ketalar</w:t>
      </w:r>
      <w:r w:rsidRPr="008B05E2">
        <w:rPr>
          <w:szCs w:val="24"/>
          <w:vertAlign w:val="superscript"/>
        </w:rPr>
        <w:t>®</w:t>
      </w:r>
      <w:r w:rsidRPr="008B05E2">
        <w:rPr>
          <w:szCs w:val="24"/>
        </w:rPr>
        <w:t>) and medetomidine (Domitor</w:t>
      </w:r>
      <w:r w:rsidRPr="008B05E2">
        <w:rPr>
          <w:szCs w:val="24"/>
          <w:vertAlign w:val="superscript"/>
        </w:rPr>
        <w:t>®</w:t>
      </w:r>
      <w:r w:rsidRPr="008B05E2">
        <w:rPr>
          <w:szCs w:val="24"/>
        </w:rPr>
        <w:t>). During scanning, the monkey received additional doses of ketamine/ medetomidine via IV injection as needed to maintain sedation. The O</w:t>
      </w:r>
      <w:r w:rsidRPr="008B05E2">
        <w:rPr>
          <w:szCs w:val="24"/>
          <w:vertAlign w:val="subscript"/>
        </w:rPr>
        <w:t>2</w:t>
      </w:r>
      <w:r w:rsidRPr="008B05E2">
        <w:rPr>
          <w:szCs w:val="24"/>
        </w:rPr>
        <w:t xml:space="preserve"> and CO</w:t>
      </w:r>
      <w:r w:rsidRPr="008B05E2">
        <w:rPr>
          <w:szCs w:val="24"/>
          <w:vertAlign w:val="subscript"/>
        </w:rPr>
        <w:t>2</w:t>
      </w:r>
      <w:r w:rsidRPr="008B05E2">
        <w:rPr>
          <w:szCs w:val="24"/>
        </w:rPr>
        <w:t xml:space="preserve"> saturation in the blood and the heartbeat were constantly monitored. Temperature was regulated via a heating pad. The breathing frequency and the eye response were checked visually. The head of the animal was placed central in the field of view of the µPET scanner. The monkey was injected with 190-230 MBq (molar activity 170 GBq/µmol) of [</w:t>
      </w:r>
      <w:r w:rsidRPr="008B05E2">
        <w:rPr>
          <w:szCs w:val="24"/>
          <w:vertAlign w:val="superscript"/>
        </w:rPr>
        <w:t>11</w:t>
      </w:r>
      <w:r w:rsidRPr="008B05E2">
        <w:rPr>
          <w:szCs w:val="24"/>
        </w:rPr>
        <w:t xml:space="preserve">C]MK3168 via the vena saphena and scanned for 90 minutes at baseline (Part 1 µPET study) and after dosing with JNJ-42165279 (Part 2 µPET study). Scans were acquired in list mode, Fourier rebinned in 27 time frames and reconstructed using a maximum a posteriori iterative reconstruction. </w:t>
      </w:r>
      <w:r w:rsidRPr="00177820">
        <w:t>Magnetic resonance imaging</w:t>
      </w:r>
      <w:r>
        <w:t xml:space="preserve"> (</w:t>
      </w:r>
      <w:r w:rsidRPr="008B05E2">
        <w:rPr>
          <w:szCs w:val="24"/>
        </w:rPr>
        <w:t>MRI</w:t>
      </w:r>
      <w:r>
        <w:rPr>
          <w:szCs w:val="24"/>
        </w:rPr>
        <w:t>)</w:t>
      </w:r>
      <w:r w:rsidRPr="008B05E2">
        <w:rPr>
          <w:szCs w:val="24"/>
        </w:rPr>
        <w:t xml:space="preserve"> images were used as an anatomical reference and target for co-registration. Volumes of interest (VOIs) covering brain regions of interest were used to generate time activity curves (TAC) using PMOD software (v 3.2, PMOD Technologies Ltd.). The radioactivity concentration in the different brain regions was expressed as standardized uptake value (SUV) as a function of time post injection of the radiotracer by normalization for body weight of the animal and injected dose. </w:t>
      </w:r>
    </w:p>
    <w:p w14:paraId="4DAB001D" w14:textId="77777777" w:rsidR="00FC17EF" w:rsidRPr="008B05E2" w:rsidRDefault="00FC17EF" w:rsidP="009F157C">
      <w:pPr>
        <w:rPr>
          <w:szCs w:val="24"/>
        </w:rPr>
      </w:pPr>
      <w:r w:rsidRPr="008B05E2">
        <w:rPr>
          <w:szCs w:val="24"/>
        </w:rPr>
        <w:lastRenderedPageBreak/>
        <w:t>For the pre-blocking study, JNJ-42165279 was administered IV by bolus infusion at a dose of 2 mg/kg, 30 minutes prior to tracer injection. About 5 minutes after dosing, a 2- to 3- mL blood sample was taken for FAA and PK analysis. Another two blood samples of 2 to 3 mL (for FAA and PK analysis and for FAAH activity in the leucocyte) were collected at a relatively short period before tracer injection. These two samples were also taken during the baseline scan. Next, (about 30 minutes after dosing with JNJ-42165279) the monkey was injected with [</w:t>
      </w:r>
      <w:r w:rsidRPr="008B05E2">
        <w:rPr>
          <w:szCs w:val="24"/>
          <w:vertAlign w:val="superscript"/>
        </w:rPr>
        <w:t>11</w:t>
      </w:r>
      <w:r w:rsidRPr="008B05E2">
        <w:rPr>
          <w:szCs w:val="24"/>
        </w:rPr>
        <w:t>C]MK3168 and scanned for 90 minutes. Blood sampling (2 to 3 mL) was performed at 1 hour and 2.5 hours after JNJ-42165279 infusion for FAA and PK analysis. The baseline and pre-treatment scans were co-registered and analyzed for changes in standardized uptake value in VOIs known to have high target density.</w:t>
      </w:r>
    </w:p>
    <w:p w14:paraId="34302B42" w14:textId="77777777" w:rsidR="00FC17EF" w:rsidRPr="008B05E2" w:rsidRDefault="00FC17EF" w:rsidP="009F157C">
      <w:pPr>
        <w:rPr>
          <w:szCs w:val="24"/>
        </w:rPr>
      </w:pPr>
      <w:r w:rsidRPr="008B05E2">
        <w:rPr>
          <w:szCs w:val="24"/>
        </w:rPr>
        <w:t>Pretreatment with JNJ</w:t>
      </w:r>
      <w:r w:rsidRPr="008B05E2">
        <w:rPr>
          <w:szCs w:val="24"/>
        </w:rPr>
        <w:noBreakHyphen/>
        <w:t>42165279 resulted in a significant decrease in tracer binding in cerebellum and grey matter, showing that the tracer and the FAAH inhibitor JNJ42165279 bind to the same target binding site</w:t>
      </w:r>
      <w:r>
        <w:rPr>
          <w:szCs w:val="24"/>
        </w:rPr>
        <w:t xml:space="preserve"> (Figure S5</w:t>
      </w:r>
      <w:r w:rsidRPr="008B05E2">
        <w:rPr>
          <w:szCs w:val="24"/>
        </w:rPr>
        <w:t>).</w:t>
      </w:r>
    </w:p>
    <w:p w14:paraId="36F84AD5" w14:textId="77777777" w:rsidR="00FC17EF" w:rsidRPr="008B05E2" w:rsidRDefault="00FC17EF" w:rsidP="009F157C">
      <w:pPr>
        <w:pStyle w:val="Heading1"/>
      </w:pPr>
      <w:r w:rsidRPr="008B05E2">
        <w:t xml:space="preserve">Human leucocytes ex vivo binding study </w:t>
      </w:r>
    </w:p>
    <w:p w14:paraId="6E5BAEA2" w14:textId="77777777" w:rsidR="00FC17EF" w:rsidRPr="008B05E2" w:rsidRDefault="00FC17EF" w:rsidP="009F157C">
      <w:pPr>
        <w:rPr>
          <w:rFonts w:cs="Times New Roman"/>
          <w:szCs w:val="24"/>
        </w:rPr>
      </w:pPr>
      <w:r w:rsidRPr="008B05E2">
        <w:rPr>
          <w:rFonts w:cs="Times New Roman"/>
          <w:szCs w:val="24"/>
        </w:rPr>
        <w:t xml:space="preserve">Human leucocytes were obtained according to the procedure for labeling of leucocytes with </w:t>
      </w:r>
      <w:r w:rsidRPr="008B05E2">
        <w:rPr>
          <w:rFonts w:cs="Times New Roman"/>
          <w:szCs w:val="24"/>
          <w:vertAlign w:val="superscript"/>
        </w:rPr>
        <w:t>99m</w:t>
      </w:r>
      <w:r w:rsidRPr="008B05E2">
        <w:rPr>
          <w:rFonts w:cs="Times New Roman"/>
          <w:szCs w:val="24"/>
        </w:rPr>
        <w:t>Tc-HMPAO with some minor changes</w:t>
      </w:r>
      <w:r>
        <w:rPr>
          <w:rFonts w:cs="Times New Roman"/>
          <w:noProof/>
          <w:szCs w:val="24"/>
        </w:rPr>
        <w:t>(2)</w:t>
      </w:r>
      <w:r w:rsidRPr="008B05E2">
        <w:rPr>
          <w:rFonts w:cs="Times New Roman"/>
          <w:szCs w:val="24"/>
        </w:rPr>
        <w:t>.</w:t>
      </w:r>
    </w:p>
    <w:p w14:paraId="4E477436" w14:textId="77777777" w:rsidR="00FC17EF" w:rsidRPr="008B05E2" w:rsidRDefault="00FC17EF" w:rsidP="009F157C">
      <w:pPr>
        <w:jc w:val="both"/>
        <w:rPr>
          <w:rFonts w:cs="Times New Roman"/>
          <w:szCs w:val="24"/>
        </w:rPr>
      </w:pPr>
      <w:r w:rsidRPr="008B05E2">
        <w:rPr>
          <w:rFonts w:cs="Times New Roman"/>
          <w:szCs w:val="24"/>
        </w:rPr>
        <w:t xml:space="preserve">Human blood (6 mL) </w:t>
      </w:r>
      <w:r>
        <w:rPr>
          <w:rFonts w:cs="Times New Roman"/>
          <w:szCs w:val="24"/>
        </w:rPr>
        <w:t xml:space="preserve">was </w:t>
      </w:r>
      <w:r w:rsidRPr="008B05E2">
        <w:rPr>
          <w:rFonts w:cs="Times New Roman"/>
          <w:szCs w:val="24"/>
        </w:rPr>
        <w:t>collected in a 10 mL syringe containing 1.2 mL anti-coagulant buffer (ACD buffer) and 240 µL of 2% methyl cellulose, was mixed and left for 45 minutes to sediment RBCs. The supernatant (thrombocytes + leucocytes) was separated and centrifuged (5 minutes, 140g, room temperature) to obtain the leucocyte cell pellet. The leucocyte pellet was re-suspended in normal saline (2.25 mL) and transferred to harvester tubes (n=6; 375 µL per tube). A volume of 25 µL of either DMSO (vehicle; n=3) or 200 µM JNJ-42165279 solution in DMSO (n=3) was added to the isolated leucocytes, followed by incubation at room temperature (15 minutes).</w:t>
      </w:r>
    </w:p>
    <w:p w14:paraId="26422318" w14:textId="77777777" w:rsidR="00FC17EF" w:rsidRPr="008B05E2" w:rsidRDefault="00FC17EF" w:rsidP="009F157C">
      <w:pPr>
        <w:rPr>
          <w:rFonts w:cs="Times New Roman"/>
          <w:szCs w:val="24"/>
        </w:rPr>
      </w:pPr>
      <w:r w:rsidRPr="008B05E2">
        <w:rPr>
          <w:rFonts w:cs="Times New Roman"/>
          <w:szCs w:val="24"/>
        </w:rPr>
        <w:lastRenderedPageBreak/>
        <w:t xml:space="preserve">In the next step, freshly produced </w:t>
      </w:r>
      <w:r w:rsidRPr="008B05E2">
        <w:rPr>
          <w:rFonts w:eastAsiaTheme="minorHAnsi" w:cs="Times New Roman"/>
          <w:szCs w:val="24"/>
          <w:lang w:val="en-GB" w:eastAsia="en-US"/>
        </w:rPr>
        <w:t>[</w:t>
      </w:r>
      <w:r w:rsidRPr="008B05E2">
        <w:rPr>
          <w:rFonts w:eastAsiaTheme="minorHAnsi" w:cs="Times New Roman"/>
          <w:szCs w:val="24"/>
          <w:vertAlign w:val="superscript"/>
          <w:lang w:val="en-GB" w:eastAsia="en-US"/>
        </w:rPr>
        <w:t>11</w:t>
      </w:r>
      <w:r w:rsidRPr="008B05E2">
        <w:rPr>
          <w:rFonts w:eastAsiaTheme="minorHAnsi" w:cs="Times New Roman"/>
          <w:szCs w:val="24"/>
          <w:lang w:val="en-GB" w:eastAsia="en-US"/>
        </w:rPr>
        <w:t>C]MK3168</w:t>
      </w:r>
      <w:r w:rsidRPr="008B05E2">
        <w:rPr>
          <w:rFonts w:eastAsiaTheme="minorHAnsi" w:cs="Times New Roman"/>
          <w:szCs w:val="24"/>
          <w:lang w:val="en-GB"/>
        </w:rPr>
        <w:t xml:space="preserve"> </w:t>
      </w:r>
      <w:r w:rsidRPr="008B05E2">
        <w:rPr>
          <w:rFonts w:cs="Times New Roman"/>
          <w:szCs w:val="24"/>
        </w:rPr>
        <w:t xml:space="preserve">[0.37 MBq in 20 µL; </w:t>
      </w:r>
      <w:r>
        <w:rPr>
          <w:rFonts w:cs="Times New Roman"/>
          <w:szCs w:val="24"/>
        </w:rPr>
        <w:t>molar</w:t>
      </w:r>
      <w:r w:rsidRPr="008B05E2">
        <w:rPr>
          <w:rFonts w:cs="Times New Roman"/>
          <w:szCs w:val="24"/>
        </w:rPr>
        <w:t xml:space="preserve"> activity 122 GBq/µmol; 7.14 nM] was added to each of the above described harvester tubes (n=6, and also to three empty tubes in order to be able to count and calculate the average added radioactivity), incubated (33 minutes, room temperature), filtered, rinsed (saline) and the radioactivity on the filters (n=3), the left over in the harvester tubes (n=6) and in the empty tubes (n=3) was measured using a gamma counter.</w:t>
      </w:r>
    </w:p>
    <w:p w14:paraId="524923A3" w14:textId="77777777" w:rsidR="00FC17EF" w:rsidRPr="008B05E2" w:rsidRDefault="00FC17EF" w:rsidP="009F157C">
      <w:pPr>
        <w:rPr>
          <w:szCs w:val="24"/>
        </w:rPr>
      </w:pPr>
      <w:r w:rsidRPr="008B05E2">
        <w:rPr>
          <w:rFonts w:cs="Times New Roman"/>
          <w:szCs w:val="24"/>
        </w:rPr>
        <w:t xml:space="preserve">The percentage </w:t>
      </w:r>
      <w:r w:rsidRPr="008B05E2">
        <w:rPr>
          <w:rFonts w:eastAsiaTheme="minorHAnsi" w:cs="Times New Roman"/>
          <w:szCs w:val="24"/>
          <w:lang w:val="en-GB" w:eastAsia="en-US"/>
        </w:rPr>
        <w:t>[</w:t>
      </w:r>
      <w:r w:rsidRPr="008B05E2">
        <w:rPr>
          <w:rFonts w:eastAsiaTheme="minorHAnsi" w:cs="Times New Roman"/>
          <w:szCs w:val="24"/>
          <w:vertAlign w:val="superscript"/>
          <w:lang w:val="en-GB" w:eastAsia="en-US"/>
        </w:rPr>
        <w:t>11</w:t>
      </w:r>
      <w:r w:rsidRPr="008B05E2">
        <w:rPr>
          <w:rFonts w:eastAsiaTheme="minorHAnsi" w:cs="Times New Roman"/>
          <w:szCs w:val="24"/>
          <w:lang w:val="en-GB" w:eastAsia="en-US"/>
        </w:rPr>
        <w:t xml:space="preserve">C]MK3168 </w:t>
      </w:r>
      <w:r w:rsidRPr="008B05E2">
        <w:rPr>
          <w:rFonts w:cs="Times New Roman"/>
          <w:szCs w:val="24"/>
        </w:rPr>
        <w:t>radioactivity in leucocytes reduced by 24% when leucocytes were incubated with JNJ-42165279 (0.67±0.26 %) compared to the vehicle DMSO (0.88±0.21 %), further supporting the competition of MK3168 and JNJ42165279 for the FAAH catalytic site (Table S5).</w:t>
      </w:r>
    </w:p>
    <w:p w14:paraId="5AE90ED6" w14:textId="77777777" w:rsidR="00FC17EF" w:rsidRPr="008B05E2" w:rsidRDefault="00FC17EF" w:rsidP="009F157C">
      <w:pPr>
        <w:pStyle w:val="Heading1"/>
      </w:pPr>
      <w:r w:rsidRPr="008B05E2">
        <w:t>Compartmental modeling</w:t>
      </w:r>
    </w:p>
    <w:p w14:paraId="39EB13CA" w14:textId="77777777" w:rsidR="00FC17EF" w:rsidRPr="008B05E2" w:rsidRDefault="00FC17EF" w:rsidP="009F157C">
      <w:pPr>
        <w:rPr>
          <w:rFonts w:cs="Times New Roman"/>
          <w:szCs w:val="24"/>
        </w:rPr>
      </w:pPr>
      <w:r w:rsidRPr="008B05E2">
        <w:rPr>
          <w:rFonts w:cs="Times New Roman"/>
          <w:szCs w:val="24"/>
        </w:rPr>
        <w:t xml:space="preserve">Several PET tracers have been identified for visualizing FAAH expression and quantifying inhibition by FAAH inhibitors. Like </w:t>
      </w:r>
      <w:r w:rsidRPr="008B05E2">
        <w:rPr>
          <w:rFonts w:cs="Times New Roman"/>
        </w:rPr>
        <w:t>[</w:t>
      </w:r>
      <w:r w:rsidRPr="008B05E2">
        <w:rPr>
          <w:rFonts w:cs="Times New Roman"/>
          <w:vertAlign w:val="superscript"/>
        </w:rPr>
        <w:t>11</w:t>
      </w:r>
      <w:r w:rsidRPr="008B05E2">
        <w:rPr>
          <w:rFonts w:cs="Times New Roman"/>
        </w:rPr>
        <w:t>C]MK3168</w:t>
      </w:r>
      <w:r w:rsidRPr="008B05E2">
        <w:rPr>
          <w:rFonts w:cs="Times New Roman"/>
          <w:szCs w:val="24"/>
        </w:rPr>
        <w:t xml:space="preserve"> they are all derived from FAAH inhibitors that target the catalytic site although most ([</w:t>
      </w:r>
      <w:r w:rsidRPr="008B05E2">
        <w:rPr>
          <w:rFonts w:cs="Times New Roman"/>
          <w:szCs w:val="24"/>
          <w:vertAlign w:val="superscript"/>
        </w:rPr>
        <w:t>11</w:t>
      </w:r>
      <w:r w:rsidRPr="008B05E2">
        <w:rPr>
          <w:rFonts w:cs="Times New Roman"/>
          <w:szCs w:val="24"/>
        </w:rPr>
        <w:t>C]-CURB, [</w:t>
      </w:r>
      <w:r w:rsidRPr="008B05E2">
        <w:rPr>
          <w:rFonts w:cs="Times New Roman"/>
          <w:szCs w:val="24"/>
          <w:vertAlign w:val="superscript"/>
        </w:rPr>
        <w:t>18</w:t>
      </w:r>
      <w:r w:rsidRPr="008B05E2">
        <w:rPr>
          <w:rFonts w:cs="Times New Roman"/>
          <w:szCs w:val="24"/>
        </w:rPr>
        <w:t xml:space="preserve">F]-PF-9811, </w:t>
      </w:r>
      <w:r w:rsidRPr="008B05E2">
        <w:rPr>
          <w:rFonts w:cs="Times New Roman"/>
          <w:szCs w:val="24"/>
          <w:vertAlign w:val="superscript"/>
        </w:rPr>
        <w:t>18</w:t>
      </w:r>
      <w:r w:rsidRPr="008B05E2">
        <w:rPr>
          <w:rFonts w:cs="Times New Roman"/>
          <w:szCs w:val="24"/>
        </w:rPr>
        <w:t>F-DOPP) are irreversible inhibitors, binding covalently to the enzyme</w:t>
      </w:r>
      <w:r>
        <w:rPr>
          <w:rFonts w:cs="Times New Roman"/>
          <w:noProof/>
          <w:szCs w:val="24"/>
        </w:rPr>
        <w:t>(3-5)</w:t>
      </w:r>
      <w:r w:rsidRPr="008B05E2">
        <w:rPr>
          <w:rFonts w:cs="Times New Roman"/>
          <w:szCs w:val="24"/>
        </w:rPr>
        <w:t xml:space="preserve">. All of these tracers could be modeled with an irreversible two-tissue model. </w:t>
      </w:r>
      <w:r w:rsidRPr="008B05E2">
        <w:rPr>
          <w:rFonts w:cs="Times New Roman"/>
        </w:rPr>
        <w:t>[</w:t>
      </w:r>
      <w:r w:rsidRPr="008B05E2">
        <w:rPr>
          <w:rFonts w:cs="Times New Roman"/>
          <w:vertAlign w:val="superscript"/>
        </w:rPr>
        <w:t>11</w:t>
      </w:r>
      <w:r w:rsidRPr="008B05E2">
        <w:rPr>
          <w:rFonts w:cs="Times New Roman"/>
        </w:rPr>
        <w:t xml:space="preserve">C]MK3168 was selected </w:t>
      </w:r>
      <w:r w:rsidRPr="008B05E2">
        <w:rPr>
          <w:rFonts w:cs="Times New Roman"/>
          <w:szCs w:val="24"/>
        </w:rPr>
        <w:t xml:space="preserve">anticipating that the reversible nature of </w:t>
      </w:r>
      <w:r w:rsidRPr="008B05E2">
        <w:rPr>
          <w:rFonts w:cs="Times New Roman"/>
        </w:rPr>
        <w:t>[</w:t>
      </w:r>
      <w:r w:rsidRPr="008B05E2">
        <w:rPr>
          <w:rFonts w:cs="Times New Roman"/>
          <w:vertAlign w:val="superscript"/>
        </w:rPr>
        <w:t>11</w:t>
      </w:r>
      <w:r w:rsidRPr="008B05E2">
        <w:rPr>
          <w:rFonts w:cs="Times New Roman"/>
        </w:rPr>
        <w:t xml:space="preserve">C]MK3168 </w:t>
      </w:r>
      <w:r w:rsidRPr="008B05E2">
        <w:rPr>
          <w:rFonts w:cs="Times New Roman"/>
          <w:szCs w:val="24"/>
        </w:rPr>
        <w:t xml:space="preserve">binding to FAAH may allow binding potential estimation that was less flow dependent and after confirming the ability of JNJ-42165279 to compete with binding of </w:t>
      </w:r>
      <w:r w:rsidRPr="008B05E2">
        <w:rPr>
          <w:rFonts w:cs="Times New Roman"/>
        </w:rPr>
        <w:t>[</w:t>
      </w:r>
      <w:r w:rsidRPr="008B05E2">
        <w:rPr>
          <w:rFonts w:cs="Times New Roman"/>
          <w:vertAlign w:val="superscript"/>
        </w:rPr>
        <w:t>11</w:t>
      </w:r>
      <w:r w:rsidRPr="008B05E2">
        <w:rPr>
          <w:rFonts w:cs="Times New Roman"/>
        </w:rPr>
        <w:t>C]MK3168</w:t>
      </w:r>
      <w:r w:rsidRPr="008B05E2">
        <w:rPr>
          <w:rFonts w:cs="Times New Roman"/>
          <w:szCs w:val="24"/>
        </w:rPr>
        <w:t xml:space="preserve">. The data did in fact fit a reversible two-tissue compartment model. However the rapid binding of the tracer to the target complicated the separation of free and bound compartments. </w:t>
      </w:r>
    </w:p>
    <w:p w14:paraId="0A630361" w14:textId="77777777" w:rsidR="00FC17EF" w:rsidRPr="008B05E2" w:rsidRDefault="00FC17EF" w:rsidP="009F157C">
      <w:r w:rsidRPr="008B05E2">
        <w:t xml:space="preserve">To overcome this, we tested a Lassen plot approach. The Lassen plot is widely used for enzyme occupancy estimation </w:t>
      </w:r>
      <w:r>
        <w:rPr>
          <w:noProof/>
        </w:rPr>
        <w:t>(6, 7)</w:t>
      </w:r>
      <w:r w:rsidRPr="008B05E2">
        <w:t xml:space="preserve"> as binding potential calculations can suffer from more </w:t>
      </w:r>
      <w:r w:rsidRPr="008B05E2">
        <w:lastRenderedPageBreak/>
        <w:t>uncertainties than distribution volume and can be useful when no reference region representing negligible specific binding is available (</w:t>
      </w:r>
      <w:hyperlink w:anchor="_Figure_S1._Lassen_1" w:history="1">
        <w:r w:rsidRPr="008B05E2">
          <w:rPr>
            <w:rStyle w:val="Hyperlink"/>
          </w:rPr>
          <w:t>Figure S</w:t>
        </w:r>
      </w:hyperlink>
      <w:r>
        <w:rPr>
          <w:rStyle w:val="Hyperlink"/>
        </w:rPr>
        <w:t>6</w:t>
      </w:r>
      <w:r w:rsidRPr="008B05E2">
        <w:t xml:space="preserve">). </w:t>
      </w:r>
    </w:p>
    <w:p w14:paraId="13854F4C" w14:textId="77777777" w:rsidR="00FC17EF" w:rsidRPr="008B05E2" w:rsidRDefault="00FC17EF" w:rsidP="009F157C">
      <w:pPr>
        <w:rPr>
          <w:rFonts w:cs="Times New Roman"/>
          <w:szCs w:val="24"/>
        </w:rPr>
      </w:pPr>
      <w:bookmarkStart w:id="2" w:name="_Figure_S1._Lassen"/>
      <w:bookmarkEnd w:id="2"/>
      <w:r w:rsidRPr="008B05E2">
        <w:rPr>
          <w:rFonts w:cs="Times New Roman"/>
          <w:szCs w:val="24"/>
        </w:rPr>
        <w:t>The Lassen plot supposes that the non-displaceable distribution volume V</w:t>
      </w:r>
      <w:r w:rsidRPr="008B05E2">
        <w:rPr>
          <w:rFonts w:cs="Times New Roman"/>
          <w:szCs w:val="24"/>
          <w:vertAlign w:val="subscript"/>
        </w:rPr>
        <w:t>ND</w:t>
      </w:r>
      <w:r w:rsidRPr="008B05E2">
        <w:rPr>
          <w:rFonts w:cs="Times New Roman"/>
          <w:szCs w:val="24"/>
        </w:rPr>
        <w:t xml:space="preserve"> remains the same between scans to overcome the influence of flow to the measurements and also depends on having a range of regions with differing target density </w:t>
      </w:r>
      <w:r>
        <w:rPr>
          <w:rFonts w:cs="Times New Roman"/>
          <w:noProof/>
          <w:szCs w:val="24"/>
        </w:rPr>
        <w:t>(8)</w:t>
      </w:r>
      <w:r w:rsidRPr="008B05E2">
        <w:rPr>
          <w:rFonts w:cs="Times New Roman"/>
          <w:szCs w:val="24"/>
        </w:rPr>
        <w:t xml:space="preserve">. This proved to limit the reliability of the Lassen plot with this tracer, as extensive and abundant distribution of FAAH throughout the brain results in very similar kinetics in all regions of interest. As a result, occupancy estimation with a Lassen plot failed in a number of cases. This compelled us to fixing K1/k2 measured during the post JNJ-42165279 treatment scans as an estimation of the non-displacement distribution volume. This solution converged successfully in each participant. K1/k2 was assumed to represent the free compartment fraction, which may be an approximation as the “blocking conditions” are different for each volunteer at different JNJ-42165279 doses. </w:t>
      </w:r>
    </w:p>
    <w:p w14:paraId="7C3FCCC7" w14:textId="77777777" w:rsidR="00FC17EF" w:rsidRPr="008B05E2" w:rsidRDefault="00FC17EF" w:rsidP="009F157C">
      <w:pPr>
        <w:pStyle w:val="Heading1"/>
      </w:pPr>
      <w:bookmarkStart w:id="3" w:name="_Figure_S3._Parent"/>
      <w:bookmarkStart w:id="4" w:name="_Ref395015002"/>
      <w:bookmarkStart w:id="5" w:name="_Toc411276300"/>
      <w:bookmarkStart w:id="6" w:name="_Toc388590137"/>
      <w:bookmarkEnd w:id="3"/>
      <w:r w:rsidRPr="008B05E2">
        <w:t>Statistical analysis</w:t>
      </w:r>
    </w:p>
    <w:p w14:paraId="369FFB02" w14:textId="77777777" w:rsidR="00FC17EF" w:rsidRPr="009E12C8" w:rsidRDefault="00FC17EF" w:rsidP="009F157C">
      <w:pPr>
        <w:rPr>
          <w:rFonts w:ascii="Times" w:hAnsi="Times" w:cs="Times"/>
          <w:szCs w:val="24"/>
        </w:rPr>
      </w:pPr>
      <w:r w:rsidRPr="000045E9">
        <w:rPr>
          <w:rFonts w:cs="Times New Roman"/>
        </w:rPr>
        <w:t xml:space="preserve">For the </w:t>
      </w:r>
      <w:r w:rsidRPr="00DA7CD0">
        <w:rPr>
          <w:rFonts w:cs="Times New Roman"/>
        </w:rPr>
        <w:t xml:space="preserve">MAD and PET studies, formal statistical calculations of sample size are not appropriate. For the MAD study, the number of volunteers were customary to the sample size employed in early development dose escalation study, which is expected to allow clinical judgment of safety and tolerability and to allow assessment of the pharmacokinetic profile. For the PET study, the number of </w:t>
      </w:r>
      <w:r w:rsidRPr="009E12C8">
        <w:rPr>
          <w:rFonts w:ascii="Times" w:hAnsi="Times" w:cs="Times"/>
        </w:rPr>
        <w:t>volunteers were based on the variability observed in earlier in-house PET studies. The randomization a</w:t>
      </w:r>
      <w:r w:rsidRPr="009E12C8">
        <w:rPr>
          <w:rFonts w:ascii="Times" w:hAnsi="Times" w:cs="Times"/>
          <w:szCs w:val="24"/>
        </w:rPr>
        <w:t xml:space="preserve">ssignment for the MAD study was based on a computer-generated randomization schedule using permuted blocks. </w:t>
      </w:r>
      <w:r w:rsidRPr="009E12C8">
        <w:rPr>
          <w:rFonts w:ascii="Times" w:eastAsia="Times New Roman" w:hAnsi="Times" w:cs="Times"/>
          <w:szCs w:val="24"/>
        </w:rPr>
        <w:t xml:space="preserve">Randomization numbers were assigned in sequential order to volunteer as they qualified for study participation, immediately before the first administration of study drug on Day 1. </w:t>
      </w:r>
      <w:r w:rsidRPr="009E12C8">
        <w:rPr>
          <w:rFonts w:ascii="Times" w:hAnsi="Times" w:cs="Times"/>
          <w:szCs w:val="24"/>
        </w:rPr>
        <w:t xml:space="preserve">The computer-generated randomization schedule was prepared before the study under the supervision of the sponsor. </w:t>
      </w:r>
      <w:r w:rsidRPr="009E12C8">
        <w:rPr>
          <w:rFonts w:ascii="Times" w:hAnsi="Times" w:cs="Times"/>
          <w:szCs w:val="24"/>
        </w:rPr>
        <w:lastRenderedPageBreak/>
        <w:t xml:space="preserve">The un-blinded pharmacist or properly trained designee prepared the study drug based on the computer-generated randomization schedule. </w:t>
      </w:r>
    </w:p>
    <w:p w14:paraId="326D5A5D" w14:textId="77777777" w:rsidR="00FC17EF" w:rsidRPr="008B05E2" w:rsidRDefault="00FC17EF" w:rsidP="009F157C">
      <w:pPr>
        <w:rPr>
          <w:rFonts w:cs="Times New Roman"/>
          <w:szCs w:val="24"/>
        </w:rPr>
      </w:pPr>
      <w:r w:rsidRPr="009E12C8">
        <w:rPr>
          <w:rFonts w:ascii="Times" w:hAnsi="Times" w:cs="Times"/>
          <w:szCs w:val="24"/>
        </w:rPr>
        <w:t>The primary PK parameters of interest were the log-transformed plasma JNJ-42165279 AUC</w:t>
      </w:r>
      <w:r w:rsidRPr="009E12C8">
        <w:rPr>
          <w:rFonts w:ascii="Times" w:hAnsi="Times" w:cs="Times"/>
          <w:szCs w:val="24"/>
          <w:vertAlign w:val="subscript"/>
        </w:rPr>
        <w:t>τ</w:t>
      </w:r>
      <w:r w:rsidRPr="009E12C8">
        <w:rPr>
          <w:rFonts w:ascii="Times" w:hAnsi="Times" w:cs="Times"/>
          <w:szCs w:val="24"/>
        </w:rPr>
        <w:t xml:space="preserve"> and C</w:t>
      </w:r>
      <w:r w:rsidRPr="009E12C8">
        <w:rPr>
          <w:rFonts w:ascii="Times" w:hAnsi="Times" w:cs="Times"/>
          <w:szCs w:val="24"/>
          <w:vertAlign w:val="subscript"/>
        </w:rPr>
        <w:t>max</w:t>
      </w:r>
      <w:r w:rsidRPr="009E12C8">
        <w:rPr>
          <w:rFonts w:ascii="Times" w:hAnsi="Times" w:cs="Times"/>
          <w:szCs w:val="24"/>
        </w:rPr>
        <w:t xml:space="preserve"> on day 1 and day 10. To test for accumulation, a mixed effect analysis of variance (ANOVA) model was used to compare plasma JNJ-42165279 AUC</w:t>
      </w:r>
      <w:r w:rsidRPr="009E12C8">
        <w:rPr>
          <w:rFonts w:ascii="Times" w:hAnsi="Times" w:cs="Times"/>
          <w:szCs w:val="24"/>
          <w:vertAlign w:val="subscript"/>
        </w:rPr>
        <w:t>τ</w:t>
      </w:r>
      <w:r w:rsidRPr="009E12C8">
        <w:rPr>
          <w:rFonts w:ascii="Times" w:hAnsi="Times" w:cs="Times"/>
          <w:szCs w:val="24"/>
        </w:rPr>
        <w:t xml:space="preserve"> and C</w:t>
      </w:r>
      <w:r w:rsidRPr="009E12C8">
        <w:rPr>
          <w:rFonts w:ascii="Times" w:hAnsi="Times" w:cs="Times"/>
          <w:szCs w:val="24"/>
          <w:vertAlign w:val="subscript"/>
        </w:rPr>
        <w:t>max</w:t>
      </w:r>
      <w:r w:rsidRPr="009E12C8">
        <w:rPr>
          <w:rFonts w:ascii="Times" w:hAnsi="Times" w:cs="Times"/>
          <w:szCs w:val="24"/>
        </w:rPr>
        <w:t xml:space="preserve"> on day</w:t>
      </w:r>
      <w:r w:rsidRPr="008B05E2">
        <w:rPr>
          <w:rFonts w:cs="Times New Roman"/>
          <w:szCs w:val="24"/>
        </w:rPr>
        <w:t xml:space="preserve"> 10 versus AUC</w:t>
      </w:r>
      <w:r w:rsidRPr="008B05E2">
        <w:rPr>
          <w:rFonts w:cs="Times New Roman"/>
          <w:szCs w:val="24"/>
          <w:vertAlign w:val="subscript"/>
        </w:rPr>
        <w:t>τ</w:t>
      </w:r>
      <w:r w:rsidRPr="008B05E2">
        <w:rPr>
          <w:rFonts w:cs="Times New Roman"/>
          <w:szCs w:val="24"/>
        </w:rPr>
        <w:t xml:space="preserve"> and C</w:t>
      </w:r>
      <w:r w:rsidRPr="008B05E2">
        <w:rPr>
          <w:rFonts w:cs="Times New Roman"/>
          <w:szCs w:val="24"/>
          <w:vertAlign w:val="subscript"/>
        </w:rPr>
        <w:t>max</w:t>
      </w:r>
      <w:r w:rsidRPr="008B05E2">
        <w:rPr>
          <w:rFonts w:cs="Times New Roman"/>
          <w:szCs w:val="24"/>
        </w:rPr>
        <w:t xml:space="preserve"> on day 1. The estimated least square means (LSM) and appropriate 90% confidence intervals (CIs) for the differences between the PK parameters were calculated. Quality of Working Memory (QWM) was determined from working and episodic memory tasks. Change from baseline data for each cognitive performance variable and ARCI</w:t>
      </w:r>
      <w:r>
        <w:rPr>
          <w:rFonts w:cs="Times New Roman"/>
          <w:szCs w:val="24"/>
        </w:rPr>
        <w:t>‒</w:t>
      </w:r>
      <w:r w:rsidRPr="008B05E2">
        <w:rPr>
          <w:rFonts w:cs="Times New Roman"/>
          <w:szCs w:val="24"/>
        </w:rPr>
        <w:t>53 group scores were evaluated by an Analysis of Covariance (ANCOVA) with treatment, time-point, and treatment</w:t>
      </w:r>
      <w:r>
        <w:rPr>
          <w:rFonts w:cs="Times New Roman"/>
          <w:szCs w:val="24"/>
        </w:rPr>
        <w:t>×</w:t>
      </w:r>
      <w:r w:rsidRPr="008B05E2">
        <w:rPr>
          <w:rFonts w:cs="Times New Roman"/>
          <w:szCs w:val="24"/>
        </w:rPr>
        <w:t>time</w:t>
      </w:r>
      <w:r>
        <w:rPr>
          <w:rFonts w:cs="Times New Roman"/>
          <w:szCs w:val="24"/>
        </w:rPr>
        <w:t>‒</w:t>
      </w:r>
      <w:r w:rsidRPr="008B05E2">
        <w:rPr>
          <w:rFonts w:cs="Times New Roman"/>
          <w:szCs w:val="24"/>
        </w:rPr>
        <w:t>point as fixed effects. Each time point was fitted as a repeated effect. Volunteer</w:t>
      </w:r>
      <w:r>
        <w:rPr>
          <w:rFonts w:cs="Times New Roman"/>
          <w:szCs w:val="24"/>
        </w:rPr>
        <w:t>s</w:t>
      </w:r>
      <w:r w:rsidRPr="008B05E2">
        <w:rPr>
          <w:rFonts w:cs="Times New Roman"/>
          <w:szCs w:val="24"/>
        </w:rPr>
        <w:t xml:space="preserve"> within treatment was fitted as random effect and baseline data were used as covariate in the analysis. Effects were tested using two-sided tests at alpha=0.05 for a difference versus placebo. No adjustments for multiple comparisons were made as these were exploratory endpoints.</w:t>
      </w:r>
    </w:p>
    <w:p w14:paraId="28306513" w14:textId="77777777" w:rsidR="00FC17EF" w:rsidRPr="003700AB" w:rsidRDefault="00FC17EF" w:rsidP="009F157C">
      <w:pPr>
        <w:rPr>
          <w:rFonts w:cs="Times New Roman"/>
          <w:szCs w:val="24"/>
        </w:rPr>
      </w:pPr>
      <w:r w:rsidRPr="008B05E2">
        <w:rPr>
          <w:rFonts w:cs="Times New Roman"/>
          <w:szCs w:val="24"/>
        </w:rPr>
        <w:t xml:space="preserve">Descriptive statistics were calculated for each laboratory analyte, vital signs, ECG parameters, and evaluated relative to normal reference ranges and change during treatment. All reported </w:t>
      </w:r>
      <w:r>
        <w:rPr>
          <w:rFonts w:cs="Times New Roman"/>
          <w:szCs w:val="24"/>
        </w:rPr>
        <w:t>treatment emergent adverse events (</w:t>
      </w:r>
      <w:r w:rsidRPr="008B05E2">
        <w:rPr>
          <w:rFonts w:cs="Times New Roman"/>
          <w:szCs w:val="24"/>
        </w:rPr>
        <w:t>TEAEs</w:t>
      </w:r>
      <w:r>
        <w:rPr>
          <w:rFonts w:cs="Times New Roman"/>
          <w:szCs w:val="24"/>
        </w:rPr>
        <w:t>)</w:t>
      </w:r>
      <w:r w:rsidRPr="008B05E2">
        <w:rPr>
          <w:rFonts w:cs="Times New Roman"/>
          <w:szCs w:val="24"/>
        </w:rPr>
        <w:t xml:space="preserve"> were evaluated per cohort and relative to placebo volunteers.</w:t>
      </w:r>
    </w:p>
    <w:p w14:paraId="63A241B9" w14:textId="77777777" w:rsidR="00FC17EF" w:rsidRPr="000045E9" w:rsidRDefault="00FC17EF" w:rsidP="009F157C">
      <w:pPr>
        <w:autoSpaceDE w:val="0"/>
        <w:autoSpaceDN w:val="0"/>
        <w:spacing w:before="0" w:after="0" w:line="360" w:lineRule="auto"/>
        <w:rPr>
          <w:rFonts w:ascii="TimesNewRoman" w:hAnsi="TimesNewRoman"/>
          <w:szCs w:val="24"/>
          <w:lang w:eastAsia="en-IN"/>
        </w:rPr>
        <w:sectPr w:rsidR="00FC17EF" w:rsidRPr="000045E9" w:rsidSect="00420AB3">
          <w:footerReference w:type="default" r:id="rId8"/>
          <w:pgSz w:w="11906" w:h="16838"/>
          <w:pgMar w:top="1440" w:right="1440" w:bottom="1440" w:left="1440" w:header="708" w:footer="708" w:gutter="0"/>
          <w:lnNumType w:countBy="1" w:restart="continuous"/>
          <w:cols w:space="708"/>
          <w:docGrid w:linePitch="360"/>
        </w:sectPr>
      </w:pPr>
      <w:r>
        <w:rPr>
          <w:rFonts w:ascii="TimesNewRoman" w:eastAsia="Times New Roman" w:hAnsi="TimesNewRoman"/>
          <w:szCs w:val="24"/>
        </w:rPr>
        <w:br/>
      </w:r>
    </w:p>
    <w:p w14:paraId="62C03C68" w14:textId="77777777" w:rsidR="00FC17EF" w:rsidRPr="009E12C8" w:rsidRDefault="00FC17EF" w:rsidP="009F157C">
      <w:pPr>
        <w:pStyle w:val="Heading2"/>
        <w:rPr>
          <w:rStyle w:val="Hyperlink"/>
          <w:color w:val="auto"/>
          <w:u w:val="none"/>
        </w:rPr>
      </w:pPr>
      <w:bookmarkStart w:id="7" w:name="_Table_S1:_Baseline"/>
      <w:bookmarkEnd w:id="7"/>
      <w:r w:rsidRPr="009E12C8">
        <w:rPr>
          <w:rStyle w:val="Hyperlink"/>
          <w:color w:val="auto"/>
          <w:u w:val="none"/>
        </w:rPr>
        <w:lastRenderedPageBreak/>
        <w:t>Table S1. Baseline demographics</w:t>
      </w:r>
    </w:p>
    <w:tbl>
      <w:tblPr>
        <w:tblW w:w="4679" w:type="pct"/>
        <w:jc w:val="center"/>
        <w:tblCellMar>
          <w:left w:w="67" w:type="dxa"/>
          <w:right w:w="67" w:type="dxa"/>
        </w:tblCellMar>
        <w:tblLook w:val="0000" w:firstRow="0" w:lastRow="0" w:firstColumn="0" w:lastColumn="0" w:noHBand="0" w:noVBand="0"/>
      </w:tblPr>
      <w:tblGrid>
        <w:gridCol w:w="2322"/>
        <w:gridCol w:w="1390"/>
        <w:gridCol w:w="1170"/>
        <w:gridCol w:w="1297"/>
        <w:gridCol w:w="1263"/>
        <w:gridCol w:w="1459"/>
        <w:gridCol w:w="1226"/>
        <w:gridCol w:w="1226"/>
        <w:gridCol w:w="1859"/>
      </w:tblGrid>
      <w:tr w:rsidR="009E12C8" w:rsidRPr="009E12C8" w14:paraId="4AA25FAD" w14:textId="77777777" w:rsidTr="009F157C">
        <w:trPr>
          <w:cantSplit/>
          <w:tblHeader/>
          <w:jc w:val="center"/>
        </w:trPr>
        <w:tc>
          <w:tcPr>
            <w:tcW w:w="2322" w:type="dxa"/>
            <w:tcBorders>
              <w:top w:val="single" w:sz="4" w:space="0" w:color="auto"/>
              <w:right w:val="single" w:sz="4" w:space="0" w:color="D9D9D9" w:themeColor="background1" w:themeShade="D9"/>
            </w:tcBorders>
            <w:shd w:val="clear" w:color="auto" w:fill="FFFFFF"/>
          </w:tcPr>
          <w:p w14:paraId="03DA58B2" w14:textId="77777777" w:rsidR="00FC17EF" w:rsidRPr="009E12C8" w:rsidRDefault="00FC17EF" w:rsidP="009F157C">
            <w:pPr>
              <w:spacing w:before="0" w:after="0" w:line="240" w:lineRule="auto"/>
              <w:jc w:val="center"/>
              <w:rPr>
                <w:rFonts w:cs="Times New Roman"/>
                <w:b/>
                <w:szCs w:val="24"/>
              </w:rPr>
            </w:pPr>
          </w:p>
        </w:tc>
        <w:tc>
          <w:tcPr>
            <w:tcW w:w="6579" w:type="dxa"/>
            <w:gridSpan w:val="5"/>
            <w:tcBorders>
              <w:top w:val="single" w:sz="4" w:space="0" w:color="auto"/>
              <w:left w:val="single" w:sz="4" w:space="0" w:color="D9D9D9" w:themeColor="background1" w:themeShade="D9"/>
              <w:right w:val="single" w:sz="4" w:space="0" w:color="D9D9D9" w:themeColor="background1" w:themeShade="D9"/>
            </w:tcBorders>
            <w:shd w:val="clear" w:color="auto" w:fill="FFFFFF"/>
          </w:tcPr>
          <w:p w14:paraId="6A896241" w14:textId="77777777" w:rsidR="00FC17EF" w:rsidRPr="009E12C8" w:rsidRDefault="00FC17EF" w:rsidP="009F157C">
            <w:pPr>
              <w:keepNext/>
              <w:tabs>
                <w:tab w:val="left" w:pos="288"/>
                <w:tab w:val="left" w:pos="576"/>
                <w:tab w:val="left" w:pos="864"/>
              </w:tabs>
              <w:spacing w:before="0" w:after="0" w:line="240" w:lineRule="auto"/>
              <w:jc w:val="center"/>
              <w:rPr>
                <w:rFonts w:eastAsia="Times New Roman" w:cs="Times New Roman"/>
                <w:b/>
                <w:szCs w:val="24"/>
                <w:lang w:eastAsia="en-US"/>
              </w:rPr>
            </w:pPr>
            <w:r w:rsidRPr="009E12C8">
              <w:rPr>
                <w:rFonts w:eastAsia="Times New Roman" w:cs="Times New Roman"/>
                <w:b/>
                <w:szCs w:val="24"/>
                <w:lang w:eastAsia="en-US"/>
              </w:rPr>
              <w:t>MAD Study</w:t>
            </w:r>
          </w:p>
        </w:tc>
        <w:tc>
          <w:tcPr>
            <w:tcW w:w="2452" w:type="dxa"/>
            <w:gridSpan w:val="2"/>
            <w:tcBorders>
              <w:top w:val="single" w:sz="4" w:space="0" w:color="auto"/>
              <w:left w:val="single" w:sz="4" w:space="0" w:color="D9D9D9" w:themeColor="background1" w:themeShade="D9"/>
              <w:right w:val="single" w:sz="4" w:space="0" w:color="auto"/>
            </w:tcBorders>
            <w:shd w:val="clear" w:color="auto" w:fill="FFFFFF"/>
          </w:tcPr>
          <w:p w14:paraId="338B3D4B" w14:textId="77777777" w:rsidR="00FC17EF" w:rsidRPr="009E12C8" w:rsidRDefault="00FC17EF" w:rsidP="009F157C">
            <w:pPr>
              <w:spacing w:before="0" w:after="0" w:line="240" w:lineRule="auto"/>
              <w:jc w:val="center"/>
              <w:rPr>
                <w:rFonts w:cs="Times New Roman"/>
                <w:b/>
                <w:szCs w:val="24"/>
              </w:rPr>
            </w:pPr>
          </w:p>
        </w:tc>
        <w:tc>
          <w:tcPr>
            <w:tcW w:w="1859" w:type="dxa"/>
            <w:tcBorders>
              <w:top w:val="single" w:sz="4" w:space="0" w:color="auto"/>
              <w:left w:val="single" w:sz="4" w:space="0" w:color="auto"/>
            </w:tcBorders>
            <w:shd w:val="clear" w:color="auto" w:fill="FFFFFF"/>
          </w:tcPr>
          <w:p w14:paraId="7FBB2C60" w14:textId="77777777" w:rsidR="00FC17EF" w:rsidRPr="009E12C8" w:rsidRDefault="00FC17EF" w:rsidP="009F157C">
            <w:pPr>
              <w:spacing w:before="0" w:after="0" w:line="240" w:lineRule="auto"/>
              <w:jc w:val="center"/>
              <w:rPr>
                <w:rFonts w:cs="Times New Roman"/>
                <w:b/>
                <w:szCs w:val="24"/>
              </w:rPr>
            </w:pPr>
            <w:r w:rsidRPr="009E12C8">
              <w:rPr>
                <w:rFonts w:cs="Times New Roman"/>
                <w:b/>
                <w:szCs w:val="24"/>
              </w:rPr>
              <w:t>PET Study</w:t>
            </w:r>
          </w:p>
        </w:tc>
      </w:tr>
      <w:tr w:rsidR="009E12C8" w:rsidRPr="009E12C8" w14:paraId="262B4D96" w14:textId="77777777" w:rsidTr="009F157C">
        <w:trPr>
          <w:cantSplit/>
          <w:tblHeader/>
          <w:jc w:val="center"/>
        </w:trPr>
        <w:tc>
          <w:tcPr>
            <w:tcW w:w="2322" w:type="dxa"/>
            <w:tcBorders>
              <w:right w:val="single" w:sz="4" w:space="0" w:color="D9D9D9" w:themeColor="background1" w:themeShade="D9"/>
            </w:tcBorders>
            <w:shd w:val="clear" w:color="auto" w:fill="FFFFFF"/>
          </w:tcPr>
          <w:p w14:paraId="523D52FA" w14:textId="77777777" w:rsidR="00FC17EF" w:rsidRPr="009E12C8" w:rsidRDefault="00FC17EF" w:rsidP="009F157C">
            <w:pPr>
              <w:spacing w:before="0" w:after="0" w:line="240" w:lineRule="auto"/>
              <w:jc w:val="center"/>
              <w:rPr>
                <w:rFonts w:cs="Times New Roman"/>
                <w:szCs w:val="24"/>
              </w:rPr>
            </w:pPr>
          </w:p>
        </w:tc>
        <w:tc>
          <w:tcPr>
            <w:tcW w:w="3857" w:type="dxa"/>
            <w:gridSpan w:val="3"/>
            <w:tcBorders>
              <w:left w:val="single" w:sz="4" w:space="0" w:color="D9D9D9" w:themeColor="background1" w:themeShade="D9"/>
              <w:bottom w:val="single" w:sz="4" w:space="0" w:color="auto"/>
            </w:tcBorders>
            <w:shd w:val="clear" w:color="auto" w:fill="FFFFFF"/>
          </w:tcPr>
          <w:p w14:paraId="15A52693" w14:textId="77777777" w:rsidR="00FC17EF" w:rsidRPr="009E12C8" w:rsidRDefault="00FC17EF" w:rsidP="009F157C">
            <w:pPr>
              <w:spacing w:before="0" w:after="0" w:line="240" w:lineRule="auto"/>
              <w:jc w:val="center"/>
              <w:rPr>
                <w:rFonts w:cs="Times New Roman"/>
                <w:szCs w:val="24"/>
              </w:rPr>
            </w:pPr>
            <w:r w:rsidRPr="009E12C8">
              <w:rPr>
                <w:rFonts w:eastAsia="Times New Roman" w:cs="Times New Roman"/>
                <w:szCs w:val="24"/>
                <w:lang w:eastAsia="en-US"/>
              </w:rPr>
              <w:t>Young men</w:t>
            </w:r>
          </w:p>
        </w:tc>
        <w:tc>
          <w:tcPr>
            <w:tcW w:w="1263" w:type="dxa"/>
            <w:tcBorders>
              <w:bottom w:val="single" w:sz="4" w:space="0" w:color="auto"/>
            </w:tcBorders>
            <w:shd w:val="clear" w:color="auto" w:fill="FFFFFF"/>
          </w:tcPr>
          <w:p w14:paraId="7BC5A280"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szCs w:val="24"/>
                <w:lang w:eastAsia="en-US"/>
              </w:rPr>
            </w:pPr>
            <w:r w:rsidRPr="009E12C8">
              <w:rPr>
                <w:rFonts w:eastAsia="Times New Roman" w:cs="Times New Roman"/>
                <w:szCs w:val="24"/>
                <w:lang w:eastAsia="en-US"/>
              </w:rPr>
              <w:t>Young women</w:t>
            </w:r>
          </w:p>
        </w:tc>
        <w:tc>
          <w:tcPr>
            <w:tcW w:w="1459" w:type="dxa"/>
            <w:tcBorders>
              <w:bottom w:val="single" w:sz="4" w:space="0" w:color="auto"/>
              <w:right w:val="single" w:sz="4" w:space="0" w:color="D9D9D9" w:themeColor="background1" w:themeShade="D9"/>
            </w:tcBorders>
            <w:shd w:val="clear" w:color="auto" w:fill="FFFFFF"/>
          </w:tcPr>
          <w:p w14:paraId="67F8052E"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szCs w:val="24"/>
                <w:lang w:eastAsia="en-US"/>
              </w:rPr>
            </w:pPr>
            <w:r w:rsidRPr="009E12C8">
              <w:rPr>
                <w:rFonts w:eastAsia="Times New Roman" w:cs="Times New Roman"/>
                <w:szCs w:val="24"/>
                <w:lang w:eastAsia="en-US"/>
              </w:rPr>
              <w:t>Elderly men and women</w:t>
            </w:r>
          </w:p>
        </w:tc>
        <w:tc>
          <w:tcPr>
            <w:tcW w:w="2452" w:type="dxa"/>
            <w:gridSpan w:val="2"/>
            <w:tcBorders>
              <w:left w:val="single" w:sz="4" w:space="0" w:color="D9D9D9" w:themeColor="background1" w:themeShade="D9"/>
              <w:bottom w:val="single" w:sz="4" w:space="0" w:color="auto"/>
              <w:right w:val="single" w:sz="4" w:space="0" w:color="auto"/>
            </w:tcBorders>
            <w:shd w:val="clear" w:color="auto" w:fill="FFFFFF"/>
          </w:tcPr>
          <w:p w14:paraId="30EB9924" w14:textId="77777777" w:rsidR="00FC17EF" w:rsidRPr="009E12C8" w:rsidRDefault="00FC17EF" w:rsidP="009F157C">
            <w:pPr>
              <w:spacing w:before="0" w:after="0" w:line="240" w:lineRule="auto"/>
              <w:jc w:val="center"/>
              <w:rPr>
                <w:rFonts w:cs="Times New Roman"/>
                <w:szCs w:val="24"/>
              </w:rPr>
            </w:pPr>
            <w:r w:rsidRPr="009E12C8">
              <w:rPr>
                <w:rFonts w:cs="Times New Roman"/>
                <w:szCs w:val="24"/>
              </w:rPr>
              <w:t>Healthy men</w:t>
            </w:r>
          </w:p>
        </w:tc>
        <w:tc>
          <w:tcPr>
            <w:tcW w:w="1859" w:type="dxa"/>
            <w:tcBorders>
              <w:left w:val="single" w:sz="4" w:space="0" w:color="auto"/>
            </w:tcBorders>
            <w:shd w:val="clear" w:color="auto" w:fill="FFFFFF"/>
          </w:tcPr>
          <w:p w14:paraId="595ED557" w14:textId="77777777" w:rsidR="00FC17EF" w:rsidRPr="009E12C8" w:rsidRDefault="00FC17EF" w:rsidP="009F157C">
            <w:pPr>
              <w:spacing w:before="0" w:after="0" w:line="240" w:lineRule="auto"/>
              <w:jc w:val="center"/>
              <w:rPr>
                <w:rFonts w:cs="Times New Roman"/>
                <w:szCs w:val="24"/>
              </w:rPr>
            </w:pPr>
          </w:p>
        </w:tc>
      </w:tr>
      <w:tr w:rsidR="009E12C8" w:rsidRPr="009E12C8" w14:paraId="29645838" w14:textId="77777777" w:rsidTr="009F157C">
        <w:trPr>
          <w:cantSplit/>
          <w:trHeight w:val="783"/>
          <w:tblHeader/>
          <w:jc w:val="center"/>
        </w:trPr>
        <w:tc>
          <w:tcPr>
            <w:tcW w:w="2322" w:type="dxa"/>
            <w:tcBorders>
              <w:bottom w:val="single" w:sz="4" w:space="0" w:color="auto"/>
              <w:right w:val="single" w:sz="4" w:space="0" w:color="D9D9D9" w:themeColor="background1" w:themeShade="D9"/>
            </w:tcBorders>
            <w:shd w:val="clear" w:color="auto" w:fill="FFFFFF"/>
            <w:vAlign w:val="bottom"/>
          </w:tcPr>
          <w:p w14:paraId="664C4B4E" w14:textId="77777777" w:rsidR="00FC17EF" w:rsidRPr="009E12C8" w:rsidRDefault="00FC17EF" w:rsidP="009F157C">
            <w:pPr>
              <w:spacing w:before="0" w:after="0" w:line="240" w:lineRule="auto"/>
              <w:rPr>
                <w:rFonts w:cs="Times New Roman"/>
                <w:szCs w:val="24"/>
              </w:rPr>
            </w:pPr>
            <w:bookmarkStart w:id="8" w:name="IDX"/>
            <w:bookmarkEnd w:id="8"/>
          </w:p>
        </w:tc>
        <w:tc>
          <w:tcPr>
            <w:tcW w:w="1390" w:type="dxa"/>
            <w:tcBorders>
              <w:top w:val="single" w:sz="4" w:space="0" w:color="auto"/>
              <w:left w:val="single" w:sz="4" w:space="0" w:color="D9D9D9" w:themeColor="background1" w:themeShade="D9"/>
              <w:bottom w:val="single" w:sz="4" w:space="0" w:color="auto"/>
            </w:tcBorders>
            <w:shd w:val="clear" w:color="auto" w:fill="FFFFFF"/>
          </w:tcPr>
          <w:p w14:paraId="17F1EB0C" w14:textId="77777777" w:rsidR="00FC17EF" w:rsidRPr="009E12C8" w:rsidRDefault="00FC17EF" w:rsidP="009F157C">
            <w:pPr>
              <w:spacing w:before="0" w:after="0" w:line="240" w:lineRule="auto"/>
              <w:rPr>
                <w:rFonts w:cs="Times New Roman"/>
                <w:szCs w:val="24"/>
              </w:rPr>
            </w:pPr>
            <w:r w:rsidRPr="009E12C8">
              <w:rPr>
                <w:rFonts w:cs="Times New Roman"/>
                <w:szCs w:val="24"/>
              </w:rPr>
              <w:t>Placebo</w:t>
            </w:r>
            <w:r w:rsidRPr="009E12C8">
              <w:rPr>
                <w:rFonts w:cs="Times New Roman"/>
                <w:szCs w:val="24"/>
              </w:rPr>
              <w:br/>
              <w:t xml:space="preserve">(n=8) </w:t>
            </w:r>
          </w:p>
        </w:tc>
        <w:tc>
          <w:tcPr>
            <w:tcW w:w="1170" w:type="dxa"/>
            <w:tcBorders>
              <w:top w:val="single" w:sz="4" w:space="0" w:color="auto"/>
              <w:bottom w:val="single" w:sz="4" w:space="0" w:color="auto"/>
            </w:tcBorders>
            <w:shd w:val="clear" w:color="auto" w:fill="FFFFFF"/>
          </w:tcPr>
          <w:p w14:paraId="36D2DA91" w14:textId="77777777" w:rsidR="00FC17EF" w:rsidRPr="009E12C8" w:rsidRDefault="00FC17EF" w:rsidP="009F157C">
            <w:pPr>
              <w:spacing w:before="0" w:after="0" w:line="240" w:lineRule="auto"/>
              <w:rPr>
                <w:rFonts w:cs="Times New Roman"/>
                <w:szCs w:val="24"/>
              </w:rPr>
            </w:pPr>
            <w:r w:rsidRPr="009E12C8">
              <w:rPr>
                <w:rFonts w:cs="Times New Roman"/>
                <w:szCs w:val="24"/>
              </w:rPr>
              <w:t>25 mg</w:t>
            </w:r>
          </w:p>
          <w:p w14:paraId="5217B0C9" w14:textId="77777777" w:rsidR="00FC17EF" w:rsidRPr="009E12C8" w:rsidRDefault="00FC17EF" w:rsidP="009F157C">
            <w:pPr>
              <w:spacing w:before="0" w:after="0" w:line="240" w:lineRule="auto"/>
              <w:rPr>
                <w:rFonts w:cs="Times New Roman"/>
                <w:szCs w:val="24"/>
              </w:rPr>
            </w:pPr>
            <w:r w:rsidRPr="009E12C8">
              <w:rPr>
                <w:rFonts w:cs="Times New Roman"/>
                <w:szCs w:val="24"/>
              </w:rPr>
              <w:t>Cohort A</w:t>
            </w:r>
            <w:r w:rsidRPr="009E12C8">
              <w:rPr>
                <w:rFonts w:cs="Times New Roman"/>
                <w:szCs w:val="24"/>
              </w:rPr>
              <w:br/>
              <w:t xml:space="preserve">(n=6) </w:t>
            </w:r>
          </w:p>
        </w:tc>
        <w:tc>
          <w:tcPr>
            <w:tcW w:w="1297" w:type="dxa"/>
            <w:tcBorders>
              <w:top w:val="single" w:sz="4" w:space="0" w:color="auto"/>
              <w:bottom w:val="single" w:sz="4" w:space="0" w:color="auto"/>
            </w:tcBorders>
            <w:shd w:val="clear" w:color="auto" w:fill="FFFFFF"/>
          </w:tcPr>
          <w:p w14:paraId="71E5ED20" w14:textId="77777777" w:rsidR="00FC17EF" w:rsidRPr="009E12C8" w:rsidRDefault="00FC17EF" w:rsidP="009F157C">
            <w:pPr>
              <w:spacing w:before="0" w:after="0" w:line="240" w:lineRule="auto"/>
              <w:rPr>
                <w:rFonts w:cs="Times New Roman"/>
                <w:szCs w:val="24"/>
              </w:rPr>
            </w:pPr>
            <w:r w:rsidRPr="009E12C8">
              <w:rPr>
                <w:rFonts w:cs="Times New Roman"/>
                <w:szCs w:val="24"/>
              </w:rPr>
              <w:t>75 mg</w:t>
            </w:r>
          </w:p>
          <w:p w14:paraId="1CC6EA3A" w14:textId="77777777" w:rsidR="00FC17EF" w:rsidRPr="009E12C8" w:rsidRDefault="00FC17EF" w:rsidP="009F157C">
            <w:pPr>
              <w:spacing w:before="0" w:after="0" w:line="240" w:lineRule="auto"/>
              <w:rPr>
                <w:rFonts w:cs="Times New Roman"/>
                <w:szCs w:val="24"/>
              </w:rPr>
            </w:pPr>
            <w:r w:rsidRPr="009E12C8">
              <w:rPr>
                <w:rFonts w:cs="Times New Roman"/>
                <w:szCs w:val="24"/>
              </w:rPr>
              <w:t>Cohort B</w:t>
            </w:r>
            <w:r w:rsidRPr="009E12C8">
              <w:rPr>
                <w:rFonts w:cs="Times New Roman"/>
                <w:szCs w:val="24"/>
              </w:rPr>
              <w:br/>
              <w:t xml:space="preserve">(n=6) </w:t>
            </w:r>
          </w:p>
        </w:tc>
        <w:tc>
          <w:tcPr>
            <w:tcW w:w="1263" w:type="dxa"/>
            <w:tcBorders>
              <w:top w:val="single" w:sz="4" w:space="0" w:color="auto"/>
              <w:bottom w:val="single" w:sz="4" w:space="0" w:color="auto"/>
            </w:tcBorders>
            <w:shd w:val="clear" w:color="auto" w:fill="FFFFFF"/>
          </w:tcPr>
          <w:p w14:paraId="16146174" w14:textId="77777777" w:rsidR="00FC17EF" w:rsidRPr="009E12C8" w:rsidRDefault="00FC17EF" w:rsidP="009F157C">
            <w:pPr>
              <w:spacing w:before="0" w:after="0" w:line="240" w:lineRule="auto"/>
              <w:rPr>
                <w:rFonts w:cs="Times New Roman"/>
                <w:szCs w:val="24"/>
              </w:rPr>
            </w:pPr>
            <w:r w:rsidRPr="009E12C8">
              <w:rPr>
                <w:rFonts w:cs="Times New Roman"/>
                <w:szCs w:val="24"/>
              </w:rPr>
              <w:t>100 mg</w:t>
            </w:r>
          </w:p>
          <w:p w14:paraId="26EB6354" w14:textId="77777777" w:rsidR="00FC17EF" w:rsidRPr="009E12C8" w:rsidRDefault="00FC17EF" w:rsidP="009F157C">
            <w:pPr>
              <w:spacing w:before="0" w:after="0" w:line="240" w:lineRule="auto"/>
              <w:rPr>
                <w:rFonts w:cs="Times New Roman"/>
                <w:szCs w:val="24"/>
              </w:rPr>
            </w:pPr>
            <w:r w:rsidRPr="009E12C8">
              <w:rPr>
                <w:rFonts w:cs="Times New Roman"/>
                <w:szCs w:val="24"/>
              </w:rPr>
              <w:t>Cohort C</w:t>
            </w:r>
            <w:r w:rsidRPr="009E12C8">
              <w:rPr>
                <w:rFonts w:cs="Times New Roman"/>
                <w:szCs w:val="24"/>
              </w:rPr>
              <w:br/>
              <w:t xml:space="preserve">(n=6) </w:t>
            </w:r>
          </w:p>
        </w:tc>
        <w:tc>
          <w:tcPr>
            <w:tcW w:w="1459" w:type="dxa"/>
            <w:tcBorders>
              <w:top w:val="single" w:sz="4" w:space="0" w:color="auto"/>
              <w:bottom w:val="single" w:sz="4" w:space="0" w:color="auto"/>
              <w:right w:val="single" w:sz="4" w:space="0" w:color="D9D9D9" w:themeColor="background1" w:themeShade="D9"/>
            </w:tcBorders>
            <w:shd w:val="clear" w:color="auto" w:fill="FFFFFF"/>
          </w:tcPr>
          <w:p w14:paraId="2F4E4C3B" w14:textId="77777777" w:rsidR="00FC17EF" w:rsidRPr="009E12C8" w:rsidRDefault="00FC17EF" w:rsidP="009F157C">
            <w:pPr>
              <w:spacing w:before="0" w:after="0" w:line="240" w:lineRule="auto"/>
              <w:rPr>
                <w:rFonts w:cs="Times New Roman"/>
                <w:szCs w:val="24"/>
              </w:rPr>
            </w:pPr>
            <w:r w:rsidRPr="009E12C8">
              <w:rPr>
                <w:rFonts w:cs="Times New Roman"/>
                <w:szCs w:val="24"/>
              </w:rPr>
              <w:t>100 mg</w:t>
            </w:r>
          </w:p>
          <w:p w14:paraId="69CF4E8B" w14:textId="77777777" w:rsidR="00FC17EF" w:rsidRPr="009E12C8" w:rsidRDefault="00FC17EF" w:rsidP="009F157C">
            <w:pPr>
              <w:spacing w:before="0" w:after="0" w:line="240" w:lineRule="auto"/>
              <w:rPr>
                <w:rFonts w:cs="Times New Roman"/>
                <w:szCs w:val="24"/>
              </w:rPr>
            </w:pPr>
            <w:r w:rsidRPr="009E12C8">
              <w:rPr>
                <w:rFonts w:cs="Times New Roman"/>
                <w:szCs w:val="24"/>
              </w:rPr>
              <w:t>Cohort D</w:t>
            </w:r>
            <w:r w:rsidRPr="009E12C8">
              <w:rPr>
                <w:rFonts w:cs="Times New Roman"/>
                <w:szCs w:val="24"/>
              </w:rPr>
              <w:br/>
              <w:t xml:space="preserve">(n=6) </w:t>
            </w:r>
          </w:p>
        </w:tc>
        <w:tc>
          <w:tcPr>
            <w:tcW w:w="1226" w:type="dxa"/>
            <w:tcBorders>
              <w:top w:val="single" w:sz="4" w:space="0" w:color="auto"/>
              <w:left w:val="single" w:sz="4" w:space="0" w:color="D9D9D9" w:themeColor="background1" w:themeShade="D9"/>
              <w:bottom w:val="single" w:sz="4" w:space="0" w:color="auto"/>
            </w:tcBorders>
            <w:shd w:val="clear" w:color="auto" w:fill="FFFFFF"/>
          </w:tcPr>
          <w:p w14:paraId="510525E7" w14:textId="77777777" w:rsidR="00FC17EF" w:rsidRPr="009E12C8" w:rsidRDefault="00FC17EF" w:rsidP="009F157C">
            <w:pPr>
              <w:spacing w:before="0" w:after="0" w:line="240" w:lineRule="auto"/>
              <w:rPr>
                <w:rFonts w:cs="Times New Roman"/>
                <w:szCs w:val="24"/>
              </w:rPr>
            </w:pPr>
            <w:r w:rsidRPr="009E12C8">
              <w:rPr>
                <w:rFonts w:cs="Times New Roman"/>
                <w:szCs w:val="24"/>
              </w:rPr>
              <w:t>Placebo</w:t>
            </w:r>
            <w:r w:rsidRPr="009E12C8">
              <w:rPr>
                <w:rFonts w:cs="Times New Roman"/>
                <w:szCs w:val="24"/>
              </w:rPr>
              <w:br/>
              <w:t xml:space="preserve">(n=2) </w:t>
            </w:r>
          </w:p>
        </w:tc>
        <w:tc>
          <w:tcPr>
            <w:tcW w:w="1226" w:type="dxa"/>
            <w:tcBorders>
              <w:top w:val="single" w:sz="4" w:space="0" w:color="auto"/>
              <w:bottom w:val="single" w:sz="4" w:space="0" w:color="auto"/>
              <w:right w:val="single" w:sz="4" w:space="0" w:color="auto"/>
            </w:tcBorders>
            <w:shd w:val="clear" w:color="auto" w:fill="FFFFFF"/>
          </w:tcPr>
          <w:p w14:paraId="4D8BEEFA" w14:textId="77777777" w:rsidR="00FC17EF" w:rsidRPr="009E12C8" w:rsidRDefault="00FC17EF" w:rsidP="009F157C">
            <w:pPr>
              <w:spacing w:before="0" w:after="0" w:line="240" w:lineRule="auto"/>
              <w:rPr>
                <w:rFonts w:cs="Times New Roman"/>
                <w:szCs w:val="24"/>
              </w:rPr>
            </w:pPr>
            <w:r w:rsidRPr="009E12C8">
              <w:rPr>
                <w:rFonts w:cs="Times New Roman"/>
                <w:szCs w:val="24"/>
              </w:rPr>
              <w:t>10 mg</w:t>
            </w:r>
          </w:p>
          <w:p w14:paraId="0C5BC16B" w14:textId="77777777" w:rsidR="00FC17EF" w:rsidRPr="009E12C8" w:rsidRDefault="00FC17EF" w:rsidP="009F157C">
            <w:pPr>
              <w:spacing w:before="0" w:after="0" w:line="240" w:lineRule="auto"/>
              <w:rPr>
                <w:rFonts w:cs="Times New Roman"/>
                <w:szCs w:val="24"/>
              </w:rPr>
            </w:pPr>
            <w:r w:rsidRPr="009E12C8">
              <w:rPr>
                <w:rFonts w:cs="Times New Roman"/>
                <w:szCs w:val="24"/>
              </w:rPr>
              <w:t>Cohort E</w:t>
            </w:r>
            <w:r w:rsidRPr="009E12C8">
              <w:rPr>
                <w:rFonts w:cs="Times New Roman"/>
                <w:szCs w:val="24"/>
              </w:rPr>
              <w:br/>
              <w:t xml:space="preserve">(n=6) </w:t>
            </w:r>
          </w:p>
        </w:tc>
        <w:tc>
          <w:tcPr>
            <w:tcW w:w="1859" w:type="dxa"/>
            <w:tcBorders>
              <w:left w:val="single" w:sz="4" w:space="0" w:color="auto"/>
              <w:bottom w:val="single" w:sz="4" w:space="0" w:color="auto"/>
            </w:tcBorders>
            <w:shd w:val="clear" w:color="auto" w:fill="FFFFFF"/>
          </w:tcPr>
          <w:p w14:paraId="3717DC1F" w14:textId="77777777" w:rsidR="00FC17EF" w:rsidRPr="009E12C8" w:rsidRDefault="00FC17EF" w:rsidP="009F157C">
            <w:pPr>
              <w:spacing w:before="0" w:after="0" w:line="240" w:lineRule="auto"/>
              <w:rPr>
                <w:rFonts w:cs="Times New Roman"/>
                <w:szCs w:val="24"/>
              </w:rPr>
            </w:pPr>
          </w:p>
        </w:tc>
      </w:tr>
      <w:tr w:rsidR="009E12C8" w:rsidRPr="009E12C8" w14:paraId="42D3C140" w14:textId="77777777" w:rsidTr="009F157C">
        <w:trPr>
          <w:cantSplit/>
          <w:jc w:val="center"/>
        </w:trPr>
        <w:tc>
          <w:tcPr>
            <w:tcW w:w="2322" w:type="dxa"/>
            <w:tcBorders>
              <w:top w:val="single" w:sz="4" w:space="0" w:color="auto"/>
              <w:right w:val="single" w:sz="4" w:space="0" w:color="D9D9D9" w:themeColor="background1" w:themeShade="D9"/>
            </w:tcBorders>
            <w:shd w:val="clear" w:color="auto" w:fill="FFFFFF"/>
          </w:tcPr>
          <w:p w14:paraId="099936B6" w14:textId="77777777" w:rsidR="00FC17EF" w:rsidRPr="009E12C8" w:rsidRDefault="00FC17EF" w:rsidP="009F157C">
            <w:pPr>
              <w:spacing w:before="0" w:after="0" w:line="240" w:lineRule="auto"/>
              <w:rPr>
                <w:rFonts w:cs="Times New Roman"/>
                <w:szCs w:val="24"/>
              </w:rPr>
            </w:pPr>
            <w:r w:rsidRPr="009E12C8">
              <w:rPr>
                <w:rFonts w:cs="Times New Roman"/>
                <w:szCs w:val="24"/>
              </w:rPr>
              <w:t>Sex, n (%)</w:t>
            </w:r>
          </w:p>
        </w:tc>
        <w:tc>
          <w:tcPr>
            <w:tcW w:w="1390" w:type="dxa"/>
            <w:tcBorders>
              <w:top w:val="single" w:sz="4" w:space="0" w:color="auto"/>
              <w:left w:val="single" w:sz="4" w:space="0" w:color="D9D9D9" w:themeColor="background1" w:themeShade="D9"/>
            </w:tcBorders>
            <w:shd w:val="clear" w:color="auto" w:fill="FFFFFF"/>
          </w:tcPr>
          <w:p w14:paraId="55D499D7" w14:textId="77777777" w:rsidR="00FC17EF" w:rsidRPr="009E12C8" w:rsidRDefault="00FC17EF" w:rsidP="009F157C">
            <w:pPr>
              <w:spacing w:before="0" w:after="0" w:line="240" w:lineRule="auto"/>
              <w:rPr>
                <w:rFonts w:cs="Times New Roman"/>
                <w:szCs w:val="24"/>
              </w:rPr>
            </w:pPr>
          </w:p>
        </w:tc>
        <w:tc>
          <w:tcPr>
            <w:tcW w:w="1170" w:type="dxa"/>
            <w:tcBorders>
              <w:top w:val="single" w:sz="4" w:space="0" w:color="auto"/>
            </w:tcBorders>
            <w:shd w:val="clear" w:color="auto" w:fill="FFFFFF"/>
          </w:tcPr>
          <w:p w14:paraId="581EB002" w14:textId="77777777" w:rsidR="00FC17EF" w:rsidRPr="009E12C8" w:rsidRDefault="00FC17EF" w:rsidP="009F157C">
            <w:pPr>
              <w:spacing w:before="0" w:after="0" w:line="240" w:lineRule="auto"/>
              <w:rPr>
                <w:rFonts w:cs="Times New Roman"/>
                <w:szCs w:val="24"/>
              </w:rPr>
            </w:pPr>
          </w:p>
        </w:tc>
        <w:tc>
          <w:tcPr>
            <w:tcW w:w="1297" w:type="dxa"/>
            <w:tcBorders>
              <w:top w:val="single" w:sz="4" w:space="0" w:color="auto"/>
            </w:tcBorders>
            <w:shd w:val="clear" w:color="auto" w:fill="FFFFFF"/>
          </w:tcPr>
          <w:p w14:paraId="2C5333F0" w14:textId="77777777" w:rsidR="00FC17EF" w:rsidRPr="009E12C8" w:rsidRDefault="00FC17EF" w:rsidP="009F157C">
            <w:pPr>
              <w:spacing w:before="0" w:after="0" w:line="240" w:lineRule="auto"/>
              <w:rPr>
                <w:rFonts w:cs="Times New Roman"/>
                <w:szCs w:val="24"/>
              </w:rPr>
            </w:pPr>
          </w:p>
        </w:tc>
        <w:tc>
          <w:tcPr>
            <w:tcW w:w="1263" w:type="dxa"/>
            <w:tcBorders>
              <w:top w:val="single" w:sz="4" w:space="0" w:color="auto"/>
            </w:tcBorders>
            <w:shd w:val="clear" w:color="auto" w:fill="FFFFFF"/>
          </w:tcPr>
          <w:p w14:paraId="0EFC57A8" w14:textId="77777777" w:rsidR="00FC17EF" w:rsidRPr="009E12C8" w:rsidRDefault="00FC17EF" w:rsidP="009F157C">
            <w:pPr>
              <w:spacing w:before="0" w:after="0" w:line="240" w:lineRule="auto"/>
              <w:rPr>
                <w:rFonts w:cs="Times New Roman"/>
                <w:szCs w:val="24"/>
              </w:rPr>
            </w:pPr>
          </w:p>
        </w:tc>
        <w:tc>
          <w:tcPr>
            <w:tcW w:w="1459" w:type="dxa"/>
            <w:tcBorders>
              <w:top w:val="single" w:sz="4" w:space="0" w:color="auto"/>
              <w:right w:val="single" w:sz="4" w:space="0" w:color="D9D9D9" w:themeColor="background1" w:themeShade="D9"/>
            </w:tcBorders>
            <w:shd w:val="clear" w:color="auto" w:fill="FFFFFF"/>
          </w:tcPr>
          <w:p w14:paraId="01BB76DE" w14:textId="77777777" w:rsidR="00FC17EF" w:rsidRPr="009E12C8" w:rsidRDefault="00FC17EF" w:rsidP="009F157C">
            <w:pPr>
              <w:spacing w:before="0" w:after="0" w:line="240" w:lineRule="auto"/>
              <w:rPr>
                <w:rFonts w:cs="Times New Roman"/>
                <w:szCs w:val="24"/>
              </w:rPr>
            </w:pPr>
          </w:p>
        </w:tc>
        <w:tc>
          <w:tcPr>
            <w:tcW w:w="1226" w:type="dxa"/>
            <w:tcBorders>
              <w:top w:val="single" w:sz="4" w:space="0" w:color="auto"/>
              <w:left w:val="single" w:sz="4" w:space="0" w:color="D9D9D9" w:themeColor="background1" w:themeShade="D9"/>
            </w:tcBorders>
            <w:shd w:val="clear" w:color="auto" w:fill="FFFFFF"/>
          </w:tcPr>
          <w:p w14:paraId="0FCBC3EB" w14:textId="77777777" w:rsidR="00FC17EF" w:rsidRPr="009E12C8" w:rsidRDefault="00FC17EF" w:rsidP="009F157C">
            <w:pPr>
              <w:spacing w:before="0" w:after="0" w:line="240" w:lineRule="auto"/>
              <w:rPr>
                <w:rFonts w:cs="Times New Roman"/>
                <w:szCs w:val="24"/>
              </w:rPr>
            </w:pPr>
          </w:p>
        </w:tc>
        <w:tc>
          <w:tcPr>
            <w:tcW w:w="1226" w:type="dxa"/>
            <w:tcBorders>
              <w:top w:val="single" w:sz="4" w:space="0" w:color="auto"/>
              <w:right w:val="single" w:sz="4" w:space="0" w:color="auto"/>
            </w:tcBorders>
            <w:shd w:val="clear" w:color="auto" w:fill="FFFFFF"/>
          </w:tcPr>
          <w:p w14:paraId="1727DABA" w14:textId="77777777" w:rsidR="00FC17EF" w:rsidRPr="009E12C8" w:rsidRDefault="00FC17EF" w:rsidP="009F157C">
            <w:pPr>
              <w:spacing w:before="0" w:after="0" w:line="240" w:lineRule="auto"/>
              <w:rPr>
                <w:rFonts w:cs="Times New Roman"/>
                <w:szCs w:val="24"/>
              </w:rPr>
            </w:pPr>
          </w:p>
        </w:tc>
        <w:tc>
          <w:tcPr>
            <w:tcW w:w="1859" w:type="dxa"/>
            <w:tcBorders>
              <w:top w:val="single" w:sz="4" w:space="0" w:color="auto"/>
              <w:left w:val="single" w:sz="4" w:space="0" w:color="auto"/>
            </w:tcBorders>
            <w:shd w:val="clear" w:color="auto" w:fill="FFFFFF"/>
          </w:tcPr>
          <w:p w14:paraId="6EFEDF91" w14:textId="77777777" w:rsidR="00FC17EF" w:rsidRPr="009E12C8" w:rsidRDefault="00FC17EF" w:rsidP="009F157C">
            <w:pPr>
              <w:spacing w:before="0" w:after="0" w:line="240" w:lineRule="auto"/>
              <w:rPr>
                <w:rFonts w:cs="Times New Roman"/>
                <w:szCs w:val="24"/>
              </w:rPr>
            </w:pPr>
          </w:p>
        </w:tc>
      </w:tr>
      <w:tr w:rsidR="009E12C8" w:rsidRPr="009E12C8" w14:paraId="3B576466" w14:textId="77777777" w:rsidTr="009F157C">
        <w:trPr>
          <w:cantSplit/>
          <w:jc w:val="center"/>
        </w:trPr>
        <w:tc>
          <w:tcPr>
            <w:tcW w:w="2322" w:type="dxa"/>
            <w:tcBorders>
              <w:right w:val="single" w:sz="4" w:space="0" w:color="D9D9D9" w:themeColor="background1" w:themeShade="D9"/>
            </w:tcBorders>
            <w:shd w:val="clear" w:color="auto" w:fill="FFFFFF"/>
          </w:tcPr>
          <w:p w14:paraId="50A98C97" w14:textId="77777777" w:rsidR="00FC17EF" w:rsidRPr="009E12C8" w:rsidRDefault="00FC17EF" w:rsidP="009F157C">
            <w:pPr>
              <w:adjustRightInd w:val="0"/>
              <w:spacing w:before="0" w:after="0" w:line="240" w:lineRule="auto"/>
              <w:ind w:left="267" w:hanging="87"/>
              <w:rPr>
                <w:rFonts w:cs="Times New Roman"/>
                <w:szCs w:val="24"/>
              </w:rPr>
            </w:pPr>
            <w:r w:rsidRPr="009E12C8">
              <w:rPr>
                <w:rFonts w:cs="Times New Roman"/>
                <w:szCs w:val="24"/>
              </w:rPr>
              <w:t>Men</w:t>
            </w:r>
          </w:p>
        </w:tc>
        <w:tc>
          <w:tcPr>
            <w:tcW w:w="1390" w:type="dxa"/>
            <w:tcBorders>
              <w:left w:val="single" w:sz="4" w:space="0" w:color="D9D9D9" w:themeColor="background1" w:themeShade="D9"/>
            </w:tcBorders>
            <w:shd w:val="clear" w:color="auto" w:fill="FFFFFF"/>
          </w:tcPr>
          <w:p w14:paraId="13835C9E"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4 (50.0)</w:t>
            </w:r>
          </w:p>
        </w:tc>
        <w:tc>
          <w:tcPr>
            <w:tcW w:w="1170" w:type="dxa"/>
            <w:shd w:val="clear" w:color="auto" w:fill="FFFFFF"/>
          </w:tcPr>
          <w:p w14:paraId="3184D21F"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6 (100.0)</w:t>
            </w:r>
          </w:p>
        </w:tc>
        <w:tc>
          <w:tcPr>
            <w:tcW w:w="1297" w:type="dxa"/>
            <w:shd w:val="clear" w:color="auto" w:fill="FFFFFF"/>
          </w:tcPr>
          <w:p w14:paraId="4F7DB5FE"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6 (100.0)</w:t>
            </w:r>
          </w:p>
        </w:tc>
        <w:tc>
          <w:tcPr>
            <w:tcW w:w="1263" w:type="dxa"/>
            <w:shd w:val="clear" w:color="auto" w:fill="FFFFFF"/>
          </w:tcPr>
          <w:p w14:paraId="24BBBD19"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459" w:type="dxa"/>
            <w:tcBorders>
              <w:right w:val="single" w:sz="4" w:space="0" w:color="D9D9D9" w:themeColor="background1" w:themeShade="D9"/>
            </w:tcBorders>
            <w:shd w:val="clear" w:color="auto" w:fill="FFFFFF"/>
          </w:tcPr>
          <w:p w14:paraId="51522A2B"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2 (33.3)</w:t>
            </w:r>
          </w:p>
        </w:tc>
        <w:tc>
          <w:tcPr>
            <w:tcW w:w="1226" w:type="dxa"/>
            <w:tcBorders>
              <w:left w:val="single" w:sz="4" w:space="0" w:color="D9D9D9" w:themeColor="background1" w:themeShade="D9"/>
            </w:tcBorders>
            <w:shd w:val="clear" w:color="auto" w:fill="FFFFFF"/>
          </w:tcPr>
          <w:p w14:paraId="58289567" w14:textId="77777777" w:rsidR="00FC17EF" w:rsidRPr="009E12C8" w:rsidRDefault="00FC17EF" w:rsidP="009F157C">
            <w:pPr>
              <w:spacing w:before="0" w:after="0" w:line="240" w:lineRule="auto"/>
              <w:rPr>
                <w:rFonts w:cs="Times New Roman"/>
                <w:szCs w:val="24"/>
              </w:rPr>
            </w:pPr>
            <w:r w:rsidRPr="009E12C8">
              <w:rPr>
                <w:rFonts w:cs="Times New Roman"/>
                <w:szCs w:val="24"/>
              </w:rPr>
              <w:t>2 (100.0)</w:t>
            </w:r>
          </w:p>
        </w:tc>
        <w:tc>
          <w:tcPr>
            <w:tcW w:w="1226" w:type="dxa"/>
            <w:tcBorders>
              <w:right w:val="single" w:sz="4" w:space="0" w:color="auto"/>
            </w:tcBorders>
            <w:shd w:val="clear" w:color="auto" w:fill="FFFFFF"/>
          </w:tcPr>
          <w:p w14:paraId="27F86BD5" w14:textId="77777777" w:rsidR="00FC17EF" w:rsidRPr="009E12C8" w:rsidRDefault="00FC17EF" w:rsidP="009F157C">
            <w:pPr>
              <w:spacing w:before="0" w:after="0" w:line="240" w:lineRule="auto"/>
              <w:rPr>
                <w:rFonts w:cs="Times New Roman"/>
                <w:szCs w:val="24"/>
              </w:rPr>
            </w:pPr>
            <w:r w:rsidRPr="009E12C8">
              <w:rPr>
                <w:rFonts w:cs="Times New Roman"/>
                <w:szCs w:val="24"/>
              </w:rPr>
              <w:t>6 (100.0)</w:t>
            </w:r>
          </w:p>
        </w:tc>
        <w:tc>
          <w:tcPr>
            <w:tcW w:w="1859" w:type="dxa"/>
            <w:tcBorders>
              <w:left w:val="single" w:sz="4" w:space="0" w:color="auto"/>
            </w:tcBorders>
            <w:shd w:val="clear" w:color="auto" w:fill="FFFFFF"/>
          </w:tcPr>
          <w:p w14:paraId="004D94F0" w14:textId="77777777" w:rsidR="00FC17EF" w:rsidRPr="009E12C8" w:rsidRDefault="00FC17EF" w:rsidP="009F157C">
            <w:pPr>
              <w:spacing w:before="0" w:after="0" w:line="240" w:lineRule="auto"/>
              <w:rPr>
                <w:rFonts w:cs="Times New Roman"/>
                <w:szCs w:val="24"/>
              </w:rPr>
            </w:pPr>
            <w:r w:rsidRPr="009E12C8">
              <w:rPr>
                <w:rFonts w:cs="Times New Roman"/>
                <w:szCs w:val="24"/>
              </w:rPr>
              <w:t>15 (100.0)</w:t>
            </w:r>
          </w:p>
        </w:tc>
      </w:tr>
      <w:tr w:rsidR="009E12C8" w:rsidRPr="009E12C8" w14:paraId="2C30F228" w14:textId="77777777" w:rsidTr="009F157C">
        <w:trPr>
          <w:cantSplit/>
          <w:jc w:val="center"/>
        </w:trPr>
        <w:tc>
          <w:tcPr>
            <w:tcW w:w="2322" w:type="dxa"/>
            <w:tcBorders>
              <w:right w:val="single" w:sz="4" w:space="0" w:color="D9D9D9" w:themeColor="background1" w:themeShade="D9"/>
            </w:tcBorders>
            <w:shd w:val="clear" w:color="auto" w:fill="FFFFFF"/>
          </w:tcPr>
          <w:p w14:paraId="22B37327" w14:textId="77777777" w:rsidR="00FC17EF" w:rsidRPr="009E12C8" w:rsidRDefault="00FC17EF" w:rsidP="009F157C">
            <w:pPr>
              <w:adjustRightInd w:val="0"/>
              <w:spacing w:before="0" w:after="0" w:line="240" w:lineRule="auto"/>
              <w:ind w:left="267" w:hanging="87"/>
              <w:rPr>
                <w:rFonts w:cs="Times New Roman"/>
                <w:szCs w:val="24"/>
              </w:rPr>
            </w:pPr>
            <w:r w:rsidRPr="009E12C8">
              <w:rPr>
                <w:rFonts w:cs="Times New Roman"/>
                <w:szCs w:val="24"/>
              </w:rPr>
              <w:t>Women</w:t>
            </w:r>
          </w:p>
        </w:tc>
        <w:tc>
          <w:tcPr>
            <w:tcW w:w="1390" w:type="dxa"/>
            <w:tcBorders>
              <w:left w:val="single" w:sz="4" w:space="0" w:color="D9D9D9" w:themeColor="background1" w:themeShade="D9"/>
            </w:tcBorders>
            <w:shd w:val="clear" w:color="auto" w:fill="FFFFFF"/>
          </w:tcPr>
          <w:p w14:paraId="595555B7"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4 (50.0)</w:t>
            </w:r>
          </w:p>
        </w:tc>
        <w:tc>
          <w:tcPr>
            <w:tcW w:w="1170" w:type="dxa"/>
            <w:shd w:val="clear" w:color="auto" w:fill="FFFFFF"/>
          </w:tcPr>
          <w:p w14:paraId="39C63050"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297" w:type="dxa"/>
            <w:shd w:val="clear" w:color="auto" w:fill="FFFFFF"/>
          </w:tcPr>
          <w:p w14:paraId="033836F2"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263" w:type="dxa"/>
            <w:shd w:val="clear" w:color="auto" w:fill="FFFFFF"/>
          </w:tcPr>
          <w:p w14:paraId="1EA09923"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6 (100.0)</w:t>
            </w:r>
          </w:p>
        </w:tc>
        <w:tc>
          <w:tcPr>
            <w:tcW w:w="1459" w:type="dxa"/>
            <w:tcBorders>
              <w:right w:val="single" w:sz="4" w:space="0" w:color="D9D9D9" w:themeColor="background1" w:themeShade="D9"/>
            </w:tcBorders>
            <w:shd w:val="clear" w:color="auto" w:fill="FFFFFF"/>
          </w:tcPr>
          <w:p w14:paraId="121FA88A"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4 (67.7)</w:t>
            </w:r>
          </w:p>
        </w:tc>
        <w:tc>
          <w:tcPr>
            <w:tcW w:w="1226" w:type="dxa"/>
            <w:tcBorders>
              <w:left w:val="single" w:sz="4" w:space="0" w:color="D9D9D9" w:themeColor="background1" w:themeShade="D9"/>
            </w:tcBorders>
            <w:shd w:val="clear" w:color="auto" w:fill="FFFFFF"/>
          </w:tcPr>
          <w:p w14:paraId="639171EC" w14:textId="77777777" w:rsidR="00FC17EF" w:rsidRPr="009E12C8" w:rsidRDefault="00FC17EF" w:rsidP="009F157C">
            <w:pPr>
              <w:spacing w:before="0" w:after="0" w:line="240" w:lineRule="auto"/>
              <w:rPr>
                <w:rFonts w:cs="Times New Roman"/>
                <w:szCs w:val="24"/>
              </w:rPr>
            </w:pPr>
            <w:r w:rsidRPr="009E12C8">
              <w:rPr>
                <w:rFonts w:cs="Times New Roman"/>
                <w:szCs w:val="24"/>
              </w:rPr>
              <w:t>0</w:t>
            </w:r>
          </w:p>
        </w:tc>
        <w:tc>
          <w:tcPr>
            <w:tcW w:w="1226" w:type="dxa"/>
            <w:tcBorders>
              <w:right w:val="single" w:sz="4" w:space="0" w:color="auto"/>
            </w:tcBorders>
            <w:shd w:val="clear" w:color="auto" w:fill="FFFFFF"/>
          </w:tcPr>
          <w:p w14:paraId="5DCC68FD" w14:textId="77777777" w:rsidR="00FC17EF" w:rsidRPr="009E12C8" w:rsidRDefault="00FC17EF" w:rsidP="009F157C">
            <w:pPr>
              <w:spacing w:before="0" w:after="0" w:line="240" w:lineRule="auto"/>
              <w:rPr>
                <w:rFonts w:cs="Times New Roman"/>
                <w:szCs w:val="24"/>
              </w:rPr>
            </w:pPr>
            <w:r w:rsidRPr="009E12C8">
              <w:rPr>
                <w:rFonts w:cs="Times New Roman"/>
                <w:szCs w:val="24"/>
              </w:rPr>
              <w:t>0</w:t>
            </w:r>
          </w:p>
        </w:tc>
        <w:tc>
          <w:tcPr>
            <w:tcW w:w="1859" w:type="dxa"/>
            <w:tcBorders>
              <w:left w:val="single" w:sz="4" w:space="0" w:color="auto"/>
            </w:tcBorders>
            <w:shd w:val="clear" w:color="auto" w:fill="FFFFFF"/>
          </w:tcPr>
          <w:p w14:paraId="05E48E3A" w14:textId="77777777" w:rsidR="00FC17EF" w:rsidRPr="009E12C8" w:rsidRDefault="00FC17EF" w:rsidP="009F157C">
            <w:pPr>
              <w:spacing w:before="0" w:after="0" w:line="240" w:lineRule="auto"/>
              <w:rPr>
                <w:rFonts w:cs="Times New Roman"/>
                <w:szCs w:val="24"/>
              </w:rPr>
            </w:pPr>
            <w:r w:rsidRPr="009E12C8">
              <w:rPr>
                <w:rFonts w:cs="Times New Roman"/>
                <w:szCs w:val="24"/>
              </w:rPr>
              <w:t>0</w:t>
            </w:r>
          </w:p>
        </w:tc>
      </w:tr>
      <w:tr w:rsidR="009E12C8" w:rsidRPr="009E12C8" w14:paraId="7645AE7E" w14:textId="77777777" w:rsidTr="009F157C">
        <w:trPr>
          <w:cantSplit/>
          <w:jc w:val="center"/>
        </w:trPr>
        <w:tc>
          <w:tcPr>
            <w:tcW w:w="2322" w:type="dxa"/>
            <w:tcBorders>
              <w:right w:val="single" w:sz="4" w:space="0" w:color="D9D9D9" w:themeColor="background1" w:themeShade="D9"/>
            </w:tcBorders>
            <w:shd w:val="clear" w:color="auto" w:fill="FFFFFF"/>
          </w:tcPr>
          <w:p w14:paraId="6CC6AD03" w14:textId="77777777" w:rsidR="00FC17EF" w:rsidRPr="009E12C8" w:rsidRDefault="00FC17EF" w:rsidP="009F157C">
            <w:pPr>
              <w:adjustRightInd w:val="0"/>
              <w:spacing w:before="0" w:after="0" w:line="240" w:lineRule="auto"/>
              <w:ind w:left="87" w:hanging="87"/>
              <w:rPr>
                <w:rFonts w:cs="Times New Roman"/>
                <w:szCs w:val="24"/>
              </w:rPr>
            </w:pPr>
            <w:r w:rsidRPr="009E12C8">
              <w:rPr>
                <w:rFonts w:cs="Times New Roman"/>
                <w:szCs w:val="24"/>
              </w:rPr>
              <w:t>Race, n (%)</w:t>
            </w:r>
          </w:p>
        </w:tc>
        <w:tc>
          <w:tcPr>
            <w:tcW w:w="1390" w:type="dxa"/>
            <w:tcBorders>
              <w:left w:val="single" w:sz="4" w:space="0" w:color="D9D9D9" w:themeColor="background1" w:themeShade="D9"/>
            </w:tcBorders>
            <w:shd w:val="clear" w:color="auto" w:fill="FFFFFF"/>
          </w:tcPr>
          <w:p w14:paraId="1CE84D0B" w14:textId="77777777" w:rsidR="00FC17EF" w:rsidRPr="009E12C8" w:rsidRDefault="00FC17EF" w:rsidP="009F157C">
            <w:pPr>
              <w:adjustRightInd w:val="0"/>
              <w:spacing w:before="0" w:after="0" w:line="240" w:lineRule="auto"/>
              <w:rPr>
                <w:rFonts w:cs="Times New Roman"/>
                <w:szCs w:val="24"/>
              </w:rPr>
            </w:pPr>
          </w:p>
        </w:tc>
        <w:tc>
          <w:tcPr>
            <w:tcW w:w="1170" w:type="dxa"/>
            <w:shd w:val="clear" w:color="auto" w:fill="FFFFFF"/>
          </w:tcPr>
          <w:p w14:paraId="16E069B4" w14:textId="77777777" w:rsidR="00FC17EF" w:rsidRPr="009E12C8" w:rsidRDefault="00FC17EF" w:rsidP="009F157C">
            <w:pPr>
              <w:adjustRightInd w:val="0"/>
              <w:spacing w:before="0" w:after="0" w:line="240" w:lineRule="auto"/>
              <w:rPr>
                <w:rFonts w:cs="Times New Roman"/>
                <w:szCs w:val="24"/>
              </w:rPr>
            </w:pPr>
          </w:p>
        </w:tc>
        <w:tc>
          <w:tcPr>
            <w:tcW w:w="1297" w:type="dxa"/>
            <w:shd w:val="clear" w:color="auto" w:fill="FFFFFF"/>
          </w:tcPr>
          <w:p w14:paraId="3A43D58A" w14:textId="77777777" w:rsidR="00FC17EF" w:rsidRPr="009E12C8" w:rsidRDefault="00FC17EF" w:rsidP="009F157C">
            <w:pPr>
              <w:adjustRightInd w:val="0"/>
              <w:spacing w:before="0" w:after="0" w:line="240" w:lineRule="auto"/>
              <w:rPr>
                <w:rFonts w:cs="Times New Roman"/>
                <w:szCs w:val="24"/>
              </w:rPr>
            </w:pPr>
          </w:p>
        </w:tc>
        <w:tc>
          <w:tcPr>
            <w:tcW w:w="1263" w:type="dxa"/>
            <w:shd w:val="clear" w:color="auto" w:fill="FFFFFF"/>
          </w:tcPr>
          <w:p w14:paraId="5763DCFB" w14:textId="77777777" w:rsidR="00FC17EF" w:rsidRPr="009E12C8" w:rsidRDefault="00FC17EF" w:rsidP="009F157C">
            <w:pPr>
              <w:adjustRightInd w:val="0"/>
              <w:spacing w:before="0" w:after="0" w:line="240" w:lineRule="auto"/>
              <w:rPr>
                <w:rFonts w:cs="Times New Roman"/>
                <w:szCs w:val="24"/>
              </w:rPr>
            </w:pPr>
          </w:p>
        </w:tc>
        <w:tc>
          <w:tcPr>
            <w:tcW w:w="1459" w:type="dxa"/>
            <w:tcBorders>
              <w:right w:val="single" w:sz="4" w:space="0" w:color="D9D9D9" w:themeColor="background1" w:themeShade="D9"/>
            </w:tcBorders>
            <w:shd w:val="clear" w:color="auto" w:fill="FFFFFF"/>
          </w:tcPr>
          <w:p w14:paraId="2D217ED3" w14:textId="77777777" w:rsidR="00FC17EF" w:rsidRPr="009E12C8" w:rsidRDefault="00FC17EF" w:rsidP="009F157C">
            <w:pPr>
              <w:adjustRightInd w:val="0"/>
              <w:spacing w:before="0" w:after="0" w:line="240" w:lineRule="auto"/>
              <w:rPr>
                <w:rFonts w:cs="Times New Roman"/>
                <w:szCs w:val="24"/>
              </w:rPr>
            </w:pPr>
          </w:p>
        </w:tc>
        <w:tc>
          <w:tcPr>
            <w:tcW w:w="1226" w:type="dxa"/>
            <w:tcBorders>
              <w:left w:val="single" w:sz="4" w:space="0" w:color="D9D9D9" w:themeColor="background1" w:themeShade="D9"/>
            </w:tcBorders>
            <w:shd w:val="clear" w:color="auto" w:fill="FFFFFF"/>
          </w:tcPr>
          <w:p w14:paraId="790B1EDE" w14:textId="77777777" w:rsidR="00FC17EF" w:rsidRPr="009E12C8" w:rsidRDefault="00FC17EF" w:rsidP="009F157C">
            <w:pPr>
              <w:adjustRightInd w:val="0"/>
              <w:spacing w:before="0" w:after="0" w:line="240" w:lineRule="auto"/>
              <w:rPr>
                <w:rFonts w:cs="Times New Roman"/>
                <w:szCs w:val="24"/>
              </w:rPr>
            </w:pPr>
          </w:p>
        </w:tc>
        <w:tc>
          <w:tcPr>
            <w:tcW w:w="1226" w:type="dxa"/>
            <w:tcBorders>
              <w:right w:val="single" w:sz="4" w:space="0" w:color="auto"/>
            </w:tcBorders>
            <w:shd w:val="clear" w:color="auto" w:fill="FFFFFF"/>
          </w:tcPr>
          <w:p w14:paraId="3AAC3005" w14:textId="77777777" w:rsidR="00FC17EF" w:rsidRPr="009E12C8" w:rsidRDefault="00FC17EF" w:rsidP="009F157C">
            <w:pPr>
              <w:adjustRightInd w:val="0"/>
              <w:spacing w:before="0" w:after="0" w:line="240" w:lineRule="auto"/>
              <w:rPr>
                <w:rFonts w:cs="Times New Roman"/>
                <w:szCs w:val="24"/>
              </w:rPr>
            </w:pPr>
          </w:p>
        </w:tc>
        <w:tc>
          <w:tcPr>
            <w:tcW w:w="1859" w:type="dxa"/>
            <w:tcBorders>
              <w:left w:val="single" w:sz="4" w:space="0" w:color="auto"/>
            </w:tcBorders>
            <w:shd w:val="clear" w:color="auto" w:fill="FFFFFF"/>
          </w:tcPr>
          <w:p w14:paraId="7ABB15F1" w14:textId="77777777" w:rsidR="00FC17EF" w:rsidRPr="009E12C8" w:rsidRDefault="00FC17EF" w:rsidP="009F157C">
            <w:pPr>
              <w:adjustRightInd w:val="0"/>
              <w:spacing w:before="0" w:after="0" w:line="240" w:lineRule="auto"/>
              <w:rPr>
                <w:rFonts w:cs="Times New Roman"/>
                <w:szCs w:val="24"/>
              </w:rPr>
            </w:pPr>
          </w:p>
        </w:tc>
      </w:tr>
      <w:tr w:rsidR="009E12C8" w:rsidRPr="009E12C8" w14:paraId="3ADC0A52" w14:textId="77777777" w:rsidTr="009F157C">
        <w:trPr>
          <w:cantSplit/>
          <w:jc w:val="center"/>
        </w:trPr>
        <w:tc>
          <w:tcPr>
            <w:tcW w:w="2322" w:type="dxa"/>
            <w:tcBorders>
              <w:right w:val="single" w:sz="4" w:space="0" w:color="D9D9D9" w:themeColor="background1" w:themeShade="D9"/>
            </w:tcBorders>
            <w:shd w:val="clear" w:color="auto" w:fill="FFFFFF"/>
          </w:tcPr>
          <w:p w14:paraId="6A43FFFF" w14:textId="77777777" w:rsidR="00FC17EF" w:rsidRPr="009E12C8" w:rsidRDefault="00FC17EF" w:rsidP="009F157C">
            <w:pPr>
              <w:adjustRightInd w:val="0"/>
              <w:spacing w:before="0" w:after="0" w:line="240" w:lineRule="auto"/>
              <w:ind w:left="177" w:firstLine="3"/>
              <w:rPr>
                <w:rFonts w:cs="Times New Roman"/>
                <w:szCs w:val="24"/>
              </w:rPr>
            </w:pPr>
            <w:r w:rsidRPr="009E12C8">
              <w:rPr>
                <w:rFonts w:cs="Times New Roman"/>
                <w:szCs w:val="24"/>
              </w:rPr>
              <w:t>American Indian or Alaska Native</w:t>
            </w:r>
          </w:p>
        </w:tc>
        <w:tc>
          <w:tcPr>
            <w:tcW w:w="1390" w:type="dxa"/>
            <w:tcBorders>
              <w:left w:val="single" w:sz="4" w:space="0" w:color="D9D9D9" w:themeColor="background1" w:themeShade="D9"/>
            </w:tcBorders>
            <w:shd w:val="clear" w:color="auto" w:fill="FFFFFF"/>
          </w:tcPr>
          <w:p w14:paraId="4DC0CCF3"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170" w:type="dxa"/>
            <w:shd w:val="clear" w:color="auto" w:fill="FFFFFF"/>
          </w:tcPr>
          <w:p w14:paraId="78837505"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297" w:type="dxa"/>
            <w:shd w:val="clear" w:color="auto" w:fill="FFFFFF"/>
          </w:tcPr>
          <w:p w14:paraId="662D2C7D"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1 (16.7)</w:t>
            </w:r>
          </w:p>
        </w:tc>
        <w:tc>
          <w:tcPr>
            <w:tcW w:w="1263" w:type="dxa"/>
            <w:shd w:val="clear" w:color="auto" w:fill="FFFFFF"/>
          </w:tcPr>
          <w:p w14:paraId="6E1091FF"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459" w:type="dxa"/>
            <w:tcBorders>
              <w:right w:val="single" w:sz="4" w:space="0" w:color="D9D9D9" w:themeColor="background1" w:themeShade="D9"/>
            </w:tcBorders>
            <w:shd w:val="clear" w:color="auto" w:fill="FFFFFF"/>
          </w:tcPr>
          <w:p w14:paraId="0CBDD4A2"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226" w:type="dxa"/>
            <w:tcBorders>
              <w:left w:val="single" w:sz="4" w:space="0" w:color="D9D9D9" w:themeColor="background1" w:themeShade="D9"/>
            </w:tcBorders>
            <w:shd w:val="clear" w:color="auto" w:fill="FFFFFF"/>
          </w:tcPr>
          <w:p w14:paraId="6992FB07"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226" w:type="dxa"/>
            <w:tcBorders>
              <w:right w:val="single" w:sz="4" w:space="0" w:color="auto"/>
            </w:tcBorders>
            <w:shd w:val="clear" w:color="auto" w:fill="FFFFFF"/>
          </w:tcPr>
          <w:p w14:paraId="46B533E1"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859" w:type="dxa"/>
            <w:tcBorders>
              <w:left w:val="single" w:sz="4" w:space="0" w:color="auto"/>
            </w:tcBorders>
            <w:shd w:val="clear" w:color="auto" w:fill="FFFFFF"/>
          </w:tcPr>
          <w:p w14:paraId="30940DA4" w14:textId="77777777" w:rsidR="00FC17EF" w:rsidRPr="009E12C8" w:rsidRDefault="00FC17EF" w:rsidP="009F157C">
            <w:pPr>
              <w:adjustRightInd w:val="0"/>
              <w:spacing w:before="0" w:after="0" w:line="240" w:lineRule="auto"/>
              <w:rPr>
                <w:rFonts w:cs="Times New Roman"/>
                <w:szCs w:val="24"/>
              </w:rPr>
            </w:pPr>
          </w:p>
        </w:tc>
      </w:tr>
      <w:tr w:rsidR="009E12C8" w:rsidRPr="009E12C8" w14:paraId="59B7536C" w14:textId="77777777" w:rsidTr="009F157C">
        <w:trPr>
          <w:cantSplit/>
          <w:jc w:val="center"/>
        </w:trPr>
        <w:tc>
          <w:tcPr>
            <w:tcW w:w="2322" w:type="dxa"/>
            <w:tcBorders>
              <w:right w:val="single" w:sz="4" w:space="0" w:color="D9D9D9" w:themeColor="background1" w:themeShade="D9"/>
            </w:tcBorders>
            <w:shd w:val="clear" w:color="auto" w:fill="FFFFFF"/>
          </w:tcPr>
          <w:p w14:paraId="2684B90B" w14:textId="77777777" w:rsidR="00FC17EF" w:rsidRPr="009E12C8" w:rsidRDefault="00FC17EF" w:rsidP="009F157C">
            <w:pPr>
              <w:adjustRightInd w:val="0"/>
              <w:spacing w:before="0" w:after="0" w:line="240" w:lineRule="auto"/>
              <w:ind w:left="267" w:hanging="87"/>
              <w:rPr>
                <w:rFonts w:cs="Times New Roman"/>
                <w:szCs w:val="24"/>
              </w:rPr>
            </w:pPr>
            <w:r w:rsidRPr="009E12C8">
              <w:rPr>
                <w:rFonts w:cs="Times New Roman"/>
                <w:szCs w:val="24"/>
              </w:rPr>
              <w:t>Caucasian</w:t>
            </w:r>
          </w:p>
        </w:tc>
        <w:tc>
          <w:tcPr>
            <w:tcW w:w="1390" w:type="dxa"/>
            <w:tcBorders>
              <w:left w:val="single" w:sz="4" w:space="0" w:color="D9D9D9" w:themeColor="background1" w:themeShade="D9"/>
            </w:tcBorders>
            <w:shd w:val="clear" w:color="auto" w:fill="FFFFFF"/>
          </w:tcPr>
          <w:p w14:paraId="4CBB98E3"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1 (12.5)</w:t>
            </w:r>
          </w:p>
        </w:tc>
        <w:tc>
          <w:tcPr>
            <w:tcW w:w="1170" w:type="dxa"/>
            <w:shd w:val="clear" w:color="auto" w:fill="FFFFFF"/>
          </w:tcPr>
          <w:p w14:paraId="53E517A7"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1 (16.7)</w:t>
            </w:r>
          </w:p>
        </w:tc>
        <w:tc>
          <w:tcPr>
            <w:tcW w:w="1297" w:type="dxa"/>
            <w:shd w:val="clear" w:color="auto" w:fill="FFFFFF"/>
          </w:tcPr>
          <w:p w14:paraId="16C93DAF"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263" w:type="dxa"/>
            <w:shd w:val="clear" w:color="auto" w:fill="FFFFFF"/>
          </w:tcPr>
          <w:p w14:paraId="41501826"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459" w:type="dxa"/>
            <w:tcBorders>
              <w:right w:val="single" w:sz="4" w:space="0" w:color="D9D9D9" w:themeColor="background1" w:themeShade="D9"/>
            </w:tcBorders>
            <w:shd w:val="clear" w:color="auto" w:fill="FFFFFF"/>
          </w:tcPr>
          <w:p w14:paraId="38BB3EC6"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1 (16.7)</w:t>
            </w:r>
          </w:p>
        </w:tc>
        <w:tc>
          <w:tcPr>
            <w:tcW w:w="1226" w:type="dxa"/>
            <w:tcBorders>
              <w:left w:val="single" w:sz="4" w:space="0" w:color="D9D9D9" w:themeColor="background1" w:themeShade="D9"/>
            </w:tcBorders>
            <w:shd w:val="clear" w:color="auto" w:fill="FFFFFF"/>
          </w:tcPr>
          <w:p w14:paraId="02640B06"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226" w:type="dxa"/>
            <w:tcBorders>
              <w:right w:val="single" w:sz="4" w:space="0" w:color="auto"/>
            </w:tcBorders>
            <w:shd w:val="clear" w:color="auto" w:fill="FFFFFF"/>
          </w:tcPr>
          <w:p w14:paraId="53079788"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859" w:type="dxa"/>
            <w:tcBorders>
              <w:left w:val="single" w:sz="4" w:space="0" w:color="auto"/>
            </w:tcBorders>
            <w:shd w:val="clear" w:color="auto" w:fill="FFFFFF"/>
          </w:tcPr>
          <w:p w14:paraId="654D18A5" w14:textId="77777777" w:rsidR="00FC17EF" w:rsidRPr="009E12C8" w:rsidRDefault="00FC17EF" w:rsidP="009F157C">
            <w:pPr>
              <w:adjustRightInd w:val="0"/>
              <w:spacing w:before="0" w:after="0" w:line="240" w:lineRule="auto"/>
              <w:rPr>
                <w:rFonts w:cs="Times New Roman"/>
                <w:szCs w:val="24"/>
              </w:rPr>
            </w:pPr>
          </w:p>
        </w:tc>
      </w:tr>
      <w:tr w:rsidR="009E12C8" w:rsidRPr="009E12C8" w14:paraId="7CF7EA01" w14:textId="77777777" w:rsidTr="009F157C">
        <w:trPr>
          <w:cantSplit/>
          <w:jc w:val="center"/>
        </w:trPr>
        <w:tc>
          <w:tcPr>
            <w:tcW w:w="2322" w:type="dxa"/>
            <w:tcBorders>
              <w:right w:val="single" w:sz="4" w:space="0" w:color="D9D9D9" w:themeColor="background1" w:themeShade="D9"/>
            </w:tcBorders>
            <w:shd w:val="clear" w:color="auto" w:fill="FFFFFF"/>
          </w:tcPr>
          <w:p w14:paraId="69083C22" w14:textId="77777777" w:rsidR="00FC17EF" w:rsidRPr="009E12C8" w:rsidRDefault="00FC17EF" w:rsidP="009F157C">
            <w:pPr>
              <w:adjustRightInd w:val="0"/>
              <w:spacing w:before="0" w:after="0" w:line="240" w:lineRule="auto"/>
              <w:ind w:left="267" w:hanging="87"/>
              <w:rPr>
                <w:rFonts w:cs="Times New Roman"/>
                <w:szCs w:val="24"/>
              </w:rPr>
            </w:pPr>
            <w:r w:rsidRPr="009E12C8">
              <w:rPr>
                <w:rFonts w:cs="Times New Roman"/>
                <w:szCs w:val="24"/>
              </w:rPr>
              <w:t>Mixed</w:t>
            </w:r>
          </w:p>
        </w:tc>
        <w:tc>
          <w:tcPr>
            <w:tcW w:w="1390" w:type="dxa"/>
            <w:tcBorders>
              <w:left w:val="single" w:sz="4" w:space="0" w:color="D9D9D9" w:themeColor="background1" w:themeShade="D9"/>
            </w:tcBorders>
            <w:shd w:val="clear" w:color="auto" w:fill="FFFFFF"/>
          </w:tcPr>
          <w:p w14:paraId="7BF7E5C0"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170" w:type="dxa"/>
            <w:shd w:val="clear" w:color="auto" w:fill="FFFFFF"/>
          </w:tcPr>
          <w:p w14:paraId="7035EB30"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297" w:type="dxa"/>
            <w:shd w:val="clear" w:color="auto" w:fill="FFFFFF"/>
          </w:tcPr>
          <w:p w14:paraId="5F8C74C4"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2 (33.3)</w:t>
            </w:r>
          </w:p>
        </w:tc>
        <w:tc>
          <w:tcPr>
            <w:tcW w:w="1263" w:type="dxa"/>
            <w:shd w:val="clear" w:color="auto" w:fill="FFFFFF"/>
          </w:tcPr>
          <w:p w14:paraId="2A686570"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459" w:type="dxa"/>
            <w:tcBorders>
              <w:right w:val="single" w:sz="4" w:space="0" w:color="D9D9D9" w:themeColor="background1" w:themeShade="D9"/>
            </w:tcBorders>
            <w:shd w:val="clear" w:color="auto" w:fill="FFFFFF"/>
          </w:tcPr>
          <w:p w14:paraId="02083230"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226" w:type="dxa"/>
            <w:tcBorders>
              <w:left w:val="single" w:sz="4" w:space="0" w:color="D9D9D9" w:themeColor="background1" w:themeShade="D9"/>
            </w:tcBorders>
            <w:shd w:val="clear" w:color="auto" w:fill="FFFFFF"/>
          </w:tcPr>
          <w:p w14:paraId="0F7A0D45"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226" w:type="dxa"/>
            <w:tcBorders>
              <w:right w:val="single" w:sz="4" w:space="0" w:color="auto"/>
            </w:tcBorders>
            <w:shd w:val="clear" w:color="auto" w:fill="FFFFFF"/>
          </w:tcPr>
          <w:p w14:paraId="585BBB87"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859" w:type="dxa"/>
            <w:tcBorders>
              <w:left w:val="single" w:sz="4" w:space="0" w:color="auto"/>
            </w:tcBorders>
            <w:shd w:val="clear" w:color="auto" w:fill="FFFFFF"/>
          </w:tcPr>
          <w:p w14:paraId="52360202" w14:textId="77777777" w:rsidR="00FC17EF" w:rsidRPr="009E12C8" w:rsidRDefault="00FC17EF" w:rsidP="009F157C">
            <w:pPr>
              <w:adjustRightInd w:val="0"/>
              <w:spacing w:before="0" w:after="0" w:line="240" w:lineRule="auto"/>
              <w:rPr>
                <w:rFonts w:cs="Times New Roman"/>
                <w:szCs w:val="24"/>
              </w:rPr>
            </w:pPr>
          </w:p>
        </w:tc>
      </w:tr>
      <w:tr w:rsidR="009E12C8" w:rsidRPr="009E12C8" w14:paraId="7941DABA" w14:textId="77777777" w:rsidTr="009F157C">
        <w:trPr>
          <w:cantSplit/>
          <w:jc w:val="center"/>
        </w:trPr>
        <w:tc>
          <w:tcPr>
            <w:tcW w:w="2322" w:type="dxa"/>
            <w:tcBorders>
              <w:right w:val="single" w:sz="4" w:space="0" w:color="D9D9D9" w:themeColor="background1" w:themeShade="D9"/>
            </w:tcBorders>
            <w:shd w:val="clear" w:color="auto" w:fill="FFFFFF"/>
          </w:tcPr>
          <w:p w14:paraId="4DD91C0D" w14:textId="77777777" w:rsidR="00FC17EF" w:rsidRPr="009E12C8" w:rsidRDefault="00FC17EF" w:rsidP="009F157C">
            <w:pPr>
              <w:adjustRightInd w:val="0"/>
              <w:spacing w:before="0" w:after="0" w:line="240" w:lineRule="auto"/>
              <w:ind w:left="177" w:firstLine="3"/>
              <w:rPr>
                <w:rFonts w:cs="Times New Roman"/>
                <w:szCs w:val="24"/>
              </w:rPr>
            </w:pPr>
            <w:r w:rsidRPr="009E12C8">
              <w:rPr>
                <w:rFonts w:cs="Times New Roman"/>
                <w:szCs w:val="24"/>
              </w:rPr>
              <w:t>Native Hawaiian or Other Pacific Islander</w:t>
            </w:r>
          </w:p>
        </w:tc>
        <w:tc>
          <w:tcPr>
            <w:tcW w:w="1390" w:type="dxa"/>
            <w:tcBorders>
              <w:left w:val="single" w:sz="4" w:space="0" w:color="D9D9D9" w:themeColor="background1" w:themeShade="D9"/>
            </w:tcBorders>
            <w:shd w:val="clear" w:color="auto" w:fill="FFFFFF"/>
          </w:tcPr>
          <w:p w14:paraId="1D1609F3"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170" w:type="dxa"/>
            <w:shd w:val="clear" w:color="auto" w:fill="FFFFFF"/>
          </w:tcPr>
          <w:p w14:paraId="71885FFA"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297" w:type="dxa"/>
            <w:shd w:val="clear" w:color="auto" w:fill="FFFFFF"/>
          </w:tcPr>
          <w:p w14:paraId="17D6FC93"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1 (16.7)</w:t>
            </w:r>
          </w:p>
        </w:tc>
        <w:tc>
          <w:tcPr>
            <w:tcW w:w="1263" w:type="dxa"/>
            <w:shd w:val="clear" w:color="auto" w:fill="FFFFFF"/>
          </w:tcPr>
          <w:p w14:paraId="2DA44588"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459" w:type="dxa"/>
            <w:tcBorders>
              <w:right w:val="single" w:sz="4" w:space="0" w:color="D9D9D9" w:themeColor="background1" w:themeShade="D9"/>
            </w:tcBorders>
            <w:shd w:val="clear" w:color="auto" w:fill="FFFFFF"/>
          </w:tcPr>
          <w:p w14:paraId="120C39BE"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226" w:type="dxa"/>
            <w:tcBorders>
              <w:left w:val="single" w:sz="4" w:space="0" w:color="D9D9D9" w:themeColor="background1" w:themeShade="D9"/>
            </w:tcBorders>
            <w:shd w:val="clear" w:color="auto" w:fill="FFFFFF"/>
          </w:tcPr>
          <w:p w14:paraId="7A0FDE80"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226" w:type="dxa"/>
            <w:tcBorders>
              <w:right w:val="single" w:sz="4" w:space="0" w:color="auto"/>
            </w:tcBorders>
            <w:shd w:val="clear" w:color="auto" w:fill="FFFFFF"/>
          </w:tcPr>
          <w:p w14:paraId="4DD7C258"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0</w:t>
            </w:r>
          </w:p>
        </w:tc>
        <w:tc>
          <w:tcPr>
            <w:tcW w:w="1859" w:type="dxa"/>
            <w:tcBorders>
              <w:left w:val="single" w:sz="4" w:space="0" w:color="auto"/>
            </w:tcBorders>
            <w:shd w:val="clear" w:color="auto" w:fill="FFFFFF"/>
          </w:tcPr>
          <w:p w14:paraId="69478EE5" w14:textId="77777777" w:rsidR="00FC17EF" w:rsidRPr="009E12C8" w:rsidRDefault="00FC17EF" w:rsidP="009F157C">
            <w:pPr>
              <w:adjustRightInd w:val="0"/>
              <w:spacing w:before="0" w:after="0" w:line="240" w:lineRule="auto"/>
              <w:rPr>
                <w:rFonts w:cs="Times New Roman"/>
                <w:szCs w:val="24"/>
              </w:rPr>
            </w:pPr>
          </w:p>
        </w:tc>
      </w:tr>
      <w:tr w:rsidR="009E12C8" w:rsidRPr="009E12C8" w14:paraId="5BD76221" w14:textId="77777777" w:rsidTr="009F157C">
        <w:trPr>
          <w:cantSplit/>
          <w:trHeight w:val="153"/>
          <w:jc w:val="center"/>
        </w:trPr>
        <w:tc>
          <w:tcPr>
            <w:tcW w:w="2322" w:type="dxa"/>
            <w:tcBorders>
              <w:right w:val="single" w:sz="4" w:space="0" w:color="D9D9D9" w:themeColor="background1" w:themeShade="D9"/>
            </w:tcBorders>
            <w:shd w:val="clear" w:color="auto" w:fill="FFFFFF"/>
          </w:tcPr>
          <w:p w14:paraId="6E711538" w14:textId="77777777" w:rsidR="00FC17EF" w:rsidRPr="009E12C8" w:rsidRDefault="00FC17EF" w:rsidP="009F157C">
            <w:pPr>
              <w:adjustRightInd w:val="0"/>
              <w:spacing w:before="0" w:after="0" w:line="240" w:lineRule="auto"/>
              <w:ind w:left="267" w:hanging="87"/>
              <w:rPr>
                <w:rFonts w:cs="Times New Roman"/>
                <w:szCs w:val="24"/>
              </w:rPr>
            </w:pPr>
            <w:r w:rsidRPr="009E12C8">
              <w:rPr>
                <w:rFonts w:cs="Times New Roman"/>
                <w:szCs w:val="24"/>
              </w:rPr>
              <w:t>White</w:t>
            </w:r>
          </w:p>
        </w:tc>
        <w:tc>
          <w:tcPr>
            <w:tcW w:w="1390" w:type="dxa"/>
            <w:tcBorders>
              <w:left w:val="single" w:sz="4" w:space="0" w:color="D9D9D9" w:themeColor="background1" w:themeShade="D9"/>
            </w:tcBorders>
            <w:shd w:val="clear" w:color="auto" w:fill="FFFFFF"/>
          </w:tcPr>
          <w:p w14:paraId="0347E4BB"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7 (87.5)</w:t>
            </w:r>
          </w:p>
        </w:tc>
        <w:tc>
          <w:tcPr>
            <w:tcW w:w="1170" w:type="dxa"/>
            <w:shd w:val="clear" w:color="auto" w:fill="FFFFFF"/>
          </w:tcPr>
          <w:p w14:paraId="781E963F"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5 (83.3)</w:t>
            </w:r>
          </w:p>
        </w:tc>
        <w:tc>
          <w:tcPr>
            <w:tcW w:w="1297" w:type="dxa"/>
            <w:shd w:val="clear" w:color="auto" w:fill="FFFFFF"/>
          </w:tcPr>
          <w:p w14:paraId="4876F78F"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2 (33.3)</w:t>
            </w:r>
          </w:p>
        </w:tc>
        <w:tc>
          <w:tcPr>
            <w:tcW w:w="1263" w:type="dxa"/>
            <w:shd w:val="clear" w:color="auto" w:fill="FFFFFF"/>
          </w:tcPr>
          <w:p w14:paraId="1703FF7F"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6 (100.0)</w:t>
            </w:r>
          </w:p>
        </w:tc>
        <w:tc>
          <w:tcPr>
            <w:tcW w:w="1459" w:type="dxa"/>
            <w:tcBorders>
              <w:right w:val="single" w:sz="4" w:space="0" w:color="D9D9D9" w:themeColor="background1" w:themeShade="D9"/>
            </w:tcBorders>
            <w:shd w:val="clear" w:color="auto" w:fill="FFFFFF"/>
          </w:tcPr>
          <w:p w14:paraId="0F6D56C0"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5 (83.3)</w:t>
            </w:r>
          </w:p>
        </w:tc>
        <w:tc>
          <w:tcPr>
            <w:tcW w:w="1226" w:type="dxa"/>
            <w:tcBorders>
              <w:left w:val="single" w:sz="4" w:space="0" w:color="D9D9D9" w:themeColor="background1" w:themeShade="D9"/>
            </w:tcBorders>
            <w:shd w:val="clear" w:color="auto" w:fill="FFFFFF"/>
          </w:tcPr>
          <w:p w14:paraId="70A5AC49" w14:textId="77777777" w:rsidR="00FC17EF" w:rsidRPr="009E12C8" w:rsidRDefault="00FC17EF" w:rsidP="009F157C">
            <w:pPr>
              <w:spacing w:before="0" w:after="0" w:line="240" w:lineRule="auto"/>
              <w:rPr>
                <w:rFonts w:cs="Times New Roman"/>
                <w:szCs w:val="24"/>
              </w:rPr>
            </w:pPr>
            <w:r w:rsidRPr="009E12C8">
              <w:rPr>
                <w:rFonts w:cs="Times New Roman"/>
                <w:szCs w:val="24"/>
              </w:rPr>
              <w:t>2 (100.0)</w:t>
            </w:r>
          </w:p>
        </w:tc>
        <w:tc>
          <w:tcPr>
            <w:tcW w:w="1226" w:type="dxa"/>
            <w:tcBorders>
              <w:right w:val="single" w:sz="4" w:space="0" w:color="auto"/>
            </w:tcBorders>
            <w:shd w:val="clear" w:color="auto" w:fill="FFFFFF"/>
          </w:tcPr>
          <w:p w14:paraId="1ECF50A0" w14:textId="77777777" w:rsidR="00FC17EF" w:rsidRPr="009E12C8" w:rsidRDefault="00FC17EF" w:rsidP="009F157C">
            <w:pPr>
              <w:spacing w:before="0" w:after="0" w:line="240" w:lineRule="auto"/>
              <w:rPr>
                <w:rFonts w:cs="Times New Roman"/>
                <w:szCs w:val="24"/>
              </w:rPr>
            </w:pPr>
            <w:r w:rsidRPr="009E12C8">
              <w:rPr>
                <w:rFonts w:cs="Times New Roman"/>
                <w:szCs w:val="24"/>
              </w:rPr>
              <w:t>6 (100.0)</w:t>
            </w:r>
          </w:p>
        </w:tc>
        <w:tc>
          <w:tcPr>
            <w:tcW w:w="1859" w:type="dxa"/>
            <w:tcBorders>
              <w:left w:val="single" w:sz="4" w:space="0" w:color="auto"/>
            </w:tcBorders>
            <w:shd w:val="clear" w:color="auto" w:fill="FFFFFF"/>
          </w:tcPr>
          <w:p w14:paraId="1254D761" w14:textId="77777777" w:rsidR="00FC17EF" w:rsidRPr="009E12C8" w:rsidRDefault="00FC17EF" w:rsidP="009F157C">
            <w:pPr>
              <w:spacing w:before="0" w:after="0" w:line="240" w:lineRule="auto"/>
              <w:rPr>
                <w:rFonts w:cs="Times New Roman"/>
                <w:szCs w:val="24"/>
              </w:rPr>
            </w:pPr>
            <w:r w:rsidRPr="009E12C8">
              <w:rPr>
                <w:rFonts w:cs="Times New Roman"/>
                <w:szCs w:val="24"/>
              </w:rPr>
              <w:t>15 (100.0)</w:t>
            </w:r>
          </w:p>
        </w:tc>
      </w:tr>
      <w:tr w:rsidR="009E12C8" w:rsidRPr="009E12C8" w14:paraId="1EC24DC0" w14:textId="77777777" w:rsidTr="009F157C">
        <w:trPr>
          <w:cantSplit/>
          <w:trHeight w:val="253"/>
          <w:jc w:val="center"/>
        </w:trPr>
        <w:tc>
          <w:tcPr>
            <w:tcW w:w="2322" w:type="dxa"/>
            <w:tcBorders>
              <w:right w:val="single" w:sz="4" w:space="0" w:color="D9D9D9" w:themeColor="background1" w:themeShade="D9"/>
            </w:tcBorders>
            <w:shd w:val="clear" w:color="auto" w:fill="FFFFFF"/>
          </w:tcPr>
          <w:p w14:paraId="70DC672C"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Age (years), mean±SD</w:t>
            </w:r>
          </w:p>
        </w:tc>
        <w:tc>
          <w:tcPr>
            <w:tcW w:w="1390" w:type="dxa"/>
            <w:tcBorders>
              <w:left w:val="single" w:sz="4" w:space="0" w:color="D9D9D9" w:themeColor="background1" w:themeShade="D9"/>
            </w:tcBorders>
            <w:shd w:val="clear" w:color="auto" w:fill="FFFFFF"/>
          </w:tcPr>
          <w:p w14:paraId="526F055C"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55.0±7.67</w:t>
            </w:r>
          </w:p>
        </w:tc>
        <w:tc>
          <w:tcPr>
            <w:tcW w:w="1170" w:type="dxa"/>
            <w:shd w:val="clear" w:color="auto" w:fill="FFFFFF"/>
          </w:tcPr>
          <w:p w14:paraId="082D765D"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45.7±4.97</w:t>
            </w:r>
          </w:p>
        </w:tc>
        <w:tc>
          <w:tcPr>
            <w:tcW w:w="1297" w:type="dxa"/>
            <w:shd w:val="clear" w:color="auto" w:fill="FFFFFF"/>
          </w:tcPr>
          <w:p w14:paraId="53227C64"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38.7±11.47</w:t>
            </w:r>
          </w:p>
        </w:tc>
        <w:tc>
          <w:tcPr>
            <w:tcW w:w="1263" w:type="dxa"/>
            <w:shd w:val="clear" w:color="auto" w:fill="FFFFFF"/>
          </w:tcPr>
          <w:p w14:paraId="6D0AE16A"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48.7±11.04</w:t>
            </w:r>
          </w:p>
        </w:tc>
        <w:tc>
          <w:tcPr>
            <w:tcW w:w="1459" w:type="dxa"/>
            <w:tcBorders>
              <w:right w:val="single" w:sz="4" w:space="0" w:color="D9D9D9" w:themeColor="background1" w:themeShade="D9"/>
            </w:tcBorders>
            <w:shd w:val="clear" w:color="auto" w:fill="FFFFFF"/>
          </w:tcPr>
          <w:p w14:paraId="55769E96"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68.8±2.93</w:t>
            </w:r>
          </w:p>
        </w:tc>
        <w:tc>
          <w:tcPr>
            <w:tcW w:w="1226" w:type="dxa"/>
            <w:tcBorders>
              <w:left w:val="single" w:sz="4" w:space="0" w:color="D9D9D9" w:themeColor="background1" w:themeShade="D9"/>
            </w:tcBorders>
            <w:shd w:val="clear" w:color="auto" w:fill="FFFFFF"/>
          </w:tcPr>
          <w:p w14:paraId="42AEBCBB" w14:textId="77777777" w:rsidR="00FC17EF" w:rsidRPr="009E12C8" w:rsidRDefault="00FC17EF" w:rsidP="009F157C">
            <w:pPr>
              <w:spacing w:before="0" w:after="0" w:line="240" w:lineRule="auto"/>
              <w:rPr>
                <w:rFonts w:cs="Times New Roman"/>
                <w:szCs w:val="24"/>
              </w:rPr>
            </w:pPr>
            <w:r w:rsidRPr="009E12C8">
              <w:rPr>
                <w:rFonts w:cs="Times New Roman"/>
                <w:szCs w:val="24"/>
              </w:rPr>
              <w:t>54.0±1.41</w:t>
            </w:r>
          </w:p>
        </w:tc>
        <w:tc>
          <w:tcPr>
            <w:tcW w:w="1226" w:type="dxa"/>
            <w:tcBorders>
              <w:right w:val="single" w:sz="4" w:space="0" w:color="auto"/>
            </w:tcBorders>
            <w:shd w:val="clear" w:color="auto" w:fill="FFFFFF"/>
          </w:tcPr>
          <w:p w14:paraId="448B1C6A" w14:textId="77777777" w:rsidR="00FC17EF" w:rsidRPr="009E12C8" w:rsidRDefault="00FC17EF" w:rsidP="009F157C">
            <w:pPr>
              <w:spacing w:before="0" w:after="0" w:line="240" w:lineRule="auto"/>
              <w:rPr>
                <w:rFonts w:cs="Times New Roman"/>
                <w:szCs w:val="24"/>
              </w:rPr>
            </w:pPr>
            <w:r w:rsidRPr="009E12C8">
              <w:rPr>
                <w:rFonts w:cs="Times New Roman"/>
                <w:szCs w:val="24"/>
              </w:rPr>
              <w:t>37.7±11.83</w:t>
            </w:r>
          </w:p>
        </w:tc>
        <w:tc>
          <w:tcPr>
            <w:tcW w:w="1859" w:type="dxa"/>
            <w:tcBorders>
              <w:left w:val="single" w:sz="4" w:space="0" w:color="auto"/>
            </w:tcBorders>
            <w:shd w:val="clear" w:color="auto" w:fill="FFFFFF"/>
          </w:tcPr>
          <w:p w14:paraId="27CDD71D" w14:textId="77777777" w:rsidR="00FC17EF" w:rsidRPr="009E12C8" w:rsidRDefault="00FC17EF" w:rsidP="009F157C">
            <w:pPr>
              <w:spacing w:before="0" w:after="0" w:line="240" w:lineRule="auto"/>
              <w:rPr>
                <w:rFonts w:cs="Times New Roman"/>
                <w:szCs w:val="24"/>
              </w:rPr>
            </w:pPr>
            <w:r w:rsidRPr="009E12C8">
              <w:t>28.5</w:t>
            </w:r>
            <w:r w:rsidRPr="009E12C8">
              <w:rPr>
                <w:rFonts w:cs="Times New Roman"/>
                <w:szCs w:val="24"/>
              </w:rPr>
              <w:t>±</w:t>
            </w:r>
            <w:r w:rsidRPr="009E12C8">
              <w:t>9.17</w:t>
            </w:r>
          </w:p>
        </w:tc>
      </w:tr>
      <w:tr w:rsidR="009E12C8" w:rsidRPr="009E12C8" w14:paraId="3EC7E43E" w14:textId="77777777" w:rsidTr="009F157C">
        <w:trPr>
          <w:cantSplit/>
          <w:trHeight w:val="66"/>
          <w:jc w:val="center"/>
        </w:trPr>
        <w:tc>
          <w:tcPr>
            <w:tcW w:w="2322" w:type="dxa"/>
            <w:tcBorders>
              <w:right w:val="single" w:sz="4" w:space="0" w:color="D9D9D9" w:themeColor="background1" w:themeShade="D9"/>
            </w:tcBorders>
            <w:shd w:val="clear" w:color="auto" w:fill="FFFFFF"/>
          </w:tcPr>
          <w:p w14:paraId="1F2D8CE7"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Weight (kg), mean±SD</w:t>
            </w:r>
          </w:p>
        </w:tc>
        <w:tc>
          <w:tcPr>
            <w:tcW w:w="1390" w:type="dxa"/>
            <w:tcBorders>
              <w:left w:val="single" w:sz="4" w:space="0" w:color="D9D9D9" w:themeColor="background1" w:themeShade="D9"/>
            </w:tcBorders>
            <w:shd w:val="clear" w:color="auto" w:fill="FFFFFF"/>
          </w:tcPr>
          <w:p w14:paraId="31833EB4"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70.8±11.18</w:t>
            </w:r>
          </w:p>
        </w:tc>
        <w:tc>
          <w:tcPr>
            <w:tcW w:w="1170" w:type="dxa"/>
            <w:shd w:val="clear" w:color="auto" w:fill="FFFFFF"/>
          </w:tcPr>
          <w:p w14:paraId="13094F7E"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83.0±9.74</w:t>
            </w:r>
          </w:p>
        </w:tc>
        <w:tc>
          <w:tcPr>
            <w:tcW w:w="1297" w:type="dxa"/>
            <w:shd w:val="clear" w:color="auto" w:fill="FFFFFF"/>
          </w:tcPr>
          <w:p w14:paraId="673B4EEA"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74.0±13.26</w:t>
            </w:r>
          </w:p>
        </w:tc>
        <w:tc>
          <w:tcPr>
            <w:tcW w:w="1263" w:type="dxa"/>
            <w:shd w:val="clear" w:color="auto" w:fill="FFFFFF"/>
          </w:tcPr>
          <w:p w14:paraId="694F6569"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66.7±11.28</w:t>
            </w:r>
          </w:p>
        </w:tc>
        <w:tc>
          <w:tcPr>
            <w:tcW w:w="1459" w:type="dxa"/>
            <w:tcBorders>
              <w:right w:val="single" w:sz="4" w:space="0" w:color="D9D9D9" w:themeColor="background1" w:themeShade="D9"/>
            </w:tcBorders>
            <w:shd w:val="clear" w:color="auto" w:fill="FFFFFF"/>
          </w:tcPr>
          <w:p w14:paraId="25F25765"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68.6±8.84</w:t>
            </w:r>
          </w:p>
        </w:tc>
        <w:tc>
          <w:tcPr>
            <w:tcW w:w="1226" w:type="dxa"/>
            <w:tcBorders>
              <w:left w:val="single" w:sz="4" w:space="0" w:color="D9D9D9" w:themeColor="background1" w:themeShade="D9"/>
            </w:tcBorders>
            <w:shd w:val="clear" w:color="auto" w:fill="FFFFFF"/>
          </w:tcPr>
          <w:p w14:paraId="5D0F86E5" w14:textId="77777777" w:rsidR="00FC17EF" w:rsidRPr="009E12C8" w:rsidRDefault="00FC17EF" w:rsidP="009F157C">
            <w:pPr>
              <w:spacing w:before="0" w:after="0" w:line="240" w:lineRule="auto"/>
              <w:rPr>
                <w:rFonts w:cs="Times New Roman"/>
                <w:szCs w:val="24"/>
              </w:rPr>
            </w:pPr>
            <w:r w:rsidRPr="009E12C8">
              <w:rPr>
                <w:rFonts w:cs="Times New Roman"/>
                <w:szCs w:val="24"/>
              </w:rPr>
              <w:t>74.8±11.81</w:t>
            </w:r>
          </w:p>
        </w:tc>
        <w:tc>
          <w:tcPr>
            <w:tcW w:w="1226" w:type="dxa"/>
            <w:tcBorders>
              <w:right w:val="single" w:sz="4" w:space="0" w:color="auto"/>
            </w:tcBorders>
            <w:shd w:val="clear" w:color="auto" w:fill="FFFFFF"/>
          </w:tcPr>
          <w:p w14:paraId="37B6EACA" w14:textId="77777777" w:rsidR="00FC17EF" w:rsidRPr="009E12C8" w:rsidRDefault="00FC17EF" w:rsidP="009F157C">
            <w:pPr>
              <w:spacing w:before="0" w:after="0" w:line="240" w:lineRule="auto"/>
              <w:rPr>
                <w:rFonts w:cs="Times New Roman"/>
                <w:szCs w:val="24"/>
              </w:rPr>
            </w:pPr>
            <w:r w:rsidRPr="009E12C8">
              <w:rPr>
                <w:rFonts w:cs="Times New Roman"/>
                <w:szCs w:val="24"/>
              </w:rPr>
              <w:t>76.8±5.70</w:t>
            </w:r>
          </w:p>
        </w:tc>
        <w:tc>
          <w:tcPr>
            <w:tcW w:w="1859" w:type="dxa"/>
            <w:tcBorders>
              <w:left w:val="single" w:sz="4" w:space="0" w:color="auto"/>
            </w:tcBorders>
            <w:shd w:val="clear" w:color="auto" w:fill="FFFFFF"/>
          </w:tcPr>
          <w:p w14:paraId="7F5A1AED" w14:textId="77777777" w:rsidR="00FC17EF" w:rsidRPr="009E12C8" w:rsidRDefault="00FC17EF" w:rsidP="009F157C">
            <w:pPr>
              <w:spacing w:before="0" w:after="0" w:line="240" w:lineRule="auto"/>
              <w:rPr>
                <w:rFonts w:cs="Times New Roman"/>
                <w:szCs w:val="24"/>
              </w:rPr>
            </w:pPr>
            <w:r w:rsidRPr="009E12C8">
              <w:t>74.1</w:t>
            </w:r>
            <w:r w:rsidRPr="009E12C8">
              <w:rPr>
                <w:rFonts w:cs="Times New Roman"/>
                <w:szCs w:val="24"/>
              </w:rPr>
              <w:t>±</w:t>
            </w:r>
            <w:r w:rsidRPr="009E12C8">
              <w:t>9.73</w:t>
            </w:r>
          </w:p>
        </w:tc>
      </w:tr>
      <w:tr w:rsidR="009E12C8" w:rsidRPr="009E12C8" w14:paraId="148B35E4" w14:textId="77777777" w:rsidTr="009F157C">
        <w:trPr>
          <w:cantSplit/>
          <w:trHeight w:val="165"/>
          <w:jc w:val="center"/>
        </w:trPr>
        <w:tc>
          <w:tcPr>
            <w:tcW w:w="2322" w:type="dxa"/>
            <w:tcBorders>
              <w:bottom w:val="single" w:sz="4" w:space="0" w:color="auto"/>
              <w:right w:val="single" w:sz="4" w:space="0" w:color="D9D9D9" w:themeColor="background1" w:themeShade="D9"/>
            </w:tcBorders>
            <w:shd w:val="clear" w:color="auto" w:fill="FFFFFF"/>
          </w:tcPr>
          <w:p w14:paraId="158BF8F7"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BMI (kg/m</w:t>
            </w:r>
            <w:r w:rsidRPr="009E12C8">
              <w:rPr>
                <w:rFonts w:cs="Times New Roman"/>
                <w:szCs w:val="24"/>
                <w:vertAlign w:val="superscript"/>
              </w:rPr>
              <w:t>2</w:t>
            </w:r>
            <w:r w:rsidRPr="009E12C8">
              <w:rPr>
                <w:rFonts w:cs="Times New Roman"/>
                <w:szCs w:val="24"/>
              </w:rPr>
              <w:t>), mean±SD</w:t>
            </w:r>
          </w:p>
        </w:tc>
        <w:tc>
          <w:tcPr>
            <w:tcW w:w="1390" w:type="dxa"/>
            <w:tcBorders>
              <w:left w:val="single" w:sz="4" w:space="0" w:color="D9D9D9" w:themeColor="background1" w:themeShade="D9"/>
              <w:bottom w:val="single" w:sz="4" w:space="0" w:color="auto"/>
            </w:tcBorders>
            <w:shd w:val="clear" w:color="auto" w:fill="FFFFFF"/>
          </w:tcPr>
          <w:p w14:paraId="35DAD86C"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25.4±2.98</w:t>
            </w:r>
          </w:p>
        </w:tc>
        <w:tc>
          <w:tcPr>
            <w:tcW w:w="1170" w:type="dxa"/>
            <w:tcBorders>
              <w:bottom w:val="single" w:sz="4" w:space="0" w:color="auto"/>
            </w:tcBorders>
            <w:shd w:val="clear" w:color="auto" w:fill="FFFFFF"/>
          </w:tcPr>
          <w:p w14:paraId="27AD8605"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26.0±2.42</w:t>
            </w:r>
          </w:p>
        </w:tc>
        <w:tc>
          <w:tcPr>
            <w:tcW w:w="1297" w:type="dxa"/>
            <w:tcBorders>
              <w:bottom w:val="single" w:sz="4" w:space="0" w:color="auto"/>
            </w:tcBorders>
            <w:shd w:val="clear" w:color="auto" w:fill="FFFFFF"/>
          </w:tcPr>
          <w:p w14:paraId="46FB3F0A"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24.6±3.52</w:t>
            </w:r>
          </w:p>
        </w:tc>
        <w:tc>
          <w:tcPr>
            <w:tcW w:w="1263" w:type="dxa"/>
            <w:tcBorders>
              <w:bottom w:val="single" w:sz="4" w:space="0" w:color="auto"/>
            </w:tcBorders>
            <w:shd w:val="clear" w:color="auto" w:fill="FFFFFF"/>
          </w:tcPr>
          <w:p w14:paraId="2FAE3894"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23.8±3.28</w:t>
            </w:r>
          </w:p>
        </w:tc>
        <w:tc>
          <w:tcPr>
            <w:tcW w:w="1459" w:type="dxa"/>
            <w:tcBorders>
              <w:bottom w:val="single" w:sz="4" w:space="0" w:color="auto"/>
              <w:right w:val="single" w:sz="4" w:space="0" w:color="D9D9D9" w:themeColor="background1" w:themeShade="D9"/>
            </w:tcBorders>
            <w:shd w:val="clear" w:color="auto" w:fill="FFFFFF"/>
          </w:tcPr>
          <w:p w14:paraId="49BD465B" w14:textId="77777777" w:rsidR="00FC17EF" w:rsidRPr="009E12C8" w:rsidRDefault="00FC17EF" w:rsidP="009F157C">
            <w:pPr>
              <w:adjustRightInd w:val="0"/>
              <w:spacing w:before="0" w:after="0" w:line="240" w:lineRule="auto"/>
              <w:rPr>
                <w:rFonts w:cs="Times New Roman"/>
                <w:szCs w:val="24"/>
              </w:rPr>
            </w:pPr>
            <w:r w:rsidRPr="009E12C8">
              <w:rPr>
                <w:rFonts w:cs="Times New Roman"/>
                <w:szCs w:val="24"/>
              </w:rPr>
              <w:t>25.3±2.18</w:t>
            </w:r>
          </w:p>
        </w:tc>
        <w:tc>
          <w:tcPr>
            <w:tcW w:w="1226" w:type="dxa"/>
            <w:tcBorders>
              <w:left w:val="single" w:sz="4" w:space="0" w:color="D9D9D9" w:themeColor="background1" w:themeShade="D9"/>
              <w:bottom w:val="single" w:sz="4" w:space="0" w:color="auto"/>
            </w:tcBorders>
            <w:shd w:val="clear" w:color="auto" w:fill="FFFFFF"/>
          </w:tcPr>
          <w:p w14:paraId="7D40DA8F" w14:textId="77777777" w:rsidR="00FC17EF" w:rsidRPr="009E12C8" w:rsidRDefault="00FC17EF" w:rsidP="009F157C">
            <w:pPr>
              <w:spacing w:before="0" w:after="0" w:line="240" w:lineRule="auto"/>
              <w:rPr>
                <w:rFonts w:cs="Times New Roman"/>
                <w:szCs w:val="24"/>
              </w:rPr>
            </w:pPr>
            <w:r w:rsidRPr="009E12C8">
              <w:rPr>
                <w:rFonts w:cs="Times New Roman"/>
                <w:szCs w:val="24"/>
              </w:rPr>
              <w:t>25.4±4.31</w:t>
            </w:r>
          </w:p>
        </w:tc>
        <w:tc>
          <w:tcPr>
            <w:tcW w:w="1226" w:type="dxa"/>
            <w:tcBorders>
              <w:bottom w:val="single" w:sz="4" w:space="0" w:color="auto"/>
              <w:right w:val="single" w:sz="4" w:space="0" w:color="auto"/>
            </w:tcBorders>
            <w:shd w:val="clear" w:color="auto" w:fill="FFFFFF"/>
          </w:tcPr>
          <w:p w14:paraId="3C0DA76C" w14:textId="77777777" w:rsidR="00FC17EF" w:rsidRPr="009E12C8" w:rsidRDefault="00FC17EF" w:rsidP="009F157C">
            <w:pPr>
              <w:spacing w:before="0" w:after="0" w:line="240" w:lineRule="auto"/>
              <w:rPr>
                <w:rFonts w:cs="Times New Roman"/>
                <w:szCs w:val="24"/>
              </w:rPr>
            </w:pPr>
            <w:r w:rsidRPr="009E12C8">
              <w:rPr>
                <w:rFonts w:cs="Times New Roman"/>
                <w:szCs w:val="24"/>
              </w:rPr>
              <w:t>24.6±1.24</w:t>
            </w:r>
          </w:p>
        </w:tc>
        <w:tc>
          <w:tcPr>
            <w:tcW w:w="1859" w:type="dxa"/>
            <w:tcBorders>
              <w:left w:val="single" w:sz="4" w:space="0" w:color="auto"/>
              <w:bottom w:val="single" w:sz="4" w:space="0" w:color="auto"/>
            </w:tcBorders>
            <w:shd w:val="clear" w:color="auto" w:fill="FFFFFF"/>
          </w:tcPr>
          <w:p w14:paraId="72DC9D4B" w14:textId="77777777" w:rsidR="00FC17EF" w:rsidRPr="009E12C8" w:rsidRDefault="00FC17EF" w:rsidP="009F157C">
            <w:pPr>
              <w:spacing w:before="0" w:after="0" w:line="240" w:lineRule="auto"/>
              <w:rPr>
                <w:rFonts w:cs="Times New Roman"/>
                <w:szCs w:val="24"/>
              </w:rPr>
            </w:pPr>
            <w:r w:rsidRPr="009E12C8">
              <w:t>22.8</w:t>
            </w:r>
            <w:r w:rsidRPr="009E12C8">
              <w:rPr>
                <w:rFonts w:cs="Times New Roman"/>
                <w:szCs w:val="24"/>
              </w:rPr>
              <w:t>±</w:t>
            </w:r>
            <w:r w:rsidRPr="009E12C8">
              <w:t>2.70</w:t>
            </w:r>
          </w:p>
        </w:tc>
      </w:tr>
      <w:tr w:rsidR="009E12C8" w:rsidRPr="009E12C8" w14:paraId="04640AD2" w14:textId="77777777" w:rsidTr="009F157C">
        <w:trPr>
          <w:cantSplit/>
          <w:trHeight w:val="165"/>
          <w:jc w:val="center"/>
        </w:trPr>
        <w:tc>
          <w:tcPr>
            <w:tcW w:w="13212" w:type="dxa"/>
            <w:gridSpan w:val="9"/>
            <w:tcBorders>
              <w:top w:val="single" w:sz="4" w:space="0" w:color="auto"/>
            </w:tcBorders>
            <w:shd w:val="clear" w:color="auto" w:fill="FFFFFF"/>
          </w:tcPr>
          <w:p w14:paraId="3B9F382E" w14:textId="77777777" w:rsidR="00FC17EF" w:rsidRPr="009E12C8" w:rsidRDefault="00FC17EF" w:rsidP="009F157C">
            <w:pPr>
              <w:spacing w:before="0" w:after="0" w:line="240" w:lineRule="auto"/>
              <w:rPr>
                <w:rFonts w:cs="Times New Roman"/>
                <w:szCs w:val="24"/>
              </w:rPr>
            </w:pPr>
            <w:r w:rsidRPr="009E12C8">
              <w:rPr>
                <w:rFonts w:cs="Times New Roman"/>
                <w:szCs w:val="24"/>
              </w:rPr>
              <w:t>BMI, body mass index; MAD, multiple ascending dose; PET, positron emission tomography; SD, standard deviation</w:t>
            </w:r>
          </w:p>
          <w:p w14:paraId="663B1A12" w14:textId="77777777" w:rsidR="00FC17EF" w:rsidRPr="009E12C8" w:rsidRDefault="00FC17EF" w:rsidP="009F157C">
            <w:pPr>
              <w:spacing w:before="0" w:after="0" w:line="240" w:lineRule="auto"/>
              <w:rPr>
                <w:rFonts w:cs="Times New Roman"/>
                <w:szCs w:val="24"/>
              </w:rPr>
            </w:pPr>
          </w:p>
        </w:tc>
      </w:tr>
    </w:tbl>
    <w:p w14:paraId="0CFFCB72" w14:textId="77777777" w:rsidR="00FC17EF" w:rsidRPr="009E12C8" w:rsidRDefault="00FC17EF" w:rsidP="009F157C">
      <w:pPr>
        <w:spacing w:before="0" w:after="200" w:line="276" w:lineRule="auto"/>
        <w:sectPr w:rsidR="00FC17EF" w:rsidRPr="009E12C8" w:rsidSect="00420AB3">
          <w:type w:val="continuous"/>
          <w:pgSz w:w="16840" w:h="11907" w:orient="landscape" w:code="9"/>
          <w:pgMar w:top="1361" w:right="1361" w:bottom="1361" w:left="1361" w:header="709" w:footer="709" w:gutter="0"/>
          <w:lnNumType w:countBy="1" w:restart="continuous"/>
          <w:cols w:space="708"/>
          <w:docGrid w:linePitch="360"/>
        </w:sectPr>
      </w:pPr>
    </w:p>
    <w:p w14:paraId="4C2C8DE2" w14:textId="77777777" w:rsidR="00FC17EF" w:rsidRPr="009E12C8" w:rsidRDefault="00FC17EF" w:rsidP="009F157C">
      <w:pPr>
        <w:pStyle w:val="Heading2"/>
      </w:pPr>
      <w:bookmarkStart w:id="9" w:name="_Table_S1._Arithmetic"/>
      <w:bookmarkEnd w:id="9"/>
      <w:r w:rsidRPr="009E12C8">
        <w:lastRenderedPageBreak/>
        <w:t>Table S2. Arithmetic mean (standard deviation) JNJ-42165279 plasma and urine pharmacokinetic parameters in healthy volunteers (MAD study, pharmacokinetic data analysis set)</w:t>
      </w:r>
    </w:p>
    <w:bookmarkEnd w:id="4"/>
    <w:bookmarkEnd w:id="5"/>
    <w:bookmarkEnd w:id="6"/>
    <w:tbl>
      <w:tblPr>
        <w:tblW w:w="9360" w:type="dxa"/>
        <w:tblInd w:w="108" w:type="dxa"/>
        <w:tblLayout w:type="fixed"/>
        <w:tblLook w:val="04A0" w:firstRow="1" w:lastRow="0" w:firstColumn="1" w:lastColumn="0" w:noHBand="0" w:noVBand="1"/>
      </w:tblPr>
      <w:tblGrid>
        <w:gridCol w:w="1440"/>
        <w:gridCol w:w="1584"/>
        <w:gridCol w:w="1584"/>
        <w:gridCol w:w="1584"/>
        <w:gridCol w:w="1584"/>
        <w:gridCol w:w="1584"/>
      </w:tblGrid>
      <w:tr w:rsidR="009E12C8" w:rsidRPr="009E12C8" w14:paraId="774E1B98" w14:textId="77777777" w:rsidTr="009F157C">
        <w:trPr>
          <w:trHeight w:val="170"/>
        </w:trPr>
        <w:tc>
          <w:tcPr>
            <w:tcW w:w="1440" w:type="dxa"/>
            <w:tcBorders>
              <w:top w:val="single" w:sz="4" w:space="0" w:color="auto"/>
              <w:left w:val="nil"/>
              <w:bottom w:val="nil"/>
              <w:right w:val="nil"/>
            </w:tcBorders>
          </w:tcPr>
          <w:p w14:paraId="644BFD27"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p>
        </w:tc>
        <w:tc>
          <w:tcPr>
            <w:tcW w:w="4752" w:type="dxa"/>
            <w:gridSpan w:val="3"/>
            <w:tcBorders>
              <w:top w:val="single" w:sz="4" w:space="0" w:color="auto"/>
              <w:left w:val="nil"/>
              <w:bottom w:val="single" w:sz="4" w:space="0" w:color="auto"/>
              <w:right w:val="nil"/>
            </w:tcBorders>
          </w:tcPr>
          <w:p w14:paraId="523BAA24"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Young men</w:t>
            </w:r>
          </w:p>
        </w:tc>
        <w:tc>
          <w:tcPr>
            <w:tcW w:w="1584" w:type="dxa"/>
            <w:tcBorders>
              <w:top w:val="single" w:sz="4" w:space="0" w:color="auto"/>
              <w:left w:val="nil"/>
              <w:bottom w:val="single" w:sz="4" w:space="0" w:color="auto"/>
              <w:right w:val="nil"/>
            </w:tcBorders>
          </w:tcPr>
          <w:p w14:paraId="55FB1346"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Young women</w:t>
            </w:r>
          </w:p>
        </w:tc>
        <w:tc>
          <w:tcPr>
            <w:tcW w:w="1584" w:type="dxa"/>
            <w:tcBorders>
              <w:top w:val="single" w:sz="4" w:space="0" w:color="auto"/>
              <w:left w:val="nil"/>
              <w:bottom w:val="single" w:sz="4" w:space="0" w:color="auto"/>
              <w:right w:val="nil"/>
            </w:tcBorders>
          </w:tcPr>
          <w:p w14:paraId="1C1F495C"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Elderly men and women</w:t>
            </w:r>
          </w:p>
        </w:tc>
      </w:tr>
      <w:tr w:rsidR="009E12C8" w:rsidRPr="009E12C8" w14:paraId="01D1CAE0" w14:textId="77777777" w:rsidTr="009F157C">
        <w:trPr>
          <w:trHeight w:val="20"/>
        </w:trPr>
        <w:tc>
          <w:tcPr>
            <w:tcW w:w="1440" w:type="dxa"/>
            <w:tcBorders>
              <w:top w:val="single" w:sz="4" w:space="0" w:color="auto"/>
              <w:left w:val="nil"/>
              <w:bottom w:val="nil"/>
              <w:right w:val="nil"/>
            </w:tcBorders>
            <w:hideMark/>
          </w:tcPr>
          <w:p w14:paraId="0A8599DF"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Day</w:t>
            </w:r>
          </w:p>
        </w:tc>
        <w:tc>
          <w:tcPr>
            <w:tcW w:w="1584" w:type="dxa"/>
            <w:vMerge w:val="restart"/>
            <w:tcBorders>
              <w:top w:val="single" w:sz="4" w:space="0" w:color="auto"/>
              <w:left w:val="nil"/>
              <w:bottom w:val="single" w:sz="4" w:space="0" w:color="auto"/>
              <w:right w:val="nil"/>
            </w:tcBorders>
            <w:hideMark/>
          </w:tcPr>
          <w:p w14:paraId="426CB908"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10 mg</w:t>
            </w:r>
          </w:p>
          <w:p w14:paraId="60034A83"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(Cohort E)</w:t>
            </w:r>
          </w:p>
        </w:tc>
        <w:tc>
          <w:tcPr>
            <w:tcW w:w="1584" w:type="dxa"/>
            <w:vMerge w:val="restart"/>
            <w:tcBorders>
              <w:top w:val="single" w:sz="4" w:space="0" w:color="auto"/>
              <w:left w:val="nil"/>
              <w:bottom w:val="single" w:sz="4" w:space="0" w:color="auto"/>
              <w:right w:val="nil"/>
            </w:tcBorders>
            <w:hideMark/>
          </w:tcPr>
          <w:p w14:paraId="794E5EED"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 xml:space="preserve">25 mg </w:t>
            </w:r>
          </w:p>
          <w:p w14:paraId="4E9C940C"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(Cohort A)</w:t>
            </w:r>
          </w:p>
        </w:tc>
        <w:tc>
          <w:tcPr>
            <w:tcW w:w="1584" w:type="dxa"/>
            <w:vMerge w:val="restart"/>
            <w:tcBorders>
              <w:top w:val="single" w:sz="4" w:space="0" w:color="auto"/>
              <w:left w:val="nil"/>
              <w:bottom w:val="single" w:sz="4" w:space="0" w:color="auto"/>
              <w:right w:val="nil"/>
            </w:tcBorders>
            <w:hideMark/>
          </w:tcPr>
          <w:p w14:paraId="67E86434"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75 mg</w:t>
            </w:r>
          </w:p>
          <w:p w14:paraId="5959028B"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(Cohort B)</w:t>
            </w:r>
          </w:p>
        </w:tc>
        <w:tc>
          <w:tcPr>
            <w:tcW w:w="1584" w:type="dxa"/>
            <w:vMerge w:val="restart"/>
            <w:tcBorders>
              <w:top w:val="single" w:sz="4" w:space="0" w:color="auto"/>
              <w:left w:val="nil"/>
              <w:bottom w:val="single" w:sz="4" w:space="0" w:color="auto"/>
              <w:right w:val="nil"/>
            </w:tcBorders>
            <w:hideMark/>
          </w:tcPr>
          <w:p w14:paraId="46C37EAA"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100 mg</w:t>
            </w:r>
          </w:p>
          <w:p w14:paraId="54DF1660"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(Cohort C)</w:t>
            </w:r>
          </w:p>
        </w:tc>
        <w:tc>
          <w:tcPr>
            <w:tcW w:w="1584" w:type="dxa"/>
            <w:vMerge w:val="restart"/>
            <w:tcBorders>
              <w:top w:val="single" w:sz="4" w:space="0" w:color="auto"/>
              <w:left w:val="nil"/>
              <w:bottom w:val="single" w:sz="4" w:space="0" w:color="auto"/>
              <w:right w:val="nil"/>
            </w:tcBorders>
            <w:hideMark/>
          </w:tcPr>
          <w:p w14:paraId="0D6A39D1"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 xml:space="preserve">100 mg </w:t>
            </w:r>
          </w:p>
          <w:p w14:paraId="3F38D1B4"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(Cohort D)</w:t>
            </w:r>
          </w:p>
        </w:tc>
      </w:tr>
      <w:tr w:rsidR="009E12C8" w:rsidRPr="009E12C8" w14:paraId="608B589B" w14:textId="77777777" w:rsidTr="009F157C">
        <w:trPr>
          <w:trHeight w:val="20"/>
        </w:trPr>
        <w:tc>
          <w:tcPr>
            <w:tcW w:w="1440" w:type="dxa"/>
            <w:tcBorders>
              <w:top w:val="nil"/>
              <w:left w:val="nil"/>
              <w:bottom w:val="single" w:sz="4" w:space="0" w:color="auto"/>
              <w:right w:val="nil"/>
            </w:tcBorders>
            <w:hideMark/>
          </w:tcPr>
          <w:p w14:paraId="686096BD"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Parameters</w:t>
            </w:r>
          </w:p>
        </w:tc>
        <w:tc>
          <w:tcPr>
            <w:tcW w:w="1584" w:type="dxa"/>
            <w:vMerge/>
            <w:tcBorders>
              <w:top w:val="single" w:sz="4" w:space="0" w:color="auto"/>
              <w:left w:val="nil"/>
              <w:bottom w:val="single" w:sz="4" w:space="0" w:color="auto"/>
              <w:right w:val="nil"/>
            </w:tcBorders>
            <w:hideMark/>
          </w:tcPr>
          <w:p w14:paraId="5C83C6AC" w14:textId="77777777" w:rsidR="00FC17EF" w:rsidRPr="009E12C8" w:rsidRDefault="00FC17EF" w:rsidP="009F157C">
            <w:pPr>
              <w:keepNext/>
              <w:spacing w:before="0" w:after="0" w:line="240" w:lineRule="auto"/>
              <w:rPr>
                <w:rFonts w:eastAsia="Times New Roman" w:cs="Times New Roman"/>
                <w:b/>
                <w:szCs w:val="24"/>
                <w:lang w:eastAsia="en-US"/>
              </w:rPr>
            </w:pPr>
          </w:p>
        </w:tc>
        <w:tc>
          <w:tcPr>
            <w:tcW w:w="1584" w:type="dxa"/>
            <w:vMerge/>
            <w:tcBorders>
              <w:top w:val="single" w:sz="4" w:space="0" w:color="auto"/>
              <w:left w:val="nil"/>
              <w:bottom w:val="single" w:sz="4" w:space="0" w:color="auto"/>
              <w:right w:val="nil"/>
            </w:tcBorders>
            <w:hideMark/>
          </w:tcPr>
          <w:p w14:paraId="4669A88C" w14:textId="77777777" w:rsidR="00FC17EF" w:rsidRPr="009E12C8" w:rsidRDefault="00FC17EF" w:rsidP="009F157C">
            <w:pPr>
              <w:keepNext/>
              <w:spacing w:before="0" w:after="0" w:line="240" w:lineRule="auto"/>
              <w:rPr>
                <w:rFonts w:eastAsia="Times New Roman" w:cs="Times New Roman"/>
                <w:b/>
                <w:szCs w:val="24"/>
                <w:lang w:eastAsia="en-US"/>
              </w:rPr>
            </w:pPr>
          </w:p>
        </w:tc>
        <w:tc>
          <w:tcPr>
            <w:tcW w:w="1584" w:type="dxa"/>
            <w:vMerge/>
            <w:tcBorders>
              <w:top w:val="single" w:sz="4" w:space="0" w:color="auto"/>
              <w:left w:val="nil"/>
              <w:bottom w:val="single" w:sz="4" w:space="0" w:color="auto"/>
              <w:right w:val="nil"/>
            </w:tcBorders>
            <w:hideMark/>
          </w:tcPr>
          <w:p w14:paraId="5E73EA8F" w14:textId="77777777" w:rsidR="00FC17EF" w:rsidRPr="009E12C8" w:rsidRDefault="00FC17EF" w:rsidP="009F157C">
            <w:pPr>
              <w:keepNext/>
              <w:spacing w:before="0" w:after="0" w:line="240" w:lineRule="auto"/>
              <w:rPr>
                <w:rFonts w:eastAsia="Times New Roman" w:cs="Times New Roman"/>
                <w:b/>
                <w:szCs w:val="24"/>
                <w:lang w:eastAsia="en-US"/>
              </w:rPr>
            </w:pPr>
          </w:p>
        </w:tc>
        <w:tc>
          <w:tcPr>
            <w:tcW w:w="1584" w:type="dxa"/>
            <w:vMerge/>
            <w:tcBorders>
              <w:top w:val="single" w:sz="4" w:space="0" w:color="auto"/>
              <w:left w:val="nil"/>
              <w:bottom w:val="single" w:sz="4" w:space="0" w:color="auto"/>
              <w:right w:val="nil"/>
            </w:tcBorders>
            <w:hideMark/>
          </w:tcPr>
          <w:p w14:paraId="1FFA58C7" w14:textId="77777777" w:rsidR="00FC17EF" w:rsidRPr="009E12C8" w:rsidRDefault="00FC17EF" w:rsidP="009F157C">
            <w:pPr>
              <w:keepNext/>
              <w:spacing w:before="0" w:after="0" w:line="240" w:lineRule="auto"/>
              <w:rPr>
                <w:rFonts w:eastAsia="Times New Roman" w:cs="Times New Roman"/>
                <w:b/>
                <w:szCs w:val="24"/>
                <w:lang w:eastAsia="en-US"/>
              </w:rPr>
            </w:pPr>
          </w:p>
        </w:tc>
        <w:tc>
          <w:tcPr>
            <w:tcW w:w="1584" w:type="dxa"/>
            <w:vMerge/>
            <w:tcBorders>
              <w:top w:val="single" w:sz="4" w:space="0" w:color="auto"/>
              <w:left w:val="nil"/>
              <w:bottom w:val="single" w:sz="4" w:space="0" w:color="auto"/>
              <w:right w:val="nil"/>
            </w:tcBorders>
            <w:hideMark/>
          </w:tcPr>
          <w:p w14:paraId="622C8230" w14:textId="77777777" w:rsidR="00FC17EF" w:rsidRPr="009E12C8" w:rsidRDefault="00FC17EF" w:rsidP="009F157C">
            <w:pPr>
              <w:keepNext/>
              <w:spacing w:before="0" w:after="0" w:line="240" w:lineRule="auto"/>
              <w:rPr>
                <w:rFonts w:eastAsia="Times New Roman" w:cs="Times New Roman"/>
                <w:b/>
                <w:szCs w:val="24"/>
                <w:lang w:eastAsia="en-US"/>
              </w:rPr>
            </w:pPr>
          </w:p>
        </w:tc>
      </w:tr>
      <w:tr w:rsidR="009E12C8" w:rsidRPr="009E12C8" w14:paraId="680A0B63" w14:textId="77777777" w:rsidTr="009F157C">
        <w:trPr>
          <w:trHeight w:val="20"/>
        </w:trPr>
        <w:tc>
          <w:tcPr>
            <w:tcW w:w="1440" w:type="dxa"/>
            <w:tcBorders>
              <w:top w:val="single" w:sz="4" w:space="0" w:color="auto"/>
              <w:left w:val="nil"/>
              <w:bottom w:val="single" w:sz="4" w:space="0" w:color="auto"/>
              <w:right w:val="nil"/>
            </w:tcBorders>
            <w:hideMark/>
          </w:tcPr>
          <w:p w14:paraId="5CD32519"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Day 1</w:t>
            </w:r>
          </w:p>
        </w:tc>
        <w:tc>
          <w:tcPr>
            <w:tcW w:w="1584" w:type="dxa"/>
            <w:tcBorders>
              <w:top w:val="single" w:sz="4" w:space="0" w:color="auto"/>
              <w:left w:val="nil"/>
              <w:bottom w:val="single" w:sz="4" w:space="0" w:color="auto"/>
              <w:right w:val="nil"/>
            </w:tcBorders>
            <w:hideMark/>
          </w:tcPr>
          <w:p w14:paraId="2B43146A"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n=6</w:t>
            </w:r>
          </w:p>
        </w:tc>
        <w:tc>
          <w:tcPr>
            <w:tcW w:w="1584" w:type="dxa"/>
            <w:tcBorders>
              <w:top w:val="single" w:sz="4" w:space="0" w:color="auto"/>
              <w:left w:val="nil"/>
              <w:bottom w:val="single" w:sz="4" w:space="0" w:color="auto"/>
              <w:right w:val="nil"/>
            </w:tcBorders>
            <w:hideMark/>
          </w:tcPr>
          <w:p w14:paraId="4772E24D"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n=6</w:t>
            </w:r>
          </w:p>
        </w:tc>
        <w:tc>
          <w:tcPr>
            <w:tcW w:w="1584" w:type="dxa"/>
            <w:tcBorders>
              <w:top w:val="single" w:sz="4" w:space="0" w:color="auto"/>
              <w:left w:val="nil"/>
              <w:bottom w:val="single" w:sz="4" w:space="0" w:color="auto"/>
              <w:right w:val="nil"/>
            </w:tcBorders>
            <w:hideMark/>
          </w:tcPr>
          <w:p w14:paraId="1D607BDE"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n=6</w:t>
            </w:r>
          </w:p>
        </w:tc>
        <w:tc>
          <w:tcPr>
            <w:tcW w:w="1584" w:type="dxa"/>
            <w:tcBorders>
              <w:top w:val="single" w:sz="4" w:space="0" w:color="auto"/>
              <w:left w:val="nil"/>
              <w:bottom w:val="single" w:sz="4" w:space="0" w:color="auto"/>
              <w:right w:val="nil"/>
            </w:tcBorders>
            <w:hideMark/>
          </w:tcPr>
          <w:p w14:paraId="197CA999"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n=6</w:t>
            </w:r>
          </w:p>
        </w:tc>
        <w:tc>
          <w:tcPr>
            <w:tcW w:w="1584" w:type="dxa"/>
            <w:tcBorders>
              <w:top w:val="single" w:sz="4" w:space="0" w:color="auto"/>
              <w:left w:val="nil"/>
              <w:bottom w:val="single" w:sz="4" w:space="0" w:color="auto"/>
              <w:right w:val="nil"/>
            </w:tcBorders>
            <w:hideMark/>
          </w:tcPr>
          <w:p w14:paraId="5E832407"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n=6</w:t>
            </w:r>
          </w:p>
        </w:tc>
      </w:tr>
      <w:tr w:rsidR="009E12C8" w:rsidRPr="009E12C8" w14:paraId="1C589BA0" w14:textId="77777777" w:rsidTr="009F157C">
        <w:trPr>
          <w:trHeight w:val="20"/>
        </w:trPr>
        <w:tc>
          <w:tcPr>
            <w:tcW w:w="1440" w:type="dxa"/>
            <w:tcBorders>
              <w:top w:val="single" w:sz="4" w:space="0" w:color="auto"/>
            </w:tcBorders>
            <w:hideMark/>
          </w:tcPr>
          <w:p w14:paraId="6463D5EA"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C</w:t>
            </w:r>
            <w:r w:rsidRPr="009E12C8">
              <w:rPr>
                <w:rFonts w:eastAsia="Times New Roman" w:cs="Times New Roman"/>
                <w:szCs w:val="24"/>
                <w:vertAlign w:val="subscript"/>
                <w:lang w:eastAsia="en-US"/>
              </w:rPr>
              <w:t>max</w:t>
            </w:r>
            <w:r w:rsidRPr="009E12C8">
              <w:rPr>
                <w:rFonts w:eastAsia="Times New Roman" w:cs="Times New Roman"/>
                <w:szCs w:val="24"/>
                <w:lang w:eastAsia="en-US"/>
              </w:rPr>
              <w:t xml:space="preserve"> </w:t>
            </w:r>
          </w:p>
          <w:p w14:paraId="651262FF"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(ng/mL)</w:t>
            </w:r>
          </w:p>
        </w:tc>
        <w:tc>
          <w:tcPr>
            <w:tcW w:w="1584" w:type="dxa"/>
            <w:tcBorders>
              <w:top w:val="single" w:sz="4" w:space="0" w:color="auto"/>
            </w:tcBorders>
            <w:hideMark/>
          </w:tcPr>
          <w:p w14:paraId="0D6CCD8C"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63.6</w:t>
            </w:r>
          </w:p>
          <w:p w14:paraId="22161F78"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(11.6)</w:t>
            </w:r>
          </w:p>
        </w:tc>
        <w:tc>
          <w:tcPr>
            <w:tcW w:w="1584" w:type="dxa"/>
            <w:tcBorders>
              <w:top w:val="single" w:sz="4" w:space="0" w:color="auto"/>
            </w:tcBorders>
            <w:hideMark/>
          </w:tcPr>
          <w:p w14:paraId="45C20D7E"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144 </w:t>
            </w:r>
          </w:p>
          <w:p w14:paraId="408C7EE1"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(46.6)</w:t>
            </w:r>
          </w:p>
        </w:tc>
        <w:tc>
          <w:tcPr>
            <w:tcW w:w="1584" w:type="dxa"/>
            <w:tcBorders>
              <w:top w:val="single" w:sz="4" w:space="0" w:color="auto"/>
            </w:tcBorders>
            <w:hideMark/>
          </w:tcPr>
          <w:p w14:paraId="68EC4AFD"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638 </w:t>
            </w:r>
          </w:p>
          <w:p w14:paraId="4C05B02A"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(75.6)</w:t>
            </w:r>
          </w:p>
        </w:tc>
        <w:tc>
          <w:tcPr>
            <w:tcW w:w="1584" w:type="dxa"/>
            <w:tcBorders>
              <w:top w:val="single" w:sz="4" w:space="0" w:color="auto"/>
            </w:tcBorders>
            <w:hideMark/>
          </w:tcPr>
          <w:p w14:paraId="11441673"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972 </w:t>
            </w:r>
          </w:p>
          <w:p w14:paraId="7C1DEF6C"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(149)</w:t>
            </w:r>
          </w:p>
        </w:tc>
        <w:tc>
          <w:tcPr>
            <w:tcW w:w="1584" w:type="dxa"/>
            <w:tcBorders>
              <w:top w:val="single" w:sz="4" w:space="0" w:color="auto"/>
            </w:tcBorders>
            <w:hideMark/>
          </w:tcPr>
          <w:p w14:paraId="23770489"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841 </w:t>
            </w:r>
          </w:p>
          <w:p w14:paraId="27F5D0D1"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(207)</w:t>
            </w:r>
          </w:p>
        </w:tc>
      </w:tr>
      <w:tr w:rsidR="009E12C8" w:rsidRPr="009E12C8" w14:paraId="4C689A55" w14:textId="77777777" w:rsidTr="009F157C">
        <w:trPr>
          <w:trHeight w:val="20"/>
        </w:trPr>
        <w:tc>
          <w:tcPr>
            <w:tcW w:w="1440" w:type="dxa"/>
            <w:hideMark/>
          </w:tcPr>
          <w:p w14:paraId="0E56F75C"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t</w:t>
            </w:r>
            <w:r w:rsidRPr="009E12C8">
              <w:rPr>
                <w:rFonts w:eastAsia="Times New Roman" w:cs="Times New Roman"/>
                <w:szCs w:val="24"/>
                <w:vertAlign w:val="subscript"/>
                <w:lang w:eastAsia="en-US"/>
              </w:rPr>
              <w:t>max</w:t>
            </w:r>
            <w:r w:rsidRPr="009E12C8">
              <w:rPr>
                <w:rFonts w:eastAsia="Times New Roman" w:cs="Times New Roman"/>
                <w:szCs w:val="24"/>
                <w:vertAlign w:val="superscript"/>
                <w:lang w:eastAsia="en-US"/>
              </w:rPr>
              <w:t>a</w:t>
            </w:r>
            <w:r w:rsidRPr="009E12C8">
              <w:rPr>
                <w:rFonts w:eastAsia="Times New Roman" w:cs="Times New Roman"/>
                <w:szCs w:val="24"/>
                <w:lang w:eastAsia="en-US"/>
              </w:rPr>
              <w:t xml:space="preserve"> </w:t>
            </w:r>
          </w:p>
          <w:p w14:paraId="395C3AAC"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(h)</w:t>
            </w:r>
          </w:p>
        </w:tc>
        <w:tc>
          <w:tcPr>
            <w:tcW w:w="1584" w:type="dxa"/>
            <w:hideMark/>
          </w:tcPr>
          <w:p w14:paraId="22439F72"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1.75</w:t>
            </w:r>
          </w:p>
          <w:p w14:paraId="17488C6B"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(1.00-2.50)</w:t>
            </w:r>
          </w:p>
        </w:tc>
        <w:tc>
          <w:tcPr>
            <w:tcW w:w="1584" w:type="dxa"/>
            <w:hideMark/>
          </w:tcPr>
          <w:p w14:paraId="553F9A98"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1.24 </w:t>
            </w:r>
          </w:p>
          <w:p w14:paraId="041A9C21"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(0.50-1.50)</w:t>
            </w:r>
          </w:p>
        </w:tc>
        <w:tc>
          <w:tcPr>
            <w:tcW w:w="1584" w:type="dxa"/>
            <w:hideMark/>
          </w:tcPr>
          <w:p w14:paraId="0BE4487A"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1.25 </w:t>
            </w:r>
          </w:p>
          <w:p w14:paraId="4FBD236C"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(0.50-2.50)</w:t>
            </w:r>
          </w:p>
        </w:tc>
        <w:tc>
          <w:tcPr>
            <w:tcW w:w="1584" w:type="dxa"/>
            <w:hideMark/>
          </w:tcPr>
          <w:p w14:paraId="2604BB6E"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1.00 </w:t>
            </w:r>
          </w:p>
          <w:p w14:paraId="1E973298"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(0.50-1.50)</w:t>
            </w:r>
          </w:p>
        </w:tc>
        <w:tc>
          <w:tcPr>
            <w:tcW w:w="1584" w:type="dxa"/>
            <w:hideMark/>
          </w:tcPr>
          <w:p w14:paraId="297CBD93"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1.00 </w:t>
            </w:r>
          </w:p>
          <w:p w14:paraId="31816767"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(0.50-2.00)</w:t>
            </w:r>
          </w:p>
        </w:tc>
      </w:tr>
      <w:tr w:rsidR="009E12C8" w:rsidRPr="009E12C8" w14:paraId="4F8A3A8B" w14:textId="77777777" w:rsidTr="009F157C">
        <w:trPr>
          <w:trHeight w:val="533"/>
        </w:trPr>
        <w:tc>
          <w:tcPr>
            <w:tcW w:w="1440" w:type="dxa"/>
            <w:hideMark/>
          </w:tcPr>
          <w:p w14:paraId="63F58665"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AUC</w:t>
            </w:r>
            <w:r w:rsidRPr="009E12C8">
              <w:rPr>
                <w:rFonts w:eastAsia="Times New Roman" w:cs="Times New Roman"/>
                <w:szCs w:val="24"/>
                <w:vertAlign w:val="subscript"/>
                <w:lang w:eastAsia="en-US"/>
              </w:rPr>
              <w:t>0-24</w:t>
            </w:r>
            <w:r w:rsidRPr="009E12C8">
              <w:rPr>
                <w:rFonts w:eastAsia="Times New Roman" w:cs="Times New Roman"/>
                <w:szCs w:val="24"/>
                <w:lang w:eastAsia="en-US"/>
              </w:rPr>
              <w:t xml:space="preserve"> </w:t>
            </w:r>
          </w:p>
          <w:p w14:paraId="5D31B086"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(h*ng/mL)</w:t>
            </w:r>
          </w:p>
        </w:tc>
        <w:tc>
          <w:tcPr>
            <w:tcW w:w="1584" w:type="dxa"/>
            <w:hideMark/>
          </w:tcPr>
          <w:p w14:paraId="564DEABB"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488</w:t>
            </w:r>
          </w:p>
          <w:p w14:paraId="0632F0E9"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(167)</w:t>
            </w:r>
          </w:p>
        </w:tc>
        <w:tc>
          <w:tcPr>
            <w:tcW w:w="1584" w:type="dxa"/>
            <w:hideMark/>
          </w:tcPr>
          <w:p w14:paraId="6B50E07A"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1202 </w:t>
            </w:r>
          </w:p>
          <w:p w14:paraId="18C08D40"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(322)</w:t>
            </w:r>
          </w:p>
        </w:tc>
        <w:tc>
          <w:tcPr>
            <w:tcW w:w="1584" w:type="dxa"/>
            <w:hideMark/>
          </w:tcPr>
          <w:p w14:paraId="2DF79D81"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4770 </w:t>
            </w:r>
          </w:p>
          <w:p w14:paraId="0F621BC2"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(771)</w:t>
            </w:r>
          </w:p>
        </w:tc>
        <w:tc>
          <w:tcPr>
            <w:tcW w:w="1584" w:type="dxa"/>
            <w:hideMark/>
          </w:tcPr>
          <w:p w14:paraId="41CF964D"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5736 </w:t>
            </w:r>
          </w:p>
          <w:p w14:paraId="53C5E3FC"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(1209)</w:t>
            </w:r>
          </w:p>
        </w:tc>
        <w:tc>
          <w:tcPr>
            <w:tcW w:w="1584" w:type="dxa"/>
            <w:hideMark/>
          </w:tcPr>
          <w:p w14:paraId="69C8167B"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6134 </w:t>
            </w:r>
          </w:p>
          <w:p w14:paraId="3C136804"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(1657)</w:t>
            </w:r>
          </w:p>
        </w:tc>
      </w:tr>
      <w:tr w:rsidR="009E12C8" w:rsidRPr="009E12C8" w14:paraId="42768552" w14:textId="77777777" w:rsidTr="009F157C">
        <w:trPr>
          <w:trHeight w:val="20"/>
        </w:trPr>
        <w:tc>
          <w:tcPr>
            <w:tcW w:w="1440" w:type="dxa"/>
            <w:tcBorders>
              <w:top w:val="single" w:sz="4" w:space="0" w:color="auto"/>
              <w:bottom w:val="single" w:sz="4" w:space="0" w:color="auto"/>
            </w:tcBorders>
            <w:hideMark/>
          </w:tcPr>
          <w:p w14:paraId="04F4BF37"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Day 10</w:t>
            </w:r>
          </w:p>
        </w:tc>
        <w:tc>
          <w:tcPr>
            <w:tcW w:w="1584" w:type="dxa"/>
            <w:tcBorders>
              <w:top w:val="single" w:sz="4" w:space="0" w:color="auto"/>
              <w:bottom w:val="single" w:sz="4" w:space="0" w:color="auto"/>
            </w:tcBorders>
            <w:hideMark/>
          </w:tcPr>
          <w:p w14:paraId="3C5856DB"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n=6</w:t>
            </w:r>
          </w:p>
        </w:tc>
        <w:tc>
          <w:tcPr>
            <w:tcW w:w="1584" w:type="dxa"/>
            <w:tcBorders>
              <w:top w:val="single" w:sz="4" w:space="0" w:color="auto"/>
              <w:bottom w:val="single" w:sz="4" w:space="0" w:color="auto"/>
            </w:tcBorders>
            <w:hideMark/>
          </w:tcPr>
          <w:p w14:paraId="2408DA0A"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n=6</w:t>
            </w:r>
          </w:p>
        </w:tc>
        <w:tc>
          <w:tcPr>
            <w:tcW w:w="1584" w:type="dxa"/>
            <w:tcBorders>
              <w:top w:val="single" w:sz="4" w:space="0" w:color="auto"/>
              <w:bottom w:val="single" w:sz="4" w:space="0" w:color="auto"/>
            </w:tcBorders>
            <w:hideMark/>
          </w:tcPr>
          <w:p w14:paraId="02A17A3E"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n=5</w:t>
            </w:r>
          </w:p>
        </w:tc>
        <w:tc>
          <w:tcPr>
            <w:tcW w:w="1584" w:type="dxa"/>
            <w:tcBorders>
              <w:top w:val="single" w:sz="4" w:space="0" w:color="auto"/>
              <w:bottom w:val="single" w:sz="4" w:space="0" w:color="auto"/>
            </w:tcBorders>
            <w:hideMark/>
          </w:tcPr>
          <w:p w14:paraId="07DB5061"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n=6</w:t>
            </w:r>
          </w:p>
        </w:tc>
        <w:tc>
          <w:tcPr>
            <w:tcW w:w="1584" w:type="dxa"/>
            <w:tcBorders>
              <w:top w:val="single" w:sz="4" w:space="0" w:color="auto"/>
              <w:bottom w:val="single" w:sz="4" w:space="0" w:color="auto"/>
            </w:tcBorders>
            <w:hideMark/>
          </w:tcPr>
          <w:p w14:paraId="03A74108" w14:textId="77777777" w:rsidR="00FC17EF" w:rsidRPr="009E12C8" w:rsidRDefault="00FC17EF" w:rsidP="009F157C">
            <w:pPr>
              <w:keepNext/>
              <w:tabs>
                <w:tab w:val="left" w:pos="288"/>
                <w:tab w:val="left" w:pos="576"/>
                <w:tab w:val="left" w:pos="864"/>
              </w:tabs>
              <w:spacing w:before="0" w:after="0" w:line="240" w:lineRule="auto"/>
              <w:rPr>
                <w:rFonts w:eastAsia="Times New Roman" w:cs="Times New Roman"/>
                <w:b/>
                <w:szCs w:val="24"/>
                <w:lang w:eastAsia="en-US"/>
              </w:rPr>
            </w:pPr>
            <w:r w:rsidRPr="009E12C8">
              <w:rPr>
                <w:rFonts w:eastAsia="Times New Roman" w:cs="Times New Roman"/>
                <w:b/>
                <w:szCs w:val="24"/>
                <w:lang w:eastAsia="en-US"/>
              </w:rPr>
              <w:t>n=6</w:t>
            </w:r>
          </w:p>
        </w:tc>
      </w:tr>
      <w:tr w:rsidR="009E12C8" w:rsidRPr="009E12C8" w14:paraId="69AC404A" w14:textId="77777777" w:rsidTr="009F157C">
        <w:trPr>
          <w:trHeight w:val="20"/>
        </w:trPr>
        <w:tc>
          <w:tcPr>
            <w:tcW w:w="1440" w:type="dxa"/>
            <w:tcBorders>
              <w:top w:val="single" w:sz="4" w:space="0" w:color="auto"/>
            </w:tcBorders>
            <w:hideMark/>
          </w:tcPr>
          <w:p w14:paraId="57E578ED"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C</w:t>
            </w:r>
            <w:r w:rsidRPr="009E12C8">
              <w:rPr>
                <w:rFonts w:eastAsia="Times New Roman" w:cs="Times New Roman"/>
                <w:szCs w:val="24"/>
                <w:vertAlign w:val="subscript"/>
                <w:lang w:eastAsia="en-US"/>
              </w:rPr>
              <w:t>max</w:t>
            </w:r>
            <w:r w:rsidRPr="009E12C8">
              <w:rPr>
                <w:rFonts w:eastAsia="Times New Roman" w:cs="Times New Roman"/>
                <w:szCs w:val="24"/>
                <w:lang w:eastAsia="en-US"/>
              </w:rPr>
              <w:t xml:space="preserve"> </w:t>
            </w:r>
          </w:p>
          <w:p w14:paraId="195D02C1"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(ng/mL)</w:t>
            </w:r>
          </w:p>
        </w:tc>
        <w:tc>
          <w:tcPr>
            <w:tcW w:w="1584" w:type="dxa"/>
            <w:tcBorders>
              <w:top w:val="single" w:sz="4" w:space="0" w:color="auto"/>
            </w:tcBorders>
            <w:hideMark/>
          </w:tcPr>
          <w:p w14:paraId="203F53BF"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78.9</w:t>
            </w:r>
          </w:p>
          <w:p w14:paraId="387C919E"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(22.8)</w:t>
            </w:r>
          </w:p>
        </w:tc>
        <w:tc>
          <w:tcPr>
            <w:tcW w:w="1584" w:type="dxa"/>
            <w:tcBorders>
              <w:top w:val="single" w:sz="4" w:space="0" w:color="auto"/>
            </w:tcBorders>
            <w:hideMark/>
          </w:tcPr>
          <w:p w14:paraId="1DEB1BF7"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225 </w:t>
            </w:r>
          </w:p>
          <w:p w14:paraId="5F9C83BB"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(76.0)</w:t>
            </w:r>
          </w:p>
        </w:tc>
        <w:tc>
          <w:tcPr>
            <w:tcW w:w="1584" w:type="dxa"/>
            <w:tcBorders>
              <w:top w:val="single" w:sz="4" w:space="0" w:color="auto"/>
            </w:tcBorders>
            <w:hideMark/>
          </w:tcPr>
          <w:p w14:paraId="12769532"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942 </w:t>
            </w:r>
          </w:p>
          <w:p w14:paraId="6A466718"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(206)</w:t>
            </w:r>
          </w:p>
        </w:tc>
        <w:tc>
          <w:tcPr>
            <w:tcW w:w="1584" w:type="dxa"/>
            <w:tcBorders>
              <w:top w:val="single" w:sz="4" w:space="0" w:color="auto"/>
            </w:tcBorders>
            <w:hideMark/>
          </w:tcPr>
          <w:p w14:paraId="29EDEBF2"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949 </w:t>
            </w:r>
          </w:p>
          <w:p w14:paraId="27816FCB"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(143)</w:t>
            </w:r>
          </w:p>
        </w:tc>
        <w:tc>
          <w:tcPr>
            <w:tcW w:w="1584" w:type="dxa"/>
            <w:tcBorders>
              <w:top w:val="single" w:sz="4" w:space="0" w:color="auto"/>
            </w:tcBorders>
            <w:hideMark/>
          </w:tcPr>
          <w:p w14:paraId="2BAA8029"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1050 </w:t>
            </w:r>
          </w:p>
          <w:p w14:paraId="47036E53"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(307)</w:t>
            </w:r>
          </w:p>
        </w:tc>
      </w:tr>
      <w:tr w:rsidR="009E12C8" w:rsidRPr="009E12C8" w14:paraId="29CA5B5B" w14:textId="77777777" w:rsidTr="009F157C">
        <w:trPr>
          <w:trHeight w:val="20"/>
        </w:trPr>
        <w:tc>
          <w:tcPr>
            <w:tcW w:w="1440" w:type="dxa"/>
          </w:tcPr>
          <w:p w14:paraId="102B446E"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DN C</w:t>
            </w:r>
            <w:r w:rsidRPr="009E12C8">
              <w:rPr>
                <w:rFonts w:eastAsia="Times New Roman" w:cs="Times New Roman"/>
                <w:szCs w:val="24"/>
                <w:vertAlign w:val="subscript"/>
                <w:lang w:eastAsia="en-US"/>
              </w:rPr>
              <w:t>max</w:t>
            </w:r>
            <w:r w:rsidRPr="009E12C8">
              <w:rPr>
                <w:rFonts w:eastAsia="Times New Roman" w:cs="Times New Roman"/>
                <w:szCs w:val="24"/>
                <w:lang w:eastAsia="en-US"/>
              </w:rPr>
              <w:t xml:space="preserve"> </w:t>
            </w:r>
          </w:p>
          <w:p w14:paraId="66ECF8DD"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(ng/mL)</w:t>
            </w:r>
          </w:p>
        </w:tc>
        <w:tc>
          <w:tcPr>
            <w:tcW w:w="1584" w:type="dxa"/>
          </w:tcPr>
          <w:p w14:paraId="2C142C60"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78.9</w:t>
            </w:r>
          </w:p>
          <w:p w14:paraId="1CF71C8B"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(22.8)</w:t>
            </w:r>
          </w:p>
        </w:tc>
        <w:tc>
          <w:tcPr>
            <w:tcW w:w="1584" w:type="dxa"/>
          </w:tcPr>
          <w:p w14:paraId="4F0EC6C7"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90.0</w:t>
            </w:r>
          </w:p>
          <w:p w14:paraId="04ECA8AC"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(30.4)</w:t>
            </w:r>
          </w:p>
        </w:tc>
        <w:tc>
          <w:tcPr>
            <w:tcW w:w="1584" w:type="dxa"/>
          </w:tcPr>
          <w:p w14:paraId="060F82F0"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126</w:t>
            </w:r>
          </w:p>
          <w:p w14:paraId="1C1EEA5C"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(27.5)</w:t>
            </w:r>
          </w:p>
        </w:tc>
        <w:tc>
          <w:tcPr>
            <w:tcW w:w="1584" w:type="dxa"/>
          </w:tcPr>
          <w:p w14:paraId="69119599"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94.9</w:t>
            </w:r>
          </w:p>
          <w:p w14:paraId="62A5080A"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(14.3)</w:t>
            </w:r>
          </w:p>
        </w:tc>
        <w:tc>
          <w:tcPr>
            <w:tcW w:w="1584" w:type="dxa"/>
          </w:tcPr>
          <w:p w14:paraId="70325254"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105</w:t>
            </w:r>
          </w:p>
          <w:p w14:paraId="558D5388"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(30.7)</w:t>
            </w:r>
          </w:p>
        </w:tc>
      </w:tr>
      <w:tr w:rsidR="009E12C8" w:rsidRPr="009E12C8" w14:paraId="37D19143" w14:textId="77777777" w:rsidTr="009F157C">
        <w:trPr>
          <w:trHeight w:val="20"/>
        </w:trPr>
        <w:tc>
          <w:tcPr>
            <w:tcW w:w="1440" w:type="dxa"/>
            <w:hideMark/>
          </w:tcPr>
          <w:p w14:paraId="531F6875"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t</w:t>
            </w:r>
            <w:r w:rsidRPr="009E12C8">
              <w:rPr>
                <w:rFonts w:eastAsia="Times New Roman" w:cs="Times New Roman"/>
                <w:szCs w:val="24"/>
                <w:vertAlign w:val="subscript"/>
                <w:lang w:eastAsia="en-US"/>
              </w:rPr>
              <w:t>max</w:t>
            </w:r>
            <w:r w:rsidRPr="009E12C8">
              <w:rPr>
                <w:rFonts w:eastAsia="Times New Roman" w:cs="Times New Roman"/>
                <w:szCs w:val="24"/>
                <w:vertAlign w:val="superscript"/>
                <w:lang w:eastAsia="en-US"/>
              </w:rPr>
              <w:t>a</w:t>
            </w:r>
            <w:r w:rsidRPr="009E12C8">
              <w:rPr>
                <w:rFonts w:eastAsia="Times New Roman" w:cs="Times New Roman"/>
                <w:szCs w:val="24"/>
                <w:lang w:eastAsia="en-US"/>
              </w:rPr>
              <w:t xml:space="preserve"> </w:t>
            </w:r>
          </w:p>
          <w:p w14:paraId="76F72565"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(h)</w:t>
            </w:r>
          </w:p>
        </w:tc>
        <w:tc>
          <w:tcPr>
            <w:tcW w:w="1584" w:type="dxa"/>
            <w:hideMark/>
          </w:tcPr>
          <w:p w14:paraId="02628C2E"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1.00</w:t>
            </w:r>
          </w:p>
          <w:p w14:paraId="19A87730"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(1.00-1.50)</w:t>
            </w:r>
          </w:p>
        </w:tc>
        <w:tc>
          <w:tcPr>
            <w:tcW w:w="1584" w:type="dxa"/>
            <w:hideMark/>
          </w:tcPr>
          <w:p w14:paraId="6EF121F0"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1.25 </w:t>
            </w:r>
          </w:p>
          <w:p w14:paraId="33AFD931"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(0.50-2.50)</w:t>
            </w:r>
          </w:p>
        </w:tc>
        <w:tc>
          <w:tcPr>
            <w:tcW w:w="1584" w:type="dxa"/>
            <w:hideMark/>
          </w:tcPr>
          <w:p w14:paraId="7C2C00F1"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3.00 </w:t>
            </w:r>
          </w:p>
          <w:p w14:paraId="3F2D1D14"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(1.00-4.00)</w:t>
            </w:r>
          </w:p>
        </w:tc>
        <w:tc>
          <w:tcPr>
            <w:tcW w:w="1584" w:type="dxa"/>
            <w:hideMark/>
          </w:tcPr>
          <w:p w14:paraId="40C16819"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1.00 </w:t>
            </w:r>
          </w:p>
          <w:p w14:paraId="56C36D22"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(0.50-2.00)</w:t>
            </w:r>
          </w:p>
        </w:tc>
        <w:tc>
          <w:tcPr>
            <w:tcW w:w="1584" w:type="dxa"/>
            <w:hideMark/>
          </w:tcPr>
          <w:p w14:paraId="223E9A54"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1.00 </w:t>
            </w:r>
          </w:p>
          <w:p w14:paraId="56B34E59"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(0.50-2.00)</w:t>
            </w:r>
          </w:p>
        </w:tc>
      </w:tr>
      <w:tr w:rsidR="009E12C8" w:rsidRPr="009E12C8" w14:paraId="1DE1504B" w14:textId="77777777" w:rsidTr="009F157C">
        <w:trPr>
          <w:trHeight w:val="20"/>
        </w:trPr>
        <w:tc>
          <w:tcPr>
            <w:tcW w:w="1440" w:type="dxa"/>
            <w:hideMark/>
          </w:tcPr>
          <w:p w14:paraId="7DBE8483"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AUC</w:t>
            </w:r>
            <w:r w:rsidRPr="009E12C8">
              <w:rPr>
                <w:rFonts w:eastAsia="Times New Roman" w:cs="Times New Roman"/>
                <w:szCs w:val="24"/>
                <w:vertAlign w:val="subscript"/>
                <w:lang w:eastAsia="en-US"/>
              </w:rPr>
              <w:sym w:font="Symbol" w:char="F074"/>
            </w:r>
            <w:r w:rsidRPr="009E12C8">
              <w:rPr>
                <w:rFonts w:eastAsia="Times New Roman" w:cs="Times New Roman"/>
                <w:szCs w:val="24"/>
                <w:lang w:eastAsia="en-US"/>
              </w:rPr>
              <w:t xml:space="preserve"> </w:t>
            </w:r>
          </w:p>
          <w:p w14:paraId="10EE993E"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(h*ng/mL)</w:t>
            </w:r>
          </w:p>
        </w:tc>
        <w:tc>
          <w:tcPr>
            <w:tcW w:w="1584" w:type="dxa"/>
            <w:hideMark/>
          </w:tcPr>
          <w:p w14:paraId="2C79988C"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655</w:t>
            </w:r>
          </w:p>
          <w:p w14:paraId="4FDDEF1A"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(277)</w:t>
            </w:r>
          </w:p>
        </w:tc>
        <w:tc>
          <w:tcPr>
            <w:tcW w:w="1584" w:type="dxa"/>
            <w:hideMark/>
          </w:tcPr>
          <w:p w14:paraId="102A93C9"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2204 </w:t>
            </w:r>
          </w:p>
          <w:p w14:paraId="4C74499B"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(826)</w:t>
            </w:r>
          </w:p>
        </w:tc>
        <w:tc>
          <w:tcPr>
            <w:tcW w:w="1584" w:type="dxa"/>
            <w:hideMark/>
          </w:tcPr>
          <w:p w14:paraId="24389301"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11325 </w:t>
            </w:r>
          </w:p>
          <w:p w14:paraId="296C6315"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(2532)</w:t>
            </w:r>
          </w:p>
        </w:tc>
        <w:tc>
          <w:tcPr>
            <w:tcW w:w="1584" w:type="dxa"/>
            <w:hideMark/>
          </w:tcPr>
          <w:p w14:paraId="3E21EEAD"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6966 </w:t>
            </w:r>
          </w:p>
          <w:p w14:paraId="36CE38B7"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(1240)</w:t>
            </w:r>
          </w:p>
        </w:tc>
        <w:tc>
          <w:tcPr>
            <w:tcW w:w="1584" w:type="dxa"/>
            <w:hideMark/>
          </w:tcPr>
          <w:p w14:paraId="2062A477"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9372 </w:t>
            </w:r>
          </w:p>
          <w:p w14:paraId="034C36DC"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(3398)</w:t>
            </w:r>
          </w:p>
        </w:tc>
      </w:tr>
      <w:tr w:rsidR="009E12C8" w:rsidRPr="009E12C8" w14:paraId="5EDD48E0" w14:textId="77777777" w:rsidTr="009F157C">
        <w:trPr>
          <w:trHeight w:val="20"/>
        </w:trPr>
        <w:tc>
          <w:tcPr>
            <w:tcW w:w="1440" w:type="dxa"/>
          </w:tcPr>
          <w:p w14:paraId="67D213D4"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DN AUC</w:t>
            </w:r>
            <w:r w:rsidRPr="009E12C8">
              <w:rPr>
                <w:rFonts w:eastAsia="Times New Roman" w:cs="Times New Roman"/>
                <w:szCs w:val="24"/>
                <w:vertAlign w:val="subscript"/>
                <w:lang w:eastAsia="en-US"/>
              </w:rPr>
              <w:sym w:font="Symbol" w:char="F074"/>
            </w:r>
            <w:r w:rsidRPr="009E12C8">
              <w:rPr>
                <w:rFonts w:eastAsia="Times New Roman" w:cs="Times New Roman"/>
                <w:szCs w:val="24"/>
                <w:lang w:eastAsia="en-US"/>
              </w:rPr>
              <w:t xml:space="preserve"> </w:t>
            </w:r>
          </w:p>
          <w:p w14:paraId="014FA0E8"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(h*ng/mL)</w:t>
            </w:r>
          </w:p>
        </w:tc>
        <w:tc>
          <w:tcPr>
            <w:tcW w:w="1584" w:type="dxa"/>
          </w:tcPr>
          <w:p w14:paraId="66DCA58B"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655</w:t>
            </w:r>
          </w:p>
          <w:p w14:paraId="39C7A75B"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(277)</w:t>
            </w:r>
          </w:p>
        </w:tc>
        <w:tc>
          <w:tcPr>
            <w:tcW w:w="1584" w:type="dxa"/>
          </w:tcPr>
          <w:p w14:paraId="3B6C158A"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882</w:t>
            </w:r>
          </w:p>
          <w:p w14:paraId="3C8333E9"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(330)</w:t>
            </w:r>
          </w:p>
        </w:tc>
        <w:tc>
          <w:tcPr>
            <w:tcW w:w="1584" w:type="dxa"/>
          </w:tcPr>
          <w:p w14:paraId="106B5740"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1510</w:t>
            </w:r>
          </w:p>
          <w:p w14:paraId="00FEF16B"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(338)</w:t>
            </w:r>
          </w:p>
        </w:tc>
        <w:tc>
          <w:tcPr>
            <w:tcW w:w="1584" w:type="dxa"/>
          </w:tcPr>
          <w:p w14:paraId="4F804E11"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697</w:t>
            </w:r>
          </w:p>
          <w:p w14:paraId="083FC4DC"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(124)</w:t>
            </w:r>
          </w:p>
        </w:tc>
        <w:tc>
          <w:tcPr>
            <w:tcW w:w="1584" w:type="dxa"/>
          </w:tcPr>
          <w:p w14:paraId="116FF355"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937</w:t>
            </w:r>
          </w:p>
          <w:p w14:paraId="0ED6BB54"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(340)</w:t>
            </w:r>
          </w:p>
        </w:tc>
      </w:tr>
      <w:tr w:rsidR="009E12C8" w:rsidRPr="009E12C8" w14:paraId="73E35A0F" w14:textId="77777777" w:rsidTr="009F157C">
        <w:trPr>
          <w:trHeight w:val="20"/>
        </w:trPr>
        <w:tc>
          <w:tcPr>
            <w:tcW w:w="1440" w:type="dxa"/>
            <w:hideMark/>
          </w:tcPr>
          <w:p w14:paraId="6A419E87"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t</w:t>
            </w:r>
            <w:r w:rsidRPr="009E12C8">
              <w:rPr>
                <w:rFonts w:eastAsia="Times New Roman" w:cs="Times New Roman"/>
                <w:szCs w:val="24"/>
                <w:vertAlign w:val="subscript"/>
                <w:lang w:eastAsia="en-US"/>
              </w:rPr>
              <w:t xml:space="preserve">1/2 </w:t>
            </w:r>
            <w:r w:rsidRPr="009E12C8">
              <w:rPr>
                <w:rFonts w:eastAsia="Times New Roman" w:cs="Times New Roman"/>
                <w:szCs w:val="24"/>
                <w:lang w:eastAsia="en-US"/>
              </w:rPr>
              <w:t>(h)</w:t>
            </w:r>
          </w:p>
        </w:tc>
        <w:tc>
          <w:tcPr>
            <w:tcW w:w="1584" w:type="dxa"/>
            <w:hideMark/>
          </w:tcPr>
          <w:p w14:paraId="726B831F"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8.14</w:t>
            </w:r>
          </w:p>
          <w:p w14:paraId="2192338D"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(2.55)</w:t>
            </w:r>
          </w:p>
        </w:tc>
        <w:tc>
          <w:tcPr>
            <w:tcW w:w="1584" w:type="dxa"/>
            <w:hideMark/>
          </w:tcPr>
          <w:p w14:paraId="00D0624C"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11.0 </w:t>
            </w:r>
          </w:p>
          <w:p w14:paraId="5557A851"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(3.70)</w:t>
            </w:r>
          </w:p>
        </w:tc>
        <w:tc>
          <w:tcPr>
            <w:tcW w:w="1584" w:type="dxa"/>
            <w:hideMark/>
          </w:tcPr>
          <w:p w14:paraId="1EE119CC"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14.1 </w:t>
            </w:r>
          </w:p>
          <w:p w14:paraId="3CA77B67"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(4.31)</w:t>
            </w:r>
          </w:p>
        </w:tc>
        <w:tc>
          <w:tcPr>
            <w:tcW w:w="1584" w:type="dxa"/>
            <w:hideMark/>
          </w:tcPr>
          <w:p w14:paraId="00360586"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10.9</w:t>
            </w:r>
          </w:p>
          <w:p w14:paraId="337E96C2"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(2.61)</w:t>
            </w:r>
          </w:p>
        </w:tc>
        <w:tc>
          <w:tcPr>
            <w:tcW w:w="1584" w:type="dxa"/>
            <w:hideMark/>
          </w:tcPr>
          <w:p w14:paraId="1A6A6958"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13.2 </w:t>
            </w:r>
          </w:p>
          <w:p w14:paraId="7F582729"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(2.17)</w:t>
            </w:r>
          </w:p>
        </w:tc>
      </w:tr>
      <w:tr w:rsidR="009E12C8" w:rsidRPr="009E12C8" w14:paraId="15EAEBF7" w14:textId="77777777" w:rsidTr="009F157C">
        <w:trPr>
          <w:trHeight w:val="20"/>
        </w:trPr>
        <w:tc>
          <w:tcPr>
            <w:tcW w:w="1440" w:type="dxa"/>
            <w:hideMark/>
          </w:tcPr>
          <w:p w14:paraId="7402EF8D"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 xml:space="preserve">CL/F </w:t>
            </w:r>
          </w:p>
          <w:p w14:paraId="2FACE90A"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(L/h)</w:t>
            </w:r>
          </w:p>
        </w:tc>
        <w:tc>
          <w:tcPr>
            <w:tcW w:w="1584" w:type="dxa"/>
            <w:hideMark/>
          </w:tcPr>
          <w:p w14:paraId="1774DF01"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17.7</w:t>
            </w:r>
          </w:p>
          <w:p w14:paraId="799BEFF1"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(7.04)</w:t>
            </w:r>
          </w:p>
        </w:tc>
        <w:tc>
          <w:tcPr>
            <w:tcW w:w="1584" w:type="dxa"/>
            <w:hideMark/>
          </w:tcPr>
          <w:p w14:paraId="6E50F4CC"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12.5 </w:t>
            </w:r>
          </w:p>
          <w:p w14:paraId="32CC26E1"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(3.97)</w:t>
            </w:r>
          </w:p>
        </w:tc>
        <w:tc>
          <w:tcPr>
            <w:tcW w:w="1584" w:type="dxa"/>
            <w:hideMark/>
          </w:tcPr>
          <w:p w14:paraId="5CFC4773"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6.98 </w:t>
            </w:r>
          </w:p>
          <w:p w14:paraId="554DEC14"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(2.04)</w:t>
            </w:r>
          </w:p>
        </w:tc>
        <w:tc>
          <w:tcPr>
            <w:tcW w:w="1584" w:type="dxa"/>
            <w:hideMark/>
          </w:tcPr>
          <w:p w14:paraId="2966AB49"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14.7 </w:t>
            </w:r>
          </w:p>
          <w:p w14:paraId="62C5D833"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(2.63)</w:t>
            </w:r>
          </w:p>
        </w:tc>
        <w:tc>
          <w:tcPr>
            <w:tcW w:w="1584" w:type="dxa"/>
            <w:hideMark/>
          </w:tcPr>
          <w:p w14:paraId="5B03FDB5"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11.8 </w:t>
            </w:r>
          </w:p>
          <w:p w14:paraId="4328F925"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(3.98)</w:t>
            </w:r>
          </w:p>
        </w:tc>
      </w:tr>
      <w:tr w:rsidR="009E12C8" w:rsidRPr="009E12C8" w14:paraId="49AB2395" w14:textId="77777777" w:rsidTr="009F157C">
        <w:trPr>
          <w:trHeight w:val="20"/>
        </w:trPr>
        <w:tc>
          <w:tcPr>
            <w:tcW w:w="1440" w:type="dxa"/>
            <w:hideMark/>
          </w:tcPr>
          <w:p w14:paraId="706B2F4E"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Ae</w:t>
            </w:r>
            <w:r w:rsidRPr="009E12C8">
              <w:rPr>
                <w:rFonts w:eastAsia="Times New Roman" w:cs="Times New Roman"/>
                <w:szCs w:val="24"/>
                <w:vertAlign w:val="subscript"/>
                <w:lang w:eastAsia="en-US"/>
              </w:rPr>
              <w:sym w:font="Symbol" w:char="F074"/>
            </w:r>
            <w:r w:rsidRPr="009E12C8">
              <w:rPr>
                <w:rFonts w:eastAsia="Times New Roman" w:cs="Times New Roman"/>
                <w:szCs w:val="24"/>
                <w:lang w:eastAsia="en-US"/>
              </w:rPr>
              <w:t xml:space="preserve"> </w:t>
            </w:r>
          </w:p>
          <w:p w14:paraId="5B02B59A"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(%,dose)</w:t>
            </w:r>
          </w:p>
        </w:tc>
        <w:tc>
          <w:tcPr>
            <w:tcW w:w="1584" w:type="dxa"/>
            <w:hideMark/>
          </w:tcPr>
          <w:p w14:paraId="11FDAEF0"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NA</w:t>
            </w:r>
          </w:p>
        </w:tc>
        <w:tc>
          <w:tcPr>
            <w:tcW w:w="1584" w:type="dxa"/>
            <w:hideMark/>
          </w:tcPr>
          <w:p w14:paraId="4C2CE66F"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0.151 </w:t>
            </w:r>
          </w:p>
          <w:p w14:paraId="71910178"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(0.0666)</w:t>
            </w:r>
          </w:p>
        </w:tc>
        <w:tc>
          <w:tcPr>
            <w:tcW w:w="1584" w:type="dxa"/>
            <w:hideMark/>
          </w:tcPr>
          <w:p w14:paraId="62F24DEE"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0.124 </w:t>
            </w:r>
          </w:p>
          <w:p w14:paraId="04A48EB0"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(0.0614)</w:t>
            </w:r>
          </w:p>
        </w:tc>
        <w:tc>
          <w:tcPr>
            <w:tcW w:w="1584" w:type="dxa"/>
            <w:hideMark/>
          </w:tcPr>
          <w:p w14:paraId="3802A6A4"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0.0745 </w:t>
            </w:r>
          </w:p>
          <w:p w14:paraId="58BFBDF7"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(0.0223)</w:t>
            </w:r>
          </w:p>
        </w:tc>
        <w:tc>
          <w:tcPr>
            <w:tcW w:w="1584" w:type="dxa"/>
            <w:hideMark/>
          </w:tcPr>
          <w:p w14:paraId="4EE78525"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0.101 </w:t>
            </w:r>
          </w:p>
          <w:p w14:paraId="22EBC32C"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(0.0227)</w:t>
            </w:r>
          </w:p>
        </w:tc>
      </w:tr>
      <w:tr w:rsidR="009E12C8" w:rsidRPr="009E12C8" w14:paraId="355A721E" w14:textId="77777777" w:rsidTr="009F157C">
        <w:trPr>
          <w:trHeight w:val="20"/>
        </w:trPr>
        <w:tc>
          <w:tcPr>
            <w:tcW w:w="1440" w:type="dxa"/>
            <w:hideMark/>
          </w:tcPr>
          <w:p w14:paraId="4580F899"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CL</w:t>
            </w:r>
            <w:r w:rsidRPr="009E12C8">
              <w:rPr>
                <w:rFonts w:eastAsia="Times New Roman" w:cs="Times New Roman"/>
                <w:szCs w:val="24"/>
                <w:vertAlign w:val="subscript"/>
                <w:lang w:eastAsia="en-US"/>
              </w:rPr>
              <w:t>R</w:t>
            </w:r>
            <w:r w:rsidRPr="009E12C8">
              <w:rPr>
                <w:rFonts w:eastAsia="Times New Roman" w:cs="Times New Roman"/>
                <w:szCs w:val="24"/>
                <w:lang w:eastAsia="en-US"/>
              </w:rPr>
              <w:t xml:space="preserve"> </w:t>
            </w:r>
          </w:p>
          <w:p w14:paraId="7FCDEDE1"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(L/h)</w:t>
            </w:r>
          </w:p>
        </w:tc>
        <w:tc>
          <w:tcPr>
            <w:tcW w:w="1584" w:type="dxa"/>
            <w:hideMark/>
          </w:tcPr>
          <w:p w14:paraId="1A2BCAF3"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NA</w:t>
            </w:r>
          </w:p>
        </w:tc>
        <w:tc>
          <w:tcPr>
            <w:tcW w:w="1584" w:type="dxa"/>
            <w:hideMark/>
          </w:tcPr>
          <w:p w14:paraId="1D1589A5"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0.0170 </w:t>
            </w:r>
          </w:p>
          <w:p w14:paraId="5E4E4FB6"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(0.00417)</w:t>
            </w:r>
          </w:p>
        </w:tc>
        <w:tc>
          <w:tcPr>
            <w:tcW w:w="1584" w:type="dxa"/>
            <w:hideMark/>
          </w:tcPr>
          <w:p w14:paraId="7D54F1F9"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0.00807 </w:t>
            </w:r>
          </w:p>
          <w:p w14:paraId="3ED3DD23"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(0.00303)</w:t>
            </w:r>
          </w:p>
        </w:tc>
        <w:tc>
          <w:tcPr>
            <w:tcW w:w="1584" w:type="dxa"/>
            <w:hideMark/>
          </w:tcPr>
          <w:p w14:paraId="60D74EF8"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0.0108 </w:t>
            </w:r>
          </w:p>
          <w:p w14:paraId="3EFD7655"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(0.00330)</w:t>
            </w:r>
          </w:p>
        </w:tc>
        <w:tc>
          <w:tcPr>
            <w:tcW w:w="1584" w:type="dxa"/>
            <w:hideMark/>
          </w:tcPr>
          <w:p w14:paraId="1CB1667C"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 xml:space="preserve">0.0114 </w:t>
            </w:r>
          </w:p>
          <w:p w14:paraId="5CB56116"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(0.00300)</w:t>
            </w:r>
          </w:p>
        </w:tc>
      </w:tr>
      <w:tr w:rsidR="009E12C8" w:rsidRPr="009E12C8" w14:paraId="76D7D030" w14:textId="77777777" w:rsidTr="009F157C">
        <w:trPr>
          <w:trHeight w:val="20"/>
        </w:trPr>
        <w:tc>
          <w:tcPr>
            <w:tcW w:w="1440" w:type="dxa"/>
          </w:tcPr>
          <w:p w14:paraId="69D8BCAB"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R</w:t>
            </w:r>
            <w:r w:rsidRPr="009E12C8">
              <w:rPr>
                <w:rFonts w:eastAsia="Times New Roman" w:cs="Times New Roman"/>
                <w:szCs w:val="24"/>
                <w:vertAlign w:val="subscript"/>
                <w:lang w:eastAsia="en-US"/>
              </w:rPr>
              <w:t>A, Cmax</w:t>
            </w:r>
            <w:r w:rsidRPr="009E12C8">
              <w:rPr>
                <w:rFonts w:eastAsia="Times New Roman" w:cs="Times New Roman"/>
                <w:szCs w:val="24"/>
                <w:lang w:eastAsia="en-US"/>
              </w:rPr>
              <w:t xml:space="preserve"> (90% CI)</w:t>
            </w:r>
          </w:p>
        </w:tc>
        <w:tc>
          <w:tcPr>
            <w:tcW w:w="1584" w:type="dxa"/>
          </w:tcPr>
          <w:p w14:paraId="3ACAC8CF" w14:textId="77777777" w:rsidR="00FC17EF" w:rsidRPr="009E12C8" w:rsidRDefault="00FC17EF" w:rsidP="009F157C">
            <w:pPr>
              <w:keepNext/>
              <w:tabs>
                <w:tab w:val="left" w:pos="288"/>
                <w:tab w:val="left" w:pos="576"/>
                <w:tab w:val="left" w:pos="864"/>
              </w:tabs>
              <w:spacing w:after="0" w:line="240" w:lineRule="auto"/>
              <w:rPr>
                <w:rFonts w:cs="Times New Roman"/>
                <w:szCs w:val="24"/>
              </w:rPr>
            </w:pPr>
            <w:r w:rsidRPr="009E12C8">
              <w:rPr>
                <w:szCs w:val="24"/>
              </w:rPr>
              <w:t xml:space="preserve">122.12 (96.02; 155.33) </w:t>
            </w:r>
          </w:p>
        </w:tc>
        <w:tc>
          <w:tcPr>
            <w:tcW w:w="1584" w:type="dxa"/>
          </w:tcPr>
          <w:p w14:paraId="10867B21"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156.16 (125.12; 194.9)</w:t>
            </w:r>
          </w:p>
        </w:tc>
        <w:tc>
          <w:tcPr>
            <w:tcW w:w="1584" w:type="dxa"/>
          </w:tcPr>
          <w:p w14:paraId="122E50DF"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145.64 (117.41; 180.66)</w:t>
            </w:r>
          </w:p>
        </w:tc>
        <w:tc>
          <w:tcPr>
            <w:tcW w:w="1584" w:type="dxa"/>
          </w:tcPr>
          <w:p w14:paraId="15E1311D"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97.66 (88.04; 108.33)</w:t>
            </w:r>
          </w:p>
        </w:tc>
        <w:tc>
          <w:tcPr>
            <w:tcW w:w="1584" w:type="dxa"/>
          </w:tcPr>
          <w:p w14:paraId="7B25DE8D"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123.72 (95.39; 160.46)</w:t>
            </w:r>
          </w:p>
        </w:tc>
      </w:tr>
      <w:tr w:rsidR="009E12C8" w:rsidRPr="009E12C8" w14:paraId="723E7741" w14:textId="77777777" w:rsidTr="009F157C">
        <w:trPr>
          <w:trHeight w:val="20"/>
        </w:trPr>
        <w:tc>
          <w:tcPr>
            <w:tcW w:w="1440" w:type="dxa"/>
          </w:tcPr>
          <w:p w14:paraId="505AC323" w14:textId="77777777" w:rsidR="00FC17EF" w:rsidRPr="009E12C8" w:rsidRDefault="00FC17EF" w:rsidP="009F157C">
            <w:pPr>
              <w:keepNext/>
              <w:tabs>
                <w:tab w:val="left" w:pos="288"/>
                <w:tab w:val="left" w:pos="576"/>
                <w:tab w:val="left" w:pos="864"/>
              </w:tabs>
              <w:spacing w:after="0" w:line="240" w:lineRule="auto"/>
              <w:ind w:left="90"/>
              <w:rPr>
                <w:rFonts w:eastAsia="Times New Roman" w:cs="Times New Roman"/>
                <w:szCs w:val="24"/>
                <w:lang w:eastAsia="en-US"/>
              </w:rPr>
            </w:pPr>
            <w:r w:rsidRPr="009E12C8">
              <w:rPr>
                <w:rFonts w:eastAsia="Times New Roman" w:cs="Times New Roman"/>
                <w:szCs w:val="24"/>
                <w:lang w:eastAsia="en-US"/>
              </w:rPr>
              <w:t>R</w:t>
            </w:r>
            <w:r w:rsidRPr="009E12C8">
              <w:rPr>
                <w:rFonts w:eastAsia="Times New Roman" w:cs="Times New Roman"/>
                <w:szCs w:val="24"/>
                <w:vertAlign w:val="subscript"/>
                <w:lang w:eastAsia="en-US"/>
              </w:rPr>
              <w:t>A, AUC</w:t>
            </w:r>
            <w:r w:rsidRPr="009E12C8">
              <w:rPr>
                <w:rFonts w:eastAsia="Times New Roman" w:cs="Times New Roman"/>
                <w:szCs w:val="24"/>
                <w:lang w:eastAsia="en-US"/>
              </w:rPr>
              <w:t xml:space="preserve"> (90% CI)</w:t>
            </w:r>
          </w:p>
        </w:tc>
        <w:tc>
          <w:tcPr>
            <w:tcW w:w="1584" w:type="dxa"/>
          </w:tcPr>
          <w:p w14:paraId="44FCFFBD"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143.78 (114.57; 180.44)</w:t>
            </w:r>
          </w:p>
        </w:tc>
        <w:tc>
          <w:tcPr>
            <w:tcW w:w="1584" w:type="dxa"/>
          </w:tcPr>
          <w:p w14:paraId="38EBD053"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242.06 (184.56; 317.48)</w:t>
            </w:r>
          </w:p>
        </w:tc>
        <w:tc>
          <w:tcPr>
            <w:tcW w:w="1584" w:type="dxa"/>
          </w:tcPr>
          <w:p w14:paraId="49A3D1C0"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337.38 (259.45; 438.73)</w:t>
            </w:r>
          </w:p>
        </w:tc>
        <w:tc>
          <w:tcPr>
            <w:tcW w:w="1584" w:type="dxa"/>
          </w:tcPr>
          <w:p w14:paraId="2CB2852C"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152.95 (130.87; 178.76)</w:t>
            </w:r>
          </w:p>
        </w:tc>
        <w:tc>
          <w:tcPr>
            <w:tcW w:w="1584" w:type="dxa"/>
          </w:tcPr>
          <w:p w14:paraId="57ABBB54"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t>205.63 (166.14; 254.5)</w:t>
            </w:r>
          </w:p>
        </w:tc>
      </w:tr>
      <w:tr w:rsidR="009E12C8" w:rsidRPr="009E12C8" w14:paraId="440000EE" w14:textId="77777777" w:rsidTr="009F157C">
        <w:trPr>
          <w:trHeight w:val="20"/>
        </w:trPr>
        <w:tc>
          <w:tcPr>
            <w:tcW w:w="9360" w:type="dxa"/>
            <w:gridSpan w:val="6"/>
            <w:tcBorders>
              <w:top w:val="single" w:sz="4" w:space="0" w:color="auto"/>
              <w:left w:val="nil"/>
              <w:bottom w:val="nil"/>
              <w:right w:val="nil"/>
            </w:tcBorders>
            <w:hideMark/>
          </w:tcPr>
          <w:p w14:paraId="6171EE79" w14:textId="77777777" w:rsidR="00FC17EF" w:rsidRPr="009E12C8" w:rsidRDefault="00FC17EF" w:rsidP="009F157C">
            <w:pPr>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vertAlign w:val="superscript"/>
                <w:lang w:eastAsia="en-US"/>
              </w:rPr>
              <w:t>a</w:t>
            </w:r>
            <w:r w:rsidRPr="009E12C8">
              <w:rPr>
                <w:rFonts w:eastAsia="Times New Roman" w:cs="Times New Roman"/>
                <w:szCs w:val="24"/>
                <w:lang w:eastAsia="en-US"/>
              </w:rPr>
              <w:t>median (range); DN: Mean (SD) values dose normalized to 10 mg</w:t>
            </w:r>
          </w:p>
          <w:p w14:paraId="6AD68D84" w14:textId="77777777" w:rsidR="00FC17EF" w:rsidRPr="009E12C8" w:rsidRDefault="00FC17EF" w:rsidP="009F157C">
            <w:pPr>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Cs w:val="24"/>
                <w:lang w:eastAsia="en-US"/>
              </w:rPr>
              <w:lastRenderedPageBreak/>
              <w:t>CI, confidence interval; NA, not applicable, R</w:t>
            </w:r>
            <w:r w:rsidRPr="009E12C8">
              <w:rPr>
                <w:rFonts w:eastAsia="Times New Roman" w:cs="Times New Roman"/>
                <w:szCs w:val="24"/>
                <w:vertAlign w:val="subscript"/>
                <w:lang w:eastAsia="en-US"/>
              </w:rPr>
              <w:t>a, Cmax</w:t>
            </w:r>
            <w:r w:rsidRPr="009E12C8">
              <w:rPr>
                <w:rFonts w:eastAsia="Times New Roman" w:cs="Times New Roman"/>
                <w:szCs w:val="24"/>
                <w:lang w:eastAsia="en-US"/>
              </w:rPr>
              <w:t xml:space="preserve">, accumulation ratio </w:t>
            </w:r>
            <w:r w:rsidRPr="009E12C8">
              <w:rPr>
                <w:rStyle w:val="st"/>
              </w:rPr>
              <w:t>calculated from C</w:t>
            </w:r>
            <w:r w:rsidRPr="009E12C8">
              <w:rPr>
                <w:rStyle w:val="st"/>
                <w:vertAlign w:val="subscript"/>
              </w:rPr>
              <w:t>max</w:t>
            </w:r>
            <w:r w:rsidRPr="009E12C8">
              <w:rPr>
                <w:rStyle w:val="st"/>
              </w:rPr>
              <w:t xml:space="preserve">; </w:t>
            </w:r>
            <w:r w:rsidRPr="009E12C8">
              <w:rPr>
                <w:rFonts w:eastAsia="Times New Roman" w:cs="Times New Roman"/>
                <w:szCs w:val="24"/>
                <w:lang w:eastAsia="en-US"/>
              </w:rPr>
              <w:t>R</w:t>
            </w:r>
            <w:r w:rsidRPr="009E12C8">
              <w:rPr>
                <w:rFonts w:eastAsia="Times New Roman" w:cs="Times New Roman"/>
                <w:szCs w:val="24"/>
                <w:vertAlign w:val="subscript"/>
                <w:lang w:eastAsia="en-US"/>
              </w:rPr>
              <w:t>A, AUC</w:t>
            </w:r>
            <w:r w:rsidRPr="009E12C8">
              <w:rPr>
                <w:rFonts w:eastAsia="Times New Roman" w:cs="Times New Roman"/>
                <w:szCs w:val="24"/>
                <w:lang w:eastAsia="en-US"/>
              </w:rPr>
              <w:t xml:space="preserve">, accumulation ratio </w:t>
            </w:r>
            <w:r w:rsidRPr="009E12C8">
              <w:rPr>
                <w:rStyle w:val="st"/>
              </w:rPr>
              <w:t>calculated from AUC</w:t>
            </w:r>
          </w:p>
        </w:tc>
      </w:tr>
    </w:tbl>
    <w:p w14:paraId="4F308D97" w14:textId="77777777" w:rsidR="00FC17EF" w:rsidRPr="009E12C8" w:rsidRDefault="00FC17EF" w:rsidP="009F157C">
      <w:pPr>
        <w:rPr>
          <w:rFonts w:cs="Times New Roman"/>
          <w:szCs w:val="24"/>
        </w:rPr>
      </w:pPr>
      <w:r w:rsidRPr="009E12C8">
        <w:rPr>
          <w:rFonts w:cs="Times New Roman"/>
          <w:szCs w:val="24"/>
        </w:rPr>
        <w:lastRenderedPageBreak/>
        <w:t>Below the lowest quantifiable limit concentrations were treated as zero for calculating pharmacokinetic parameters and summary statistics of concentration-time data</w:t>
      </w:r>
    </w:p>
    <w:p w14:paraId="14B4BF9C" w14:textId="77777777" w:rsidR="00FC17EF" w:rsidRPr="009E12C8" w:rsidRDefault="00FC17EF" w:rsidP="009F157C">
      <w:pPr>
        <w:rPr>
          <w:rFonts w:cs="Times New Roman"/>
          <w:szCs w:val="24"/>
        </w:rPr>
      </w:pPr>
      <w:r w:rsidRPr="009E12C8">
        <w:rPr>
          <w:rFonts w:cs="Times New Roman"/>
          <w:szCs w:val="24"/>
        </w:rPr>
        <w:t>AUC, area under the curve over a dosing interval (i.e., 24 h); CL</w:t>
      </w:r>
      <w:r w:rsidRPr="009E12C8">
        <w:rPr>
          <w:rFonts w:cs="Times New Roman"/>
          <w:szCs w:val="24"/>
          <w:vertAlign w:val="subscript"/>
        </w:rPr>
        <w:t>R</w:t>
      </w:r>
      <w:r w:rsidRPr="009E12C8">
        <w:rPr>
          <w:rFonts w:cs="Times New Roman"/>
          <w:szCs w:val="24"/>
        </w:rPr>
        <w:t>, renal clearance; MAD, multiple ascending dose; SD, standard deviation</w:t>
      </w:r>
    </w:p>
    <w:p w14:paraId="6BF3D3E8" w14:textId="77777777" w:rsidR="009F157C" w:rsidRPr="009E12C8" w:rsidRDefault="009F157C">
      <w:pPr>
        <w:spacing w:before="0" w:after="160" w:line="259" w:lineRule="auto"/>
        <w:rPr>
          <w:rStyle w:val="SubtleEmphasis"/>
          <w:rFonts w:eastAsiaTheme="majorEastAsia" w:cs="Times New Roman"/>
          <w:b/>
          <w:i w:val="0"/>
          <w:noProof/>
          <w:color w:val="auto"/>
          <w:szCs w:val="24"/>
        </w:rPr>
      </w:pPr>
      <w:bookmarkStart w:id="10" w:name="_Table_S2._Summary"/>
      <w:bookmarkEnd w:id="10"/>
      <w:r w:rsidRPr="009E12C8">
        <w:rPr>
          <w:rStyle w:val="SubtleEmphasis"/>
          <w:i w:val="0"/>
          <w:color w:val="auto"/>
        </w:rPr>
        <w:br w:type="page"/>
      </w:r>
    </w:p>
    <w:p w14:paraId="752790C5" w14:textId="36D38721" w:rsidR="00FC17EF" w:rsidRPr="009E12C8" w:rsidRDefault="00FC17EF" w:rsidP="009F157C">
      <w:pPr>
        <w:pStyle w:val="Heading2"/>
        <w:rPr>
          <w:rStyle w:val="SubtleEmphasis"/>
          <w:i w:val="0"/>
          <w:iCs w:val="0"/>
          <w:color w:val="auto"/>
        </w:rPr>
      </w:pPr>
      <w:r w:rsidRPr="009E12C8">
        <w:rPr>
          <w:rStyle w:val="SubtleEmphasis"/>
          <w:i w:val="0"/>
          <w:color w:val="auto"/>
        </w:rPr>
        <w:lastRenderedPageBreak/>
        <w:t>Table S3. Occupancy at trough after single and once daily dosing of JNJ-42165279</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796"/>
        <w:gridCol w:w="2032"/>
        <w:gridCol w:w="1617"/>
        <w:gridCol w:w="1936"/>
        <w:gridCol w:w="1436"/>
      </w:tblGrid>
      <w:tr w:rsidR="009E12C8" w:rsidRPr="009E12C8" w14:paraId="13E2B13A" w14:textId="77777777" w:rsidTr="009F157C">
        <w:trPr>
          <w:jc w:val="center"/>
        </w:trPr>
        <w:tc>
          <w:tcPr>
            <w:tcW w:w="1286" w:type="dxa"/>
            <w:tcBorders>
              <w:top w:val="single" w:sz="4" w:space="0" w:color="auto"/>
              <w:bottom w:val="single" w:sz="4" w:space="0" w:color="auto"/>
            </w:tcBorders>
          </w:tcPr>
          <w:p w14:paraId="09E9D240" w14:textId="77777777" w:rsidR="00FC17EF" w:rsidRPr="009E12C8" w:rsidRDefault="00FC17EF" w:rsidP="009F157C">
            <w:pPr>
              <w:pStyle w:val="BodyText11"/>
              <w:spacing w:after="0" w:line="360" w:lineRule="auto"/>
              <w:rPr>
                <w:sz w:val="24"/>
                <w:szCs w:val="24"/>
              </w:rPr>
            </w:pPr>
            <w:r w:rsidRPr="009E12C8">
              <w:rPr>
                <w:sz w:val="24"/>
                <w:szCs w:val="24"/>
              </w:rPr>
              <w:t>Participant</w:t>
            </w:r>
          </w:p>
        </w:tc>
        <w:tc>
          <w:tcPr>
            <w:tcW w:w="749" w:type="dxa"/>
            <w:tcBorders>
              <w:top w:val="single" w:sz="4" w:space="0" w:color="auto"/>
              <w:bottom w:val="single" w:sz="4" w:space="0" w:color="auto"/>
            </w:tcBorders>
          </w:tcPr>
          <w:p w14:paraId="6A339E50" w14:textId="77777777" w:rsidR="00FC17EF" w:rsidRPr="009E12C8" w:rsidRDefault="00FC17EF" w:rsidP="009F157C">
            <w:pPr>
              <w:pStyle w:val="BodyText11"/>
              <w:spacing w:after="0" w:line="360" w:lineRule="auto"/>
              <w:rPr>
                <w:sz w:val="24"/>
                <w:szCs w:val="24"/>
              </w:rPr>
            </w:pPr>
            <w:r w:rsidRPr="009E12C8">
              <w:rPr>
                <w:sz w:val="24"/>
                <w:szCs w:val="24"/>
              </w:rPr>
              <w:t>Dose (mg)</w:t>
            </w:r>
          </w:p>
        </w:tc>
        <w:tc>
          <w:tcPr>
            <w:tcW w:w="1911" w:type="dxa"/>
            <w:tcBorders>
              <w:top w:val="single" w:sz="4" w:space="0" w:color="auto"/>
              <w:bottom w:val="single" w:sz="4" w:space="0" w:color="auto"/>
            </w:tcBorders>
          </w:tcPr>
          <w:p w14:paraId="594D64B0" w14:textId="77777777" w:rsidR="00FC17EF" w:rsidRPr="009E12C8" w:rsidRDefault="00FC17EF" w:rsidP="009F157C">
            <w:pPr>
              <w:pStyle w:val="BodyText11"/>
              <w:spacing w:after="0" w:line="360" w:lineRule="auto"/>
              <w:jc w:val="left"/>
              <w:rPr>
                <w:sz w:val="24"/>
                <w:szCs w:val="24"/>
              </w:rPr>
            </w:pPr>
            <w:r w:rsidRPr="009E12C8">
              <w:rPr>
                <w:sz w:val="24"/>
                <w:szCs w:val="24"/>
              </w:rPr>
              <w:t>Plasma concentration 24-hour post Day 1 dose (ng/ml)</w:t>
            </w:r>
          </w:p>
        </w:tc>
        <w:tc>
          <w:tcPr>
            <w:tcW w:w="1521" w:type="dxa"/>
            <w:tcBorders>
              <w:top w:val="single" w:sz="4" w:space="0" w:color="auto"/>
              <w:bottom w:val="single" w:sz="4" w:space="0" w:color="auto"/>
            </w:tcBorders>
          </w:tcPr>
          <w:p w14:paraId="091C96EC" w14:textId="77777777" w:rsidR="00FC17EF" w:rsidRPr="009E12C8" w:rsidRDefault="00FC17EF" w:rsidP="009F157C">
            <w:pPr>
              <w:pStyle w:val="BodyText11"/>
              <w:spacing w:after="0" w:line="360" w:lineRule="auto"/>
              <w:jc w:val="left"/>
              <w:rPr>
                <w:sz w:val="24"/>
                <w:szCs w:val="24"/>
              </w:rPr>
            </w:pPr>
            <w:r w:rsidRPr="009E12C8">
              <w:rPr>
                <w:sz w:val="24"/>
                <w:szCs w:val="24"/>
              </w:rPr>
              <w:t>Occupancy 24</w:t>
            </w:r>
            <w:r w:rsidRPr="009E12C8">
              <w:rPr>
                <w:szCs w:val="24"/>
              </w:rPr>
              <w:t>-</w:t>
            </w:r>
            <w:r w:rsidRPr="009E12C8">
              <w:rPr>
                <w:sz w:val="24"/>
                <w:szCs w:val="24"/>
              </w:rPr>
              <w:t>hour post Day 1 dose (%)</w:t>
            </w:r>
          </w:p>
        </w:tc>
        <w:tc>
          <w:tcPr>
            <w:tcW w:w="1821" w:type="dxa"/>
            <w:tcBorders>
              <w:top w:val="single" w:sz="4" w:space="0" w:color="auto"/>
              <w:bottom w:val="single" w:sz="4" w:space="0" w:color="auto"/>
            </w:tcBorders>
          </w:tcPr>
          <w:p w14:paraId="28D68D30" w14:textId="77777777" w:rsidR="00FC17EF" w:rsidRPr="009E12C8" w:rsidRDefault="00FC17EF" w:rsidP="009F157C">
            <w:pPr>
              <w:pStyle w:val="BodyText11"/>
              <w:spacing w:after="0" w:line="360" w:lineRule="auto"/>
              <w:jc w:val="left"/>
              <w:rPr>
                <w:sz w:val="24"/>
                <w:szCs w:val="24"/>
              </w:rPr>
            </w:pPr>
            <w:r w:rsidRPr="009E12C8">
              <w:rPr>
                <w:sz w:val="24"/>
                <w:szCs w:val="24"/>
              </w:rPr>
              <w:t>Plasma concentration 24-hour post Day 7 dose (ng/ml)</w:t>
            </w:r>
          </w:p>
        </w:tc>
        <w:tc>
          <w:tcPr>
            <w:tcW w:w="1351" w:type="dxa"/>
            <w:tcBorders>
              <w:top w:val="single" w:sz="4" w:space="0" w:color="auto"/>
              <w:bottom w:val="single" w:sz="4" w:space="0" w:color="auto"/>
            </w:tcBorders>
          </w:tcPr>
          <w:p w14:paraId="49F33FC8" w14:textId="77777777" w:rsidR="00FC17EF" w:rsidRPr="009E12C8" w:rsidRDefault="00FC17EF" w:rsidP="009F157C">
            <w:pPr>
              <w:pStyle w:val="BodyText11"/>
              <w:spacing w:after="0" w:line="360" w:lineRule="auto"/>
              <w:jc w:val="left"/>
              <w:rPr>
                <w:sz w:val="24"/>
                <w:szCs w:val="24"/>
              </w:rPr>
            </w:pPr>
            <w:r w:rsidRPr="009E12C8">
              <w:rPr>
                <w:sz w:val="24"/>
                <w:szCs w:val="24"/>
              </w:rPr>
              <w:t>Occupancy 24</w:t>
            </w:r>
            <w:r w:rsidRPr="009E12C8">
              <w:rPr>
                <w:szCs w:val="24"/>
              </w:rPr>
              <w:t>-</w:t>
            </w:r>
            <w:r w:rsidRPr="009E12C8">
              <w:rPr>
                <w:sz w:val="24"/>
                <w:szCs w:val="24"/>
              </w:rPr>
              <w:t>hour post Day 7 dose (%)</w:t>
            </w:r>
          </w:p>
        </w:tc>
      </w:tr>
      <w:tr w:rsidR="009E12C8" w:rsidRPr="009E12C8" w14:paraId="5190A114" w14:textId="77777777" w:rsidTr="009F157C">
        <w:trPr>
          <w:jc w:val="center"/>
        </w:trPr>
        <w:tc>
          <w:tcPr>
            <w:tcW w:w="1286" w:type="dxa"/>
            <w:tcBorders>
              <w:top w:val="single" w:sz="4" w:space="0" w:color="auto"/>
            </w:tcBorders>
          </w:tcPr>
          <w:p w14:paraId="7AB5C22D" w14:textId="77777777" w:rsidR="00FC17EF" w:rsidRPr="009E12C8" w:rsidRDefault="00FC17EF" w:rsidP="009F157C">
            <w:pPr>
              <w:pStyle w:val="BodyText11"/>
              <w:spacing w:after="0" w:line="360" w:lineRule="auto"/>
              <w:rPr>
                <w:sz w:val="24"/>
                <w:szCs w:val="24"/>
              </w:rPr>
            </w:pPr>
            <w:r w:rsidRPr="009E12C8">
              <w:rPr>
                <w:sz w:val="24"/>
                <w:szCs w:val="24"/>
              </w:rPr>
              <w:t>1</w:t>
            </w:r>
          </w:p>
        </w:tc>
        <w:tc>
          <w:tcPr>
            <w:tcW w:w="749" w:type="dxa"/>
            <w:tcBorders>
              <w:top w:val="single" w:sz="4" w:space="0" w:color="auto"/>
            </w:tcBorders>
          </w:tcPr>
          <w:p w14:paraId="29E73CD3" w14:textId="77777777" w:rsidR="00FC17EF" w:rsidRPr="009E12C8" w:rsidRDefault="00FC17EF" w:rsidP="009F157C">
            <w:pPr>
              <w:pStyle w:val="BodyText11"/>
              <w:spacing w:after="0" w:line="360" w:lineRule="auto"/>
              <w:rPr>
                <w:sz w:val="24"/>
                <w:szCs w:val="24"/>
              </w:rPr>
            </w:pPr>
            <w:r w:rsidRPr="009E12C8">
              <w:rPr>
                <w:sz w:val="24"/>
                <w:szCs w:val="24"/>
              </w:rPr>
              <w:t xml:space="preserve">2.5 </w:t>
            </w:r>
          </w:p>
        </w:tc>
        <w:tc>
          <w:tcPr>
            <w:tcW w:w="1911" w:type="dxa"/>
            <w:tcBorders>
              <w:top w:val="single" w:sz="4" w:space="0" w:color="auto"/>
            </w:tcBorders>
          </w:tcPr>
          <w:p w14:paraId="27152386" w14:textId="77777777" w:rsidR="00FC17EF" w:rsidRPr="009E12C8" w:rsidRDefault="00FC17EF" w:rsidP="009F157C">
            <w:pPr>
              <w:pStyle w:val="BodyText11"/>
              <w:spacing w:after="0" w:line="360" w:lineRule="auto"/>
              <w:rPr>
                <w:sz w:val="24"/>
                <w:szCs w:val="24"/>
              </w:rPr>
            </w:pPr>
            <w:r w:rsidRPr="009E12C8">
              <w:rPr>
                <w:sz w:val="24"/>
                <w:szCs w:val="24"/>
              </w:rPr>
              <w:t>1.01</w:t>
            </w:r>
          </w:p>
        </w:tc>
        <w:tc>
          <w:tcPr>
            <w:tcW w:w="1521" w:type="dxa"/>
            <w:tcBorders>
              <w:top w:val="single" w:sz="4" w:space="0" w:color="auto"/>
            </w:tcBorders>
          </w:tcPr>
          <w:p w14:paraId="7100A059" w14:textId="77777777" w:rsidR="00FC17EF" w:rsidRPr="009E12C8" w:rsidRDefault="00FC17EF" w:rsidP="009F157C">
            <w:pPr>
              <w:pStyle w:val="BodyText11"/>
              <w:spacing w:after="0" w:line="360" w:lineRule="auto"/>
              <w:rPr>
                <w:sz w:val="24"/>
                <w:szCs w:val="24"/>
              </w:rPr>
            </w:pPr>
            <w:r w:rsidRPr="009E12C8">
              <w:rPr>
                <w:sz w:val="24"/>
                <w:szCs w:val="24"/>
              </w:rPr>
              <w:t>56.1</w:t>
            </w:r>
          </w:p>
        </w:tc>
        <w:tc>
          <w:tcPr>
            <w:tcW w:w="1821" w:type="dxa"/>
            <w:tcBorders>
              <w:top w:val="single" w:sz="4" w:space="0" w:color="auto"/>
            </w:tcBorders>
          </w:tcPr>
          <w:p w14:paraId="401459E9" w14:textId="77777777" w:rsidR="00FC17EF" w:rsidRPr="009E12C8" w:rsidRDefault="00FC17EF" w:rsidP="009F157C">
            <w:pPr>
              <w:pStyle w:val="BodyText11"/>
              <w:spacing w:after="0" w:line="360" w:lineRule="auto"/>
              <w:rPr>
                <w:sz w:val="24"/>
                <w:szCs w:val="24"/>
              </w:rPr>
            </w:pPr>
            <w:r w:rsidRPr="009E12C8">
              <w:rPr>
                <w:sz w:val="24"/>
                <w:szCs w:val="24"/>
              </w:rPr>
              <w:t>1.44</w:t>
            </w:r>
          </w:p>
        </w:tc>
        <w:tc>
          <w:tcPr>
            <w:tcW w:w="1351" w:type="dxa"/>
            <w:tcBorders>
              <w:top w:val="single" w:sz="4" w:space="0" w:color="auto"/>
            </w:tcBorders>
          </w:tcPr>
          <w:p w14:paraId="67CA28EB" w14:textId="77777777" w:rsidR="00FC17EF" w:rsidRPr="009E12C8" w:rsidRDefault="00FC17EF" w:rsidP="009F157C">
            <w:pPr>
              <w:pStyle w:val="BodyText11"/>
              <w:spacing w:after="0" w:line="360" w:lineRule="auto"/>
              <w:rPr>
                <w:sz w:val="24"/>
                <w:szCs w:val="24"/>
              </w:rPr>
            </w:pPr>
            <w:r w:rsidRPr="009E12C8">
              <w:rPr>
                <w:sz w:val="24"/>
                <w:szCs w:val="24"/>
              </w:rPr>
              <w:t>57.5</w:t>
            </w:r>
          </w:p>
        </w:tc>
      </w:tr>
      <w:tr w:rsidR="009E12C8" w:rsidRPr="009E12C8" w14:paraId="348535A2" w14:textId="77777777" w:rsidTr="009F157C">
        <w:trPr>
          <w:jc w:val="center"/>
        </w:trPr>
        <w:tc>
          <w:tcPr>
            <w:tcW w:w="1286" w:type="dxa"/>
          </w:tcPr>
          <w:p w14:paraId="348050B6" w14:textId="77777777" w:rsidR="00FC17EF" w:rsidRPr="009E12C8" w:rsidRDefault="00FC17EF" w:rsidP="009F157C">
            <w:pPr>
              <w:pStyle w:val="BodyText11"/>
              <w:spacing w:after="0" w:line="360" w:lineRule="auto"/>
              <w:rPr>
                <w:sz w:val="24"/>
                <w:szCs w:val="24"/>
              </w:rPr>
            </w:pPr>
            <w:r w:rsidRPr="009E12C8">
              <w:rPr>
                <w:sz w:val="24"/>
                <w:szCs w:val="24"/>
              </w:rPr>
              <w:t>2</w:t>
            </w:r>
          </w:p>
        </w:tc>
        <w:tc>
          <w:tcPr>
            <w:tcW w:w="749" w:type="dxa"/>
          </w:tcPr>
          <w:p w14:paraId="39A524CB" w14:textId="77777777" w:rsidR="00FC17EF" w:rsidRPr="009E12C8" w:rsidRDefault="00FC17EF" w:rsidP="009F157C">
            <w:pPr>
              <w:pStyle w:val="BodyText11"/>
              <w:spacing w:after="0" w:line="360" w:lineRule="auto"/>
              <w:rPr>
                <w:sz w:val="24"/>
                <w:szCs w:val="24"/>
              </w:rPr>
            </w:pPr>
            <w:r w:rsidRPr="009E12C8">
              <w:rPr>
                <w:sz w:val="24"/>
                <w:szCs w:val="24"/>
              </w:rPr>
              <w:t>2.5</w:t>
            </w:r>
          </w:p>
        </w:tc>
        <w:tc>
          <w:tcPr>
            <w:tcW w:w="1911" w:type="dxa"/>
          </w:tcPr>
          <w:p w14:paraId="0F814EF3" w14:textId="77777777" w:rsidR="00FC17EF" w:rsidRPr="009E12C8" w:rsidRDefault="00FC17EF" w:rsidP="009F157C">
            <w:pPr>
              <w:pStyle w:val="BodyText11"/>
              <w:spacing w:after="0" w:line="360" w:lineRule="auto"/>
              <w:rPr>
                <w:sz w:val="24"/>
                <w:szCs w:val="24"/>
              </w:rPr>
            </w:pPr>
            <w:r w:rsidRPr="009E12C8">
              <w:rPr>
                <w:sz w:val="24"/>
                <w:szCs w:val="24"/>
              </w:rPr>
              <w:t>BQL</w:t>
            </w:r>
          </w:p>
        </w:tc>
        <w:tc>
          <w:tcPr>
            <w:tcW w:w="1521" w:type="dxa"/>
          </w:tcPr>
          <w:p w14:paraId="6EBE7387" w14:textId="77777777" w:rsidR="00FC17EF" w:rsidRPr="009E12C8" w:rsidRDefault="00FC17EF" w:rsidP="009F157C">
            <w:pPr>
              <w:pStyle w:val="BodyText11"/>
              <w:spacing w:after="0" w:line="360" w:lineRule="auto"/>
              <w:rPr>
                <w:sz w:val="24"/>
                <w:szCs w:val="24"/>
              </w:rPr>
            </w:pPr>
            <w:r w:rsidRPr="009E12C8">
              <w:rPr>
                <w:sz w:val="24"/>
                <w:szCs w:val="24"/>
              </w:rPr>
              <w:t>44.3</w:t>
            </w:r>
          </w:p>
        </w:tc>
        <w:tc>
          <w:tcPr>
            <w:tcW w:w="1821" w:type="dxa"/>
          </w:tcPr>
          <w:p w14:paraId="1B62E52D" w14:textId="77777777" w:rsidR="00FC17EF" w:rsidRPr="009E12C8" w:rsidRDefault="00FC17EF" w:rsidP="009F157C">
            <w:pPr>
              <w:pStyle w:val="BodyText11"/>
              <w:spacing w:after="0" w:line="360" w:lineRule="auto"/>
              <w:rPr>
                <w:sz w:val="24"/>
                <w:szCs w:val="24"/>
              </w:rPr>
            </w:pPr>
            <w:r w:rsidRPr="009E12C8">
              <w:rPr>
                <w:sz w:val="24"/>
                <w:szCs w:val="24"/>
              </w:rPr>
              <w:t>BQL</w:t>
            </w:r>
          </w:p>
        </w:tc>
        <w:tc>
          <w:tcPr>
            <w:tcW w:w="1351" w:type="dxa"/>
          </w:tcPr>
          <w:p w14:paraId="3BFEAED0" w14:textId="77777777" w:rsidR="00FC17EF" w:rsidRPr="009E12C8" w:rsidRDefault="00FC17EF" w:rsidP="009F157C">
            <w:pPr>
              <w:pStyle w:val="BodyText11"/>
              <w:spacing w:after="0" w:line="360" w:lineRule="auto"/>
              <w:rPr>
                <w:sz w:val="24"/>
                <w:szCs w:val="24"/>
              </w:rPr>
            </w:pPr>
            <w:r w:rsidRPr="009E12C8">
              <w:rPr>
                <w:sz w:val="24"/>
                <w:szCs w:val="24"/>
              </w:rPr>
              <w:t>16.4</w:t>
            </w:r>
          </w:p>
        </w:tc>
      </w:tr>
      <w:tr w:rsidR="009E12C8" w:rsidRPr="009E12C8" w14:paraId="64FBD2C6" w14:textId="77777777" w:rsidTr="009F157C">
        <w:trPr>
          <w:jc w:val="center"/>
        </w:trPr>
        <w:tc>
          <w:tcPr>
            <w:tcW w:w="1286" w:type="dxa"/>
          </w:tcPr>
          <w:p w14:paraId="75675A0C" w14:textId="77777777" w:rsidR="00FC17EF" w:rsidRPr="009E12C8" w:rsidRDefault="00FC17EF" w:rsidP="009F157C">
            <w:pPr>
              <w:pStyle w:val="BodyText11"/>
              <w:spacing w:after="0" w:line="360" w:lineRule="auto"/>
              <w:rPr>
                <w:sz w:val="24"/>
                <w:szCs w:val="24"/>
              </w:rPr>
            </w:pPr>
            <w:r w:rsidRPr="009E12C8">
              <w:rPr>
                <w:sz w:val="24"/>
                <w:szCs w:val="24"/>
              </w:rPr>
              <w:t>3</w:t>
            </w:r>
          </w:p>
        </w:tc>
        <w:tc>
          <w:tcPr>
            <w:tcW w:w="749" w:type="dxa"/>
          </w:tcPr>
          <w:p w14:paraId="18F6622B" w14:textId="77777777" w:rsidR="00FC17EF" w:rsidRPr="009E12C8" w:rsidRDefault="00FC17EF" w:rsidP="009F157C">
            <w:pPr>
              <w:pStyle w:val="BodyText11"/>
              <w:spacing w:after="0" w:line="360" w:lineRule="auto"/>
              <w:rPr>
                <w:sz w:val="24"/>
                <w:szCs w:val="24"/>
              </w:rPr>
            </w:pPr>
            <w:r w:rsidRPr="009E12C8">
              <w:rPr>
                <w:sz w:val="24"/>
                <w:szCs w:val="24"/>
              </w:rPr>
              <w:t>10</w:t>
            </w:r>
          </w:p>
        </w:tc>
        <w:tc>
          <w:tcPr>
            <w:tcW w:w="1911" w:type="dxa"/>
          </w:tcPr>
          <w:p w14:paraId="3F20BD00" w14:textId="77777777" w:rsidR="00FC17EF" w:rsidRPr="009E12C8" w:rsidRDefault="00FC17EF" w:rsidP="009F157C">
            <w:pPr>
              <w:pStyle w:val="BodyText11"/>
              <w:spacing w:after="0" w:line="360" w:lineRule="auto"/>
              <w:rPr>
                <w:sz w:val="24"/>
                <w:szCs w:val="24"/>
              </w:rPr>
            </w:pPr>
            <w:r w:rsidRPr="009E12C8">
              <w:rPr>
                <w:sz w:val="24"/>
                <w:szCs w:val="24"/>
              </w:rPr>
              <w:t>6.21</w:t>
            </w:r>
          </w:p>
        </w:tc>
        <w:tc>
          <w:tcPr>
            <w:tcW w:w="1521" w:type="dxa"/>
          </w:tcPr>
          <w:p w14:paraId="65FF775F" w14:textId="77777777" w:rsidR="00FC17EF" w:rsidRPr="009E12C8" w:rsidRDefault="00FC17EF" w:rsidP="009F157C">
            <w:pPr>
              <w:pStyle w:val="BodyText11"/>
              <w:spacing w:after="0" w:line="360" w:lineRule="auto"/>
              <w:rPr>
                <w:sz w:val="24"/>
                <w:szCs w:val="24"/>
              </w:rPr>
            </w:pPr>
            <w:r w:rsidRPr="009E12C8">
              <w:rPr>
                <w:sz w:val="24"/>
                <w:szCs w:val="24"/>
              </w:rPr>
              <w:t>84.6</w:t>
            </w:r>
          </w:p>
        </w:tc>
        <w:tc>
          <w:tcPr>
            <w:tcW w:w="1821" w:type="dxa"/>
          </w:tcPr>
          <w:p w14:paraId="14937791" w14:textId="77777777" w:rsidR="00FC17EF" w:rsidRPr="009E12C8" w:rsidRDefault="00FC17EF" w:rsidP="009F157C">
            <w:pPr>
              <w:pStyle w:val="BodyText11"/>
              <w:spacing w:after="0" w:line="360" w:lineRule="auto"/>
              <w:rPr>
                <w:sz w:val="24"/>
                <w:szCs w:val="24"/>
              </w:rPr>
            </w:pPr>
            <w:r w:rsidRPr="009E12C8">
              <w:rPr>
                <w:sz w:val="24"/>
                <w:szCs w:val="24"/>
              </w:rPr>
              <w:t>8.63</w:t>
            </w:r>
          </w:p>
        </w:tc>
        <w:tc>
          <w:tcPr>
            <w:tcW w:w="1351" w:type="dxa"/>
          </w:tcPr>
          <w:p w14:paraId="785EB968" w14:textId="77777777" w:rsidR="00FC17EF" w:rsidRPr="009E12C8" w:rsidRDefault="00FC17EF" w:rsidP="009F157C">
            <w:pPr>
              <w:pStyle w:val="BodyText11"/>
              <w:spacing w:after="0" w:line="360" w:lineRule="auto"/>
              <w:rPr>
                <w:sz w:val="24"/>
                <w:szCs w:val="24"/>
              </w:rPr>
            </w:pPr>
            <w:r w:rsidRPr="009E12C8">
              <w:rPr>
                <w:sz w:val="24"/>
                <w:szCs w:val="24"/>
              </w:rPr>
              <w:t>85.8</w:t>
            </w:r>
          </w:p>
        </w:tc>
      </w:tr>
      <w:tr w:rsidR="009E12C8" w:rsidRPr="009E12C8" w14:paraId="29AE983D" w14:textId="77777777" w:rsidTr="009F157C">
        <w:trPr>
          <w:jc w:val="center"/>
        </w:trPr>
        <w:tc>
          <w:tcPr>
            <w:tcW w:w="1286" w:type="dxa"/>
            <w:tcBorders>
              <w:bottom w:val="single" w:sz="4" w:space="0" w:color="auto"/>
            </w:tcBorders>
          </w:tcPr>
          <w:p w14:paraId="2BD1E9D8" w14:textId="77777777" w:rsidR="00FC17EF" w:rsidRPr="009E12C8" w:rsidRDefault="00FC17EF" w:rsidP="009F157C">
            <w:pPr>
              <w:pStyle w:val="BodyText11"/>
              <w:spacing w:after="0" w:line="360" w:lineRule="auto"/>
              <w:rPr>
                <w:sz w:val="24"/>
                <w:szCs w:val="24"/>
              </w:rPr>
            </w:pPr>
            <w:r w:rsidRPr="009E12C8">
              <w:rPr>
                <w:sz w:val="24"/>
                <w:szCs w:val="24"/>
              </w:rPr>
              <w:t>4</w:t>
            </w:r>
          </w:p>
        </w:tc>
        <w:tc>
          <w:tcPr>
            <w:tcW w:w="749" w:type="dxa"/>
            <w:tcBorders>
              <w:bottom w:val="single" w:sz="4" w:space="0" w:color="auto"/>
            </w:tcBorders>
          </w:tcPr>
          <w:p w14:paraId="2F04DD3C" w14:textId="77777777" w:rsidR="00FC17EF" w:rsidRPr="009E12C8" w:rsidRDefault="00FC17EF" w:rsidP="009F157C">
            <w:pPr>
              <w:pStyle w:val="BodyText11"/>
              <w:spacing w:after="0" w:line="360" w:lineRule="auto"/>
              <w:rPr>
                <w:sz w:val="24"/>
                <w:szCs w:val="24"/>
              </w:rPr>
            </w:pPr>
            <w:r w:rsidRPr="009E12C8">
              <w:rPr>
                <w:sz w:val="24"/>
                <w:szCs w:val="24"/>
              </w:rPr>
              <w:t>10</w:t>
            </w:r>
          </w:p>
        </w:tc>
        <w:tc>
          <w:tcPr>
            <w:tcW w:w="1911" w:type="dxa"/>
            <w:tcBorders>
              <w:bottom w:val="single" w:sz="4" w:space="0" w:color="auto"/>
            </w:tcBorders>
          </w:tcPr>
          <w:p w14:paraId="68A81180" w14:textId="77777777" w:rsidR="00FC17EF" w:rsidRPr="009E12C8" w:rsidRDefault="00FC17EF" w:rsidP="009F157C">
            <w:pPr>
              <w:pStyle w:val="BodyText11"/>
              <w:spacing w:after="0" w:line="360" w:lineRule="auto"/>
              <w:rPr>
                <w:sz w:val="24"/>
                <w:szCs w:val="24"/>
              </w:rPr>
            </w:pPr>
            <w:r w:rsidRPr="009E12C8">
              <w:rPr>
                <w:sz w:val="24"/>
                <w:szCs w:val="24"/>
              </w:rPr>
              <w:t>4.40</w:t>
            </w:r>
          </w:p>
        </w:tc>
        <w:tc>
          <w:tcPr>
            <w:tcW w:w="1521" w:type="dxa"/>
            <w:tcBorders>
              <w:bottom w:val="single" w:sz="4" w:space="0" w:color="auto"/>
            </w:tcBorders>
          </w:tcPr>
          <w:p w14:paraId="12B43903" w14:textId="77777777" w:rsidR="00FC17EF" w:rsidRPr="009E12C8" w:rsidRDefault="00FC17EF" w:rsidP="009F157C">
            <w:pPr>
              <w:pStyle w:val="BodyText11"/>
              <w:spacing w:after="0" w:line="360" w:lineRule="auto"/>
              <w:rPr>
                <w:sz w:val="24"/>
                <w:szCs w:val="24"/>
              </w:rPr>
            </w:pPr>
            <w:r w:rsidRPr="009E12C8">
              <w:rPr>
                <w:sz w:val="24"/>
                <w:szCs w:val="24"/>
              </w:rPr>
              <w:t>79.5</w:t>
            </w:r>
          </w:p>
        </w:tc>
        <w:tc>
          <w:tcPr>
            <w:tcW w:w="1821" w:type="dxa"/>
            <w:tcBorders>
              <w:bottom w:val="single" w:sz="4" w:space="0" w:color="auto"/>
            </w:tcBorders>
          </w:tcPr>
          <w:p w14:paraId="26FBF5F1" w14:textId="77777777" w:rsidR="00FC17EF" w:rsidRPr="009E12C8" w:rsidRDefault="00FC17EF" w:rsidP="009F157C">
            <w:pPr>
              <w:pStyle w:val="BodyText11"/>
              <w:spacing w:after="0" w:line="360" w:lineRule="auto"/>
              <w:rPr>
                <w:sz w:val="24"/>
                <w:szCs w:val="24"/>
              </w:rPr>
            </w:pPr>
            <w:r w:rsidRPr="009E12C8">
              <w:rPr>
                <w:sz w:val="24"/>
                <w:szCs w:val="24"/>
              </w:rPr>
              <w:t>4.64</w:t>
            </w:r>
          </w:p>
        </w:tc>
        <w:tc>
          <w:tcPr>
            <w:tcW w:w="1351" w:type="dxa"/>
            <w:tcBorders>
              <w:bottom w:val="single" w:sz="4" w:space="0" w:color="auto"/>
            </w:tcBorders>
          </w:tcPr>
          <w:p w14:paraId="2B16EDD4" w14:textId="77777777" w:rsidR="00FC17EF" w:rsidRPr="009E12C8" w:rsidRDefault="00FC17EF" w:rsidP="009F157C">
            <w:pPr>
              <w:pStyle w:val="BodyText11"/>
              <w:spacing w:after="0" w:line="360" w:lineRule="auto"/>
              <w:rPr>
                <w:sz w:val="24"/>
                <w:szCs w:val="24"/>
              </w:rPr>
            </w:pPr>
            <w:r w:rsidRPr="009E12C8">
              <w:rPr>
                <w:sz w:val="24"/>
                <w:szCs w:val="24"/>
              </w:rPr>
              <w:t>82.0</w:t>
            </w:r>
          </w:p>
        </w:tc>
      </w:tr>
    </w:tbl>
    <w:p w14:paraId="2A1314CF" w14:textId="77777777" w:rsidR="00FC17EF" w:rsidRPr="009E12C8" w:rsidRDefault="00FC17EF" w:rsidP="009F157C">
      <w:pPr>
        <w:rPr>
          <w:rFonts w:cs="Times New Roman"/>
          <w:szCs w:val="24"/>
        </w:rPr>
      </w:pPr>
      <w:r w:rsidRPr="009E12C8">
        <w:rPr>
          <w:rFonts w:cs="Times New Roman"/>
          <w:szCs w:val="24"/>
        </w:rPr>
        <w:t>BQL, below quantifiable limit</w:t>
      </w:r>
    </w:p>
    <w:p w14:paraId="391208F7" w14:textId="77777777" w:rsidR="00FC17EF" w:rsidRPr="009E12C8" w:rsidRDefault="00FC17EF" w:rsidP="009F157C">
      <w:pPr>
        <w:spacing w:before="0" w:after="200" w:line="276" w:lineRule="auto"/>
        <w:rPr>
          <w:rFonts w:eastAsiaTheme="majorEastAsia" w:cs="Times New Roman"/>
          <w:b/>
          <w:noProof/>
          <w:szCs w:val="24"/>
        </w:rPr>
      </w:pPr>
      <w:r w:rsidRPr="009E12C8">
        <w:br w:type="page"/>
      </w:r>
    </w:p>
    <w:p w14:paraId="03EEB550" w14:textId="77777777" w:rsidR="00FC17EF" w:rsidRPr="009E12C8" w:rsidRDefault="00FC17EF" w:rsidP="009F157C">
      <w:pPr>
        <w:pStyle w:val="Heading2"/>
        <w:rPr>
          <w:rStyle w:val="Hyperlink"/>
          <w:color w:val="auto"/>
        </w:rPr>
      </w:pPr>
      <w:r w:rsidRPr="009E12C8">
        <w:lastRenderedPageBreak/>
        <w:t>Table S4. Summary of most common (≥2 volunteers in any dose) treatment-emergent adverse events (MAD and PET study, safety set)</w:t>
      </w:r>
    </w:p>
    <w:tbl>
      <w:tblPr>
        <w:tblW w:w="5307" w:type="pct"/>
        <w:jc w:val="center"/>
        <w:tblLook w:val="0000" w:firstRow="0" w:lastRow="0" w:firstColumn="0" w:lastColumn="0" w:noHBand="0" w:noVBand="0"/>
      </w:tblPr>
      <w:tblGrid>
        <w:gridCol w:w="1783"/>
        <w:gridCol w:w="941"/>
        <w:gridCol w:w="1236"/>
        <w:gridCol w:w="1191"/>
        <w:gridCol w:w="1160"/>
        <w:gridCol w:w="1211"/>
        <w:gridCol w:w="1295"/>
        <w:gridCol w:w="932"/>
      </w:tblGrid>
      <w:tr w:rsidR="009E12C8" w:rsidRPr="009E12C8" w14:paraId="57103E57" w14:textId="77777777" w:rsidTr="009F157C">
        <w:trPr>
          <w:trHeight w:val="505"/>
          <w:jc w:val="center"/>
        </w:trPr>
        <w:tc>
          <w:tcPr>
            <w:tcW w:w="1783" w:type="dxa"/>
            <w:tcBorders>
              <w:top w:val="single" w:sz="4" w:space="0" w:color="auto"/>
              <w:bottom w:val="single" w:sz="4" w:space="0" w:color="auto"/>
            </w:tcBorders>
          </w:tcPr>
          <w:p w14:paraId="77AE7FC6" w14:textId="77777777" w:rsidR="00FC17EF" w:rsidRPr="009E12C8" w:rsidRDefault="00FC17EF" w:rsidP="009F157C">
            <w:pPr>
              <w:pStyle w:val="Default"/>
              <w:spacing w:before="120"/>
              <w:rPr>
                <w:b/>
                <w:bCs/>
                <w:color w:val="auto"/>
                <w:sz w:val="22"/>
                <w:szCs w:val="22"/>
              </w:rPr>
            </w:pPr>
          </w:p>
        </w:tc>
        <w:tc>
          <w:tcPr>
            <w:tcW w:w="941" w:type="dxa"/>
            <w:tcBorders>
              <w:top w:val="single" w:sz="4" w:space="0" w:color="auto"/>
              <w:bottom w:val="single" w:sz="4" w:space="0" w:color="auto"/>
              <w:right w:val="single" w:sz="4" w:space="0" w:color="E7E6E6" w:themeColor="background2"/>
            </w:tcBorders>
          </w:tcPr>
          <w:p w14:paraId="7C68B43B" w14:textId="77777777" w:rsidR="00FC17EF" w:rsidRPr="009E12C8" w:rsidRDefault="00FC17EF" w:rsidP="009F157C">
            <w:pPr>
              <w:pStyle w:val="Default"/>
              <w:spacing w:before="120"/>
              <w:rPr>
                <w:b/>
                <w:color w:val="auto"/>
                <w:sz w:val="22"/>
                <w:szCs w:val="22"/>
              </w:rPr>
            </w:pPr>
          </w:p>
        </w:tc>
        <w:tc>
          <w:tcPr>
            <w:tcW w:w="6093" w:type="dxa"/>
            <w:gridSpan w:val="5"/>
            <w:tcBorders>
              <w:top w:val="single" w:sz="4" w:space="0" w:color="auto"/>
              <w:left w:val="single" w:sz="4" w:space="0" w:color="E7E6E6" w:themeColor="background2"/>
              <w:bottom w:val="single" w:sz="4" w:space="0" w:color="auto"/>
              <w:right w:val="single" w:sz="4" w:space="0" w:color="E7E6E6" w:themeColor="background2"/>
            </w:tcBorders>
          </w:tcPr>
          <w:p w14:paraId="57D72B73" w14:textId="77777777" w:rsidR="00FC17EF" w:rsidRPr="009E12C8" w:rsidRDefault="00FC17EF" w:rsidP="009F157C">
            <w:pPr>
              <w:pStyle w:val="Default"/>
              <w:spacing w:before="120"/>
              <w:jc w:val="center"/>
              <w:rPr>
                <w:rFonts w:eastAsia="Times New Roman"/>
                <w:b/>
                <w:color w:val="auto"/>
                <w:sz w:val="22"/>
                <w:szCs w:val="22"/>
                <w:lang w:eastAsia="en-US"/>
              </w:rPr>
            </w:pPr>
            <w:r w:rsidRPr="009E12C8">
              <w:rPr>
                <w:rFonts w:eastAsia="Times New Roman"/>
                <w:b/>
                <w:color w:val="auto"/>
                <w:sz w:val="22"/>
                <w:szCs w:val="22"/>
                <w:lang w:eastAsia="en-US"/>
              </w:rPr>
              <w:t>MAD Study</w:t>
            </w:r>
          </w:p>
        </w:tc>
        <w:tc>
          <w:tcPr>
            <w:tcW w:w="932" w:type="dxa"/>
            <w:tcBorders>
              <w:top w:val="single" w:sz="4" w:space="0" w:color="auto"/>
              <w:left w:val="single" w:sz="4" w:space="0" w:color="E7E6E6" w:themeColor="background2"/>
              <w:bottom w:val="single" w:sz="4" w:space="0" w:color="auto"/>
            </w:tcBorders>
          </w:tcPr>
          <w:p w14:paraId="74AAC9E5" w14:textId="77777777" w:rsidR="00FC17EF" w:rsidRPr="009E12C8" w:rsidRDefault="00FC17EF" w:rsidP="009F157C">
            <w:pPr>
              <w:pStyle w:val="Default"/>
              <w:spacing w:before="120"/>
              <w:rPr>
                <w:rFonts w:eastAsia="Times New Roman"/>
                <w:b/>
                <w:color w:val="auto"/>
                <w:sz w:val="22"/>
                <w:szCs w:val="22"/>
                <w:lang w:eastAsia="en-US"/>
              </w:rPr>
            </w:pPr>
            <w:r w:rsidRPr="009E12C8">
              <w:rPr>
                <w:rFonts w:eastAsia="Times New Roman"/>
                <w:b/>
                <w:color w:val="auto"/>
                <w:sz w:val="22"/>
                <w:szCs w:val="22"/>
                <w:lang w:eastAsia="en-US"/>
              </w:rPr>
              <w:t>PET Study</w:t>
            </w:r>
          </w:p>
        </w:tc>
      </w:tr>
      <w:tr w:rsidR="009E12C8" w:rsidRPr="009E12C8" w14:paraId="3FF4FA8E" w14:textId="77777777" w:rsidTr="009F157C">
        <w:trPr>
          <w:trHeight w:val="571"/>
          <w:jc w:val="center"/>
        </w:trPr>
        <w:tc>
          <w:tcPr>
            <w:tcW w:w="1783" w:type="dxa"/>
            <w:tcBorders>
              <w:top w:val="single" w:sz="4" w:space="0" w:color="auto"/>
              <w:bottom w:val="single" w:sz="4" w:space="0" w:color="auto"/>
            </w:tcBorders>
          </w:tcPr>
          <w:p w14:paraId="25347C07" w14:textId="77777777" w:rsidR="00FC17EF" w:rsidRPr="009E12C8" w:rsidRDefault="00FC17EF" w:rsidP="009F157C">
            <w:pPr>
              <w:pStyle w:val="Default"/>
              <w:spacing w:before="120"/>
              <w:rPr>
                <w:b/>
                <w:bCs/>
                <w:color w:val="auto"/>
                <w:sz w:val="22"/>
                <w:szCs w:val="22"/>
              </w:rPr>
            </w:pPr>
          </w:p>
        </w:tc>
        <w:tc>
          <w:tcPr>
            <w:tcW w:w="941" w:type="dxa"/>
            <w:tcBorders>
              <w:top w:val="single" w:sz="4" w:space="0" w:color="auto"/>
              <w:bottom w:val="single" w:sz="4" w:space="0" w:color="auto"/>
              <w:right w:val="single" w:sz="4" w:space="0" w:color="E7E6E6" w:themeColor="background2"/>
            </w:tcBorders>
          </w:tcPr>
          <w:p w14:paraId="6986EC03" w14:textId="77777777" w:rsidR="00FC17EF" w:rsidRPr="009E12C8" w:rsidRDefault="00FC17EF" w:rsidP="009F157C">
            <w:pPr>
              <w:pStyle w:val="Default"/>
              <w:spacing w:before="120"/>
              <w:rPr>
                <w:b/>
                <w:color w:val="auto"/>
                <w:sz w:val="22"/>
                <w:szCs w:val="22"/>
              </w:rPr>
            </w:pPr>
          </w:p>
        </w:tc>
        <w:tc>
          <w:tcPr>
            <w:tcW w:w="3587" w:type="dxa"/>
            <w:gridSpan w:val="3"/>
            <w:tcBorders>
              <w:top w:val="single" w:sz="4" w:space="0" w:color="auto"/>
              <w:left w:val="single" w:sz="4" w:space="0" w:color="E7E6E6" w:themeColor="background2"/>
              <w:bottom w:val="single" w:sz="4" w:space="0" w:color="auto"/>
              <w:right w:val="single" w:sz="4" w:space="0" w:color="E7E6E6" w:themeColor="background2"/>
            </w:tcBorders>
          </w:tcPr>
          <w:p w14:paraId="78191643" w14:textId="77777777" w:rsidR="00FC17EF" w:rsidRPr="009E12C8" w:rsidRDefault="00FC17EF" w:rsidP="009F157C">
            <w:pPr>
              <w:pStyle w:val="Default"/>
              <w:spacing w:before="120"/>
              <w:jc w:val="center"/>
              <w:rPr>
                <w:b/>
                <w:color w:val="auto"/>
                <w:sz w:val="22"/>
                <w:szCs w:val="22"/>
              </w:rPr>
            </w:pPr>
            <w:r w:rsidRPr="009E12C8">
              <w:rPr>
                <w:rFonts w:eastAsia="Times New Roman"/>
                <w:b/>
                <w:color w:val="auto"/>
                <w:sz w:val="22"/>
                <w:szCs w:val="22"/>
                <w:lang w:eastAsia="en-US"/>
              </w:rPr>
              <w:t>Young men</w:t>
            </w:r>
          </w:p>
        </w:tc>
        <w:tc>
          <w:tcPr>
            <w:tcW w:w="1211" w:type="dxa"/>
            <w:tcBorders>
              <w:top w:val="single" w:sz="4" w:space="0" w:color="auto"/>
              <w:left w:val="single" w:sz="4" w:space="0" w:color="E7E6E6" w:themeColor="background2"/>
              <w:bottom w:val="single" w:sz="4" w:space="0" w:color="auto"/>
              <w:right w:val="single" w:sz="4" w:space="0" w:color="E7E6E6" w:themeColor="background2"/>
            </w:tcBorders>
          </w:tcPr>
          <w:p w14:paraId="75780D1C" w14:textId="77777777" w:rsidR="00FC17EF" w:rsidRPr="009E12C8" w:rsidRDefault="00FC17EF" w:rsidP="009F157C">
            <w:pPr>
              <w:pStyle w:val="Default"/>
              <w:spacing w:before="120"/>
              <w:jc w:val="both"/>
              <w:rPr>
                <w:b/>
                <w:color w:val="auto"/>
                <w:sz w:val="22"/>
                <w:szCs w:val="22"/>
              </w:rPr>
            </w:pPr>
            <w:r w:rsidRPr="009E12C8">
              <w:rPr>
                <w:rFonts w:eastAsia="Times New Roman"/>
                <w:b/>
                <w:color w:val="auto"/>
                <w:sz w:val="22"/>
                <w:szCs w:val="22"/>
                <w:lang w:eastAsia="en-US"/>
              </w:rPr>
              <w:t>Young women</w:t>
            </w:r>
          </w:p>
        </w:tc>
        <w:tc>
          <w:tcPr>
            <w:tcW w:w="1295" w:type="dxa"/>
            <w:tcBorders>
              <w:top w:val="single" w:sz="4" w:space="0" w:color="auto"/>
              <w:left w:val="single" w:sz="4" w:space="0" w:color="E7E6E6" w:themeColor="background2"/>
              <w:bottom w:val="single" w:sz="4" w:space="0" w:color="auto"/>
              <w:right w:val="single" w:sz="4" w:space="0" w:color="E7E6E6" w:themeColor="background2"/>
            </w:tcBorders>
          </w:tcPr>
          <w:p w14:paraId="199BE648" w14:textId="77777777" w:rsidR="00FC17EF" w:rsidRPr="009E12C8" w:rsidRDefault="00FC17EF" w:rsidP="009F157C">
            <w:pPr>
              <w:pStyle w:val="Default"/>
              <w:spacing w:before="120"/>
              <w:rPr>
                <w:b/>
                <w:color w:val="auto"/>
                <w:sz w:val="22"/>
                <w:szCs w:val="22"/>
              </w:rPr>
            </w:pPr>
            <w:r w:rsidRPr="009E12C8">
              <w:rPr>
                <w:rFonts w:eastAsia="Times New Roman"/>
                <w:b/>
                <w:color w:val="auto"/>
                <w:sz w:val="22"/>
                <w:szCs w:val="22"/>
                <w:lang w:eastAsia="en-US"/>
              </w:rPr>
              <w:t>Elderly men and women</w:t>
            </w:r>
          </w:p>
        </w:tc>
        <w:tc>
          <w:tcPr>
            <w:tcW w:w="932" w:type="dxa"/>
            <w:tcBorders>
              <w:top w:val="single" w:sz="4" w:space="0" w:color="auto"/>
              <w:left w:val="single" w:sz="4" w:space="0" w:color="E7E6E6" w:themeColor="background2"/>
              <w:bottom w:val="single" w:sz="4" w:space="0" w:color="auto"/>
            </w:tcBorders>
          </w:tcPr>
          <w:p w14:paraId="0CDE1C6B" w14:textId="77777777" w:rsidR="00FC17EF" w:rsidRPr="009E12C8" w:rsidRDefault="00FC17EF" w:rsidP="009F157C">
            <w:pPr>
              <w:pStyle w:val="Default"/>
              <w:spacing w:before="120"/>
              <w:rPr>
                <w:rFonts w:eastAsia="Times New Roman"/>
                <w:b/>
                <w:color w:val="auto"/>
                <w:sz w:val="22"/>
                <w:szCs w:val="22"/>
                <w:lang w:eastAsia="en-US"/>
              </w:rPr>
            </w:pPr>
          </w:p>
        </w:tc>
      </w:tr>
      <w:tr w:rsidR="009E12C8" w:rsidRPr="009E12C8" w14:paraId="52B40024" w14:textId="77777777" w:rsidTr="009F157C">
        <w:trPr>
          <w:trHeight w:val="874"/>
          <w:jc w:val="center"/>
        </w:trPr>
        <w:tc>
          <w:tcPr>
            <w:tcW w:w="1783" w:type="dxa"/>
            <w:tcBorders>
              <w:top w:val="single" w:sz="4" w:space="0" w:color="auto"/>
              <w:bottom w:val="single" w:sz="4" w:space="0" w:color="auto"/>
            </w:tcBorders>
          </w:tcPr>
          <w:p w14:paraId="343CF094" w14:textId="77777777" w:rsidR="00FC17EF" w:rsidRPr="009E12C8" w:rsidRDefault="00FC17EF" w:rsidP="009F157C">
            <w:pPr>
              <w:pStyle w:val="Default"/>
              <w:spacing w:before="120"/>
              <w:rPr>
                <w:color w:val="auto"/>
                <w:sz w:val="22"/>
                <w:szCs w:val="22"/>
              </w:rPr>
            </w:pPr>
            <w:r w:rsidRPr="009E12C8">
              <w:rPr>
                <w:bCs/>
                <w:color w:val="auto"/>
                <w:sz w:val="22"/>
                <w:szCs w:val="22"/>
              </w:rPr>
              <w:t xml:space="preserve">Preferred term </w:t>
            </w:r>
          </w:p>
        </w:tc>
        <w:tc>
          <w:tcPr>
            <w:tcW w:w="941" w:type="dxa"/>
            <w:tcBorders>
              <w:top w:val="single" w:sz="4" w:space="0" w:color="auto"/>
              <w:bottom w:val="single" w:sz="4" w:space="0" w:color="auto"/>
              <w:right w:val="single" w:sz="4" w:space="0" w:color="E7E6E6" w:themeColor="background2"/>
            </w:tcBorders>
          </w:tcPr>
          <w:p w14:paraId="20E63330" w14:textId="77777777" w:rsidR="00FC17EF" w:rsidRPr="009E12C8" w:rsidRDefault="00FC17EF" w:rsidP="009F157C">
            <w:pPr>
              <w:pStyle w:val="Default"/>
              <w:spacing w:before="120"/>
              <w:rPr>
                <w:color w:val="auto"/>
                <w:sz w:val="22"/>
                <w:szCs w:val="22"/>
              </w:rPr>
            </w:pPr>
            <w:r w:rsidRPr="009E12C8">
              <w:rPr>
                <w:color w:val="auto"/>
                <w:sz w:val="22"/>
                <w:szCs w:val="22"/>
              </w:rPr>
              <w:t>Placebo</w:t>
            </w:r>
          </w:p>
          <w:p w14:paraId="3A466E9D" w14:textId="77777777" w:rsidR="00FC17EF" w:rsidRPr="009E12C8" w:rsidRDefault="00FC17EF" w:rsidP="009F157C">
            <w:pPr>
              <w:pStyle w:val="Default"/>
              <w:spacing w:before="120"/>
              <w:rPr>
                <w:color w:val="auto"/>
                <w:sz w:val="22"/>
                <w:szCs w:val="22"/>
              </w:rPr>
            </w:pPr>
            <w:r w:rsidRPr="009E12C8">
              <w:rPr>
                <w:color w:val="auto"/>
                <w:sz w:val="22"/>
                <w:szCs w:val="22"/>
              </w:rPr>
              <w:t>(n=10)</w:t>
            </w:r>
          </w:p>
        </w:tc>
        <w:tc>
          <w:tcPr>
            <w:tcW w:w="1236" w:type="dxa"/>
            <w:tcBorders>
              <w:top w:val="single" w:sz="4" w:space="0" w:color="auto"/>
              <w:left w:val="single" w:sz="4" w:space="0" w:color="E7E6E6" w:themeColor="background2"/>
              <w:bottom w:val="single" w:sz="4" w:space="0" w:color="auto"/>
            </w:tcBorders>
          </w:tcPr>
          <w:p w14:paraId="3B0E3D06"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 w:val="22"/>
                <w:lang w:eastAsia="en-US"/>
              </w:rPr>
            </w:pPr>
            <w:r w:rsidRPr="009E12C8">
              <w:rPr>
                <w:rFonts w:eastAsia="Times New Roman" w:cs="Times New Roman"/>
                <w:sz w:val="22"/>
                <w:lang w:eastAsia="en-US"/>
              </w:rPr>
              <w:t>10 mg</w:t>
            </w:r>
          </w:p>
          <w:p w14:paraId="2C47EDAA"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 w:val="22"/>
                <w:lang w:eastAsia="en-US"/>
              </w:rPr>
            </w:pPr>
            <w:r w:rsidRPr="009E12C8">
              <w:rPr>
                <w:rFonts w:eastAsia="Times New Roman" w:cs="Times New Roman"/>
                <w:sz w:val="22"/>
                <w:lang w:eastAsia="en-US"/>
              </w:rPr>
              <w:t>(Cohort E)</w:t>
            </w:r>
          </w:p>
          <w:p w14:paraId="5E756E78"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 w:val="22"/>
                <w:lang w:eastAsia="en-US"/>
              </w:rPr>
            </w:pPr>
            <w:r w:rsidRPr="009E12C8">
              <w:rPr>
                <w:rFonts w:eastAsia="Times New Roman" w:cs="Times New Roman"/>
                <w:sz w:val="22"/>
                <w:lang w:eastAsia="en-US"/>
              </w:rPr>
              <w:t>(n=6)</w:t>
            </w:r>
          </w:p>
        </w:tc>
        <w:tc>
          <w:tcPr>
            <w:tcW w:w="1191" w:type="dxa"/>
            <w:tcBorders>
              <w:top w:val="single" w:sz="4" w:space="0" w:color="auto"/>
              <w:bottom w:val="single" w:sz="4" w:space="0" w:color="auto"/>
            </w:tcBorders>
          </w:tcPr>
          <w:p w14:paraId="5A1BD805"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 w:val="22"/>
                <w:lang w:eastAsia="en-US"/>
              </w:rPr>
            </w:pPr>
            <w:r w:rsidRPr="009E12C8">
              <w:rPr>
                <w:rFonts w:eastAsia="Times New Roman" w:cs="Times New Roman"/>
                <w:sz w:val="22"/>
                <w:lang w:eastAsia="en-US"/>
              </w:rPr>
              <w:t>25 mg</w:t>
            </w:r>
          </w:p>
          <w:p w14:paraId="793B1D44" w14:textId="77777777" w:rsidR="00FC17EF" w:rsidRPr="009E12C8" w:rsidRDefault="00FC17EF" w:rsidP="009F157C">
            <w:pPr>
              <w:pStyle w:val="Default"/>
              <w:spacing w:before="120"/>
              <w:rPr>
                <w:rFonts w:eastAsia="Times New Roman"/>
                <w:color w:val="auto"/>
                <w:sz w:val="22"/>
                <w:szCs w:val="22"/>
                <w:lang w:eastAsia="en-US"/>
              </w:rPr>
            </w:pPr>
            <w:r w:rsidRPr="009E12C8">
              <w:rPr>
                <w:rFonts w:eastAsia="Times New Roman"/>
                <w:color w:val="auto"/>
                <w:sz w:val="22"/>
                <w:szCs w:val="22"/>
                <w:lang w:eastAsia="en-US"/>
              </w:rPr>
              <w:t>(Cohort A)</w:t>
            </w:r>
          </w:p>
          <w:p w14:paraId="6BDEB7A8" w14:textId="77777777" w:rsidR="00FC17EF" w:rsidRPr="009E12C8" w:rsidRDefault="00FC17EF" w:rsidP="009F157C">
            <w:pPr>
              <w:pStyle w:val="Default"/>
              <w:spacing w:before="120"/>
              <w:rPr>
                <w:color w:val="auto"/>
                <w:sz w:val="22"/>
                <w:szCs w:val="22"/>
              </w:rPr>
            </w:pPr>
            <w:r w:rsidRPr="009E12C8">
              <w:rPr>
                <w:rFonts w:eastAsia="Times New Roman"/>
                <w:color w:val="auto"/>
                <w:sz w:val="22"/>
                <w:szCs w:val="22"/>
                <w:lang w:eastAsia="en-US"/>
              </w:rPr>
              <w:t>(n=6)</w:t>
            </w:r>
          </w:p>
        </w:tc>
        <w:tc>
          <w:tcPr>
            <w:tcW w:w="1160" w:type="dxa"/>
            <w:tcBorders>
              <w:top w:val="single" w:sz="4" w:space="0" w:color="auto"/>
              <w:bottom w:val="single" w:sz="4" w:space="0" w:color="auto"/>
              <w:right w:val="single" w:sz="4" w:space="0" w:color="E7E6E6" w:themeColor="background2"/>
            </w:tcBorders>
          </w:tcPr>
          <w:p w14:paraId="5A388EE8"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 w:val="22"/>
                <w:lang w:eastAsia="en-US"/>
              </w:rPr>
            </w:pPr>
            <w:r w:rsidRPr="009E12C8">
              <w:rPr>
                <w:rFonts w:eastAsia="Times New Roman" w:cs="Times New Roman"/>
                <w:sz w:val="22"/>
                <w:lang w:eastAsia="en-US"/>
              </w:rPr>
              <w:t>75 mg</w:t>
            </w:r>
          </w:p>
          <w:p w14:paraId="46CF4341" w14:textId="77777777" w:rsidR="00FC17EF" w:rsidRPr="009E12C8" w:rsidRDefault="00FC17EF" w:rsidP="009F157C">
            <w:pPr>
              <w:pStyle w:val="Default"/>
              <w:spacing w:before="120"/>
              <w:rPr>
                <w:rFonts w:eastAsia="Times New Roman"/>
                <w:color w:val="auto"/>
                <w:sz w:val="22"/>
                <w:szCs w:val="22"/>
                <w:lang w:eastAsia="en-US"/>
              </w:rPr>
            </w:pPr>
            <w:r w:rsidRPr="009E12C8">
              <w:rPr>
                <w:rFonts w:eastAsia="Times New Roman"/>
                <w:color w:val="auto"/>
                <w:sz w:val="22"/>
                <w:szCs w:val="22"/>
                <w:lang w:eastAsia="en-US"/>
              </w:rPr>
              <w:t>(Cohort B)</w:t>
            </w:r>
          </w:p>
          <w:p w14:paraId="185400D0" w14:textId="77777777" w:rsidR="00FC17EF" w:rsidRPr="009E12C8" w:rsidRDefault="00FC17EF" w:rsidP="009F157C">
            <w:pPr>
              <w:pStyle w:val="Default"/>
              <w:spacing w:before="120"/>
              <w:rPr>
                <w:color w:val="auto"/>
                <w:sz w:val="22"/>
                <w:szCs w:val="22"/>
              </w:rPr>
            </w:pPr>
            <w:r w:rsidRPr="009E12C8">
              <w:rPr>
                <w:rFonts w:eastAsia="Times New Roman"/>
                <w:color w:val="auto"/>
                <w:sz w:val="22"/>
                <w:szCs w:val="22"/>
                <w:lang w:eastAsia="en-US"/>
              </w:rPr>
              <w:t>(n=6)</w:t>
            </w:r>
          </w:p>
        </w:tc>
        <w:tc>
          <w:tcPr>
            <w:tcW w:w="1211" w:type="dxa"/>
            <w:tcBorders>
              <w:top w:val="single" w:sz="4" w:space="0" w:color="auto"/>
              <w:left w:val="single" w:sz="4" w:space="0" w:color="E7E6E6" w:themeColor="background2"/>
              <w:bottom w:val="single" w:sz="4" w:space="0" w:color="auto"/>
              <w:right w:val="single" w:sz="4" w:space="0" w:color="E7E6E6" w:themeColor="background2"/>
            </w:tcBorders>
          </w:tcPr>
          <w:p w14:paraId="69AFEA20"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 w:val="22"/>
                <w:lang w:eastAsia="en-US"/>
              </w:rPr>
            </w:pPr>
            <w:r w:rsidRPr="009E12C8">
              <w:rPr>
                <w:rFonts w:eastAsia="Times New Roman" w:cs="Times New Roman"/>
                <w:sz w:val="22"/>
                <w:lang w:eastAsia="en-US"/>
              </w:rPr>
              <w:t>100 mg</w:t>
            </w:r>
          </w:p>
          <w:p w14:paraId="1CB5C12B" w14:textId="77777777" w:rsidR="00FC17EF" w:rsidRPr="009E12C8" w:rsidRDefault="00FC17EF" w:rsidP="009F157C">
            <w:pPr>
              <w:pStyle w:val="Default"/>
              <w:spacing w:before="120"/>
              <w:rPr>
                <w:rFonts w:eastAsia="Times New Roman"/>
                <w:color w:val="auto"/>
                <w:sz w:val="22"/>
                <w:szCs w:val="22"/>
                <w:lang w:eastAsia="en-US"/>
              </w:rPr>
            </w:pPr>
            <w:r w:rsidRPr="009E12C8">
              <w:rPr>
                <w:rFonts w:eastAsia="Times New Roman"/>
                <w:color w:val="auto"/>
                <w:sz w:val="22"/>
                <w:szCs w:val="22"/>
                <w:lang w:eastAsia="en-US"/>
              </w:rPr>
              <w:t>(Cohort C)</w:t>
            </w:r>
          </w:p>
          <w:p w14:paraId="03C0458C" w14:textId="77777777" w:rsidR="00FC17EF" w:rsidRPr="009E12C8" w:rsidRDefault="00FC17EF" w:rsidP="009F157C">
            <w:pPr>
              <w:pStyle w:val="Default"/>
              <w:spacing w:before="120"/>
              <w:rPr>
                <w:color w:val="auto"/>
                <w:sz w:val="22"/>
                <w:szCs w:val="22"/>
              </w:rPr>
            </w:pPr>
            <w:r w:rsidRPr="009E12C8">
              <w:rPr>
                <w:rFonts w:eastAsia="Times New Roman"/>
                <w:color w:val="auto"/>
                <w:sz w:val="22"/>
                <w:szCs w:val="22"/>
                <w:lang w:eastAsia="en-US"/>
              </w:rPr>
              <w:t>(n=6)</w:t>
            </w:r>
          </w:p>
        </w:tc>
        <w:tc>
          <w:tcPr>
            <w:tcW w:w="1295" w:type="dxa"/>
            <w:tcBorders>
              <w:top w:val="single" w:sz="4" w:space="0" w:color="auto"/>
              <w:left w:val="single" w:sz="4" w:space="0" w:color="E7E6E6" w:themeColor="background2"/>
              <w:bottom w:val="single" w:sz="4" w:space="0" w:color="auto"/>
              <w:right w:val="single" w:sz="4" w:space="0" w:color="E7E6E6" w:themeColor="background2"/>
            </w:tcBorders>
          </w:tcPr>
          <w:p w14:paraId="0238C4CF"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Cs w:val="24"/>
                <w:lang w:eastAsia="en-US"/>
              </w:rPr>
            </w:pPr>
            <w:r w:rsidRPr="009E12C8">
              <w:rPr>
                <w:rFonts w:eastAsia="Times New Roman" w:cs="Times New Roman"/>
                <w:sz w:val="22"/>
                <w:szCs w:val="24"/>
                <w:lang w:eastAsia="en-US"/>
              </w:rPr>
              <w:t>100 mg</w:t>
            </w:r>
            <w:r w:rsidRPr="009E12C8">
              <w:rPr>
                <w:rFonts w:eastAsia="Times New Roman" w:cs="Times New Roman"/>
                <w:szCs w:val="24"/>
                <w:lang w:eastAsia="en-US"/>
              </w:rPr>
              <w:t xml:space="preserve"> </w:t>
            </w:r>
          </w:p>
          <w:p w14:paraId="56E2EE79" w14:textId="77777777" w:rsidR="00FC17EF" w:rsidRPr="009E12C8" w:rsidRDefault="00FC17EF" w:rsidP="009F157C">
            <w:pPr>
              <w:pStyle w:val="Default"/>
              <w:spacing w:before="120"/>
              <w:rPr>
                <w:rFonts w:eastAsia="Times New Roman"/>
                <w:color w:val="auto"/>
                <w:sz w:val="22"/>
                <w:szCs w:val="22"/>
                <w:lang w:eastAsia="en-US"/>
              </w:rPr>
            </w:pPr>
            <w:r w:rsidRPr="009E12C8">
              <w:rPr>
                <w:rFonts w:eastAsia="Times New Roman"/>
                <w:color w:val="auto"/>
                <w:sz w:val="22"/>
                <w:szCs w:val="22"/>
                <w:lang w:eastAsia="en-US"/>
              </w:rPr>
              <w:t>(Cohort D)</w:t>
            </w:r>
          </w:p>
          <w:p w14:paraId="5AE3776B" w14:textId="77777777" w:rsidR="00FC17EF" w:rsidRPr="009E12C8" w:rsidRDefault="00FC17EF" w:rsidP="009F157C">
            <w:pPr>
              <w:pStyle w:val="Default"/>
              <w:spacing w:before="120"/>
              <w:rPr>
                <w:color w:val="auto"/>
                <w:sz w:val="22"/>
                <w:szCs w:val="22"/>
              </w:rPr>
            </w:pPr>
            <w:r w:rsidRPr="009E12C8">
              <w:rPr>
                <w:rFonts w:eastAsia="Times New Roman"/>
                <w:color w:val="auto"/>
                <w:sz w:val="22"/>
                <w:szCs w:val="22"/>
                <w:lang w:eastAsia="en-US"/>
              </w:rPr>
              <w:t>(n=6)</w:t>
            </w:r>
          </w:p>
        </w:tc>
        <w:tc>
          <w:tcPr>
            <w:tcW w:w="932" w:type="dxa"/>
            <w:tcBorders>
              <w:top w:val="single" w:sz="4" w:space="0" w:color="auto"/>
              <w:left w:val="single" w:sz="4" w:space="0" w:color="E7E6E6" w:themeColor="background2"/>
              <w:bottom w:val="single" w:sz="4" w:space="0" w:color="auto"/>
            </w:tcBorders>
          </w:tcPr>
          <w:p w14:paraId="63691E15" w14:textId="77777777" w:rsidR="00FC17EF" w:rsidRPr="009E12C8" w:rsidRDefault="00FC17EF" w:rsidP="009F157C">
            <w:pPr>
              <w:keepNext/>
              <w:tabs>
                <w:tab w:val="left" w:pos="288"/>
                <w:tab w:val="left" w:pos="576"/>
                <w:tab w:val="left" w:pos="864"/>
              </w:tabs>
              <w:spacing w:after="0" w:line="240" w:lineRule="auto"/>
              <w:rPr>
                <w:rFonts w:eastAsia="Times New Roman" w:cs="Times New Roman"/>
                <w:sz w:val="22"/>
                <w:lang w:eastAsia="en-US"/>
              </w:rPr>
            </w:pPr>
            <w:r w:rsidRPr="009E12C8">
              <w:rPr>
                <w:rFonts w:eastAsia="Times New Roman" w:cs="Times New Roman"/>
                <w:sz w:val="22"/>
                <w:lang w:eastAsia="en-US"/>
              </w:rPr>
              <w:t>(n=15)</w:t>
            </w:r>
          </w:p>
        </w:tc>
      </w:tr>
      <w:tr w:rsidR="009E12C8" w:rsidRPr="009E12C8" w14:paraId="6C04F997" w14:textId="77777777" w:rsidTr="009F157C">
        <w:trPr>
          <w:trHeight w:val="182"/>
          <w:jc w:val="center"/>
        </w:trPr>
        <w:tc>
          <w:tcPr>
            <w:tcW w:w="1783" w:type="dxa"/>
            <w:tcBorders>
              <w:top w:val="single" w:sz="4" w:space="0" w:color="auto"/>
            </w:tcBorders>
          </w:tcPr>
          <w:p w14:paraId="5E765039" w14:textId="77777777" w:rsidR="00FC17EF" w:rsidRPr="009E12C8" w:rsidRDefault="00FC17EF" w:rsidP="009F157C">
            <w:pPr>
              <w:pStyle w:val="Default"/>
              <w:spacing w:before="120"/>
              <w:rPr>
                <w:color w:val="auto"/>
                <w:sz w:val="22"/>
                <w:szCs w:val="22"/>
              </w:rPr>
            </w:pPr>
            <w:r w:rsidRPr="009E12C8">
              <w:rPr>
                <w:color w:val="auto"/>
                <w:sz w:val="22"/>
                <w:szCs w:val="22"/>
              </w:rPr>
              <w:t>Volunteers with ≥1 adverse event</w:t>
            </w:r>
          </w:p>
        </w:tc>
        <w:tc>
          <w:tcPr>
            <w:tcW w:w="941" w:type="dxa"/>
            <w:tcBorders>
              <w:top w:val="single" w:sz="4" w:space="0" w:color="auto"/>
              <w:right w:val="single" w:sz="4" w:space="0" w:color="E7E6E6" w:themeColor="background2"/>
            </w:tcBorders>
          </w:tcPr>
          <w:p w14:paraId="7BF0912A" w14:textId="77777777" w:rsidR="00FC17EF" w:rsidRPr="009E12C8" w:rsidRDefault="00FC17EF" w:rsidP="009F157C">
            <w:pPr>
              <w:pStyle w:val="Default"/>
              <w:spacing w:before="120"/>
              <w:rPr>
                <w:color w:val="auto"/>
                <w:sz w:val="22"/>
                <w:szCs w:val="22"/>
              </w:rPr>
            </w:pPr>
            <w:r w:rsidRPr="009E12C8">
              <w:rPr>
                <w:color w:val="auto"/>
                <w:sz w:val="22"/>
                <w:szCs w:val="22"/>
              </w:rPr>
              <w:t>9 (90.0)</w:t>
            </w:r>
          </w:p>
        </w:tc>
        <w:tc>
          <w:tcPr>
            <w:tcW w:w="1236" w:type="dxa"/>
            <w:tcBorders>
              <w:top w:val="single" w:sz="4" w:space="0" w:color="auto"/>
              <w:left w:val="single" w:sz="4" w:space="0" w:color="E7E6E6" w:themeColor="background2"/>
            </w:tcBorders>
          </w:tcPr>
          <w:p w14:paraId="56FDFF21" w14:textId="77777777" w:rsidR="00FC17EF" w:rsidRPr="009E12C8" w:rsidRDefault="00FC17EF" w:rsidP="009F157C">
            <w:pPr>
              <w:pStyle w:val="Default"/>
              <w:spacing w:before="120"/>
              <w:rPr>
                <w:color w:val="auto"/>
                <w:sz w:val="22"/>
                <w:szCs w:val="22"/>
              </w:rPr>
            </w:pPr>
            <w:r w:rsidRPr="009E12C8">
              <w:rPr>
                <w:color w:val="auto"/>
                <w:sz w:val="22"/>
                <w:szCs w:val="22"/>
              </w:rPr>
              <w:t>6 (100.0)</w:t>
            </w:r>
          </w:p>
        </w:tc>
        <w:tc>
          <w:tcPr>
            <w:tcW w:w="1191" w:type="dxa"/>
            <w:tcBorders>
              <w:top w:val="single" w:sz="4" w:space="0" w:color="auto"/>
            </w:tcBorders>
          </w:tcPr>
          <w:p w14:paraId="69316D07" w14:textId="77777777" w:rsidR="00FC17EF" w:rsidRPr="009E12C8" w:rsidRDefault="00FC17EF" w:rsidP="009F157C">
            <w:pPr>
              <w:pStyle w:val="Default"/>
              <w:spacing w:before="120"/>
              <w:rPr>
                <w:color w:val="auto"/>
                <w:sz w:val="22"/>
                <w:szCs w:val="22"/>
              </w:rPr>
            </w:pPr>
            <w:r w:rsidRPr="009E12C8">
              <w:rPr>
                <w:color w:val="auto"/>
                <w:sz w:val="22"/>
                <w:szCs w:val="22"/>
              </w:rPr>
              <w:t>5 (83.3)</w:t>
            </w:r>
          </w:p>
        </w:tc>
        <w:tc>
          <w:tcPr>
            <w:tcW w:w="1160" w:type="dxa"/>
            <w:tcBorders>
              <w:top w:val="single" w:sz="4" w:space="0" w:color="auto"/>
              <w:right w:val="single" w:sz="4" w:space="0" w:color="E7E6E6" w:themeColor="background2"/>
            </w:tcBorders>
          </w:tcPr>
          <w:p w14:paraId="28308FCB" w14:textId="77777777" w:rsidR="00FC17EF" w:rsidRPr="009E12C8" w:rsidRDefault="00FC17EF" w:rsidP="009F157C">
            <w:pPr>
              <w:pStyle w:val="Default"/>
              <w:spacing w:before="120"/>
              <w:rPr>
                <w:color w:val="auto"/>
                <w:sz w:val="22"/>
                <w:szCs w:val="22"/>
              </w:rPr>
            </w:pPr>
            <w:r w:rsidRPr="009E12C8">
              <w:rPr>
                <w:color w:val="auto"/>
                <w:sz w:val="22"/>
                <w:szCs w:val="22"/>
              </w:rPr>
              <w:t>5 (83.3)</w:t>
            </w:r>
          </w:p>
        </w:tc>
        <w:tc>
          <w:tcPr>
            <w:tcW w:w="1211" w:type="dxa"/>
            <w:tcBorders>
              <w:top w:val="single" w:sz="4" w:space="0" w:color="auto"/>
              <w:left w:val="single" w:sz="4" w:space="0" w:color="E7E6E6" w:themeColor="background2"/>
              <w:right w:val="single" w:sz="4" w:space="0" w:color="E7E6E6" w:themeColor="background2"/>
            </w:tcBorders>
          </w:tcPr>
          <w:p w14:paraId="6A0927F3" w14:textId="77777777" w:rsidR="00FC17EF" w:rsidRPr="009E12C8" w:rsidRDefault="00FC17EF" w:rsidP="009F157C">
            <w:pPr>
              <w:pStyle w:val="Default"/>
              <w:spacing w:before="120"/>
              <w:rPr>
                <w:color w:val="auto"/>
                <w:sz w:val="22"/>
                <w:szCs w:val="22"/>
              </w:rPr>
            </w:pPr>
            <w:r w:rsidRPr="009E12C8">
              <w:rPr>
                <w:color w:val="auto"/>
                <w:sz w:val="22"/>
                <w:szCs w:val="22"/>
              </w:rPr>
              <w:t>6 (100.0)</w:t>
            </w:r>
          </w:p>
        </w:tc>
        <w:tc>
          <w:tcPr>
            <w:tcW w:w="1295" w:type="dxa"/>
            <w:tcBorders>
              <w:top w:val="single" w:sz="4" w:space="0" w:color="auto"/>
              <w:left w:val="single" w:sz="4" w:space="0" w:color="E7E6E6" w:themeColor="background2"/>
              <w:right w:val="single" w:sz="4" w:space="0" w:color="E7E6E6" w:themeColor="background2"/>
            </w:tcBorders>
          </w:tcPr>
          <w:p w14:paraId="7C4E80DF" w14:textId="77777777" w:rsidR="00FC17EF" w:rsidRPr="009E12C8" w:rsidRDefault="00FC17EF" w:rsidP="009F157C">
            <w:pPr>
              <w:pStyle w:val="Default"/>
              <w:spacing w:before="120"/>
              <w:rPr>
                <w:color w:val="auto"/>
                <w:sz w:val="22"/>
                <w:szCs w:val="22"/>
              </w:rPr>
            </w:pPr>
            <w:r w:rsidRPr="009E12C8">
              <w:rPr>
                <w:color w:val="auto"/>
                <w:sz w:val="22"/>
                <w:szCs w:val="22"/>
              </w:rPr>
              <w:t>6 (100.0)</w:t>
            </w:r>
          </w:p>
        </w:tc>
        <w:tc>
          <w:tcPr>
            <w:tcW w:w="932" w:type="dxa"/>
            <w:tcBorders>
              <w:top w:val="single" w:sz="4" w:space="0" w:color="auto"/>
              <w:left w:val="single" w:sz="4" w:space="0" w:color="E7E6E6" w:themeColor="background2"/>
            </w:tcBorders>
          </w:tcPr>
          <w:p w14:paraId="6AB2E4EB" w14:textId="77777777" w:rsidR="00FC17EF" w:rsidRPr="009E12C8" w:rsidRDefault="00FC17EF" w:rsidP="009F157C">
            <w:pPr>
              <w:pStyle w:val="Default"/>
              <w:spacing w:before="120"/>
              <w:rPr>
                <w:color w:val="auto"/>
                <w:sz w:val="22"/>
                <w:szCs w:val="22"/>
              </w:rPr>
            </w:pPr>
            <w:r w:rsidRPr="009E12C8">
              <w:rPr>
                <w:color w:val="auto"/>
                <w:sz w:val="22"/>
                <w:szCs w:val="22"/>
              </w:rPr>
              <w:t>3 (20.0)</w:t>
            </w:r>
          </w:p>
        </w:tc>
      </w:tr>
      <w:tr w:rsidR="009E12C8" w:rsidRPr="009E12C8" w14:paraId="1B554D52" w14:textId="77777777" w:rsidTr="009F157C">
        <w:trPr>
          <w:trHeight w:val="182"/>
          <w:jc w:val="center"/>
        </w:trPr>
        <w:tc>
          <w:tcPr>
            <w:tcW w:w="1783" w:type="dxa"/>
          </w:tcPr>
          <w:p w14:paraId="15E7F71E" w14:textId="77777777" w:rsidR="00FC17EF" w:rsidRPr="009E12C8" w:rsidRDefault="00FC17EF" w:rsidP="009F157C">
            <w:pPr>
              <w:pStyle w:val="Default"/>
              <w:spacing w:before="120"/>
              <w:rPr>
                <w:color w:val="auto"/>
                <w:sz w:val="22"/>
                <w:szCs w:val="22"/>
              </w:rPr>
            </w:pPr>
            <w:r w:rsidRPr="009E12C8">
              <w:rPr>
                <w:color w:val="auto"/>
                <w:sz w:val="22"/>
                <w:szCs w:val="22"/>
              </w:rPr>
              <w:t xml:space="preserve">Headache </w:t>
            </w:r>
          </w:p>
        </w:tc>
        <w:tc>
          <w:tcPr>
            <w:tcW w:w="941" w:type="dxa"/>
            <w:tcBorders>
              <w:right w:val="single" w:sz="4" w:space="0" w:color="E7E6E6" w:themeColor="background2"/>
            </w:tcBorders>
          </w:tcPr>
          <w:p w14:paraId="7EFFE4AE" w14:textId="77777777" w:rsidR="00FC17EF" w:rsidRPr="009E12C8" w:rsidRDefault="00FC17EF" w:rsidP="009F157C">
            <w:pPr>
              <w:pStyle w:val="Default"/>
              <w:spacing w:before="120"/>
              <w:rPr>
                <w:color w:val="auto"/>
                <w:sz w:val="22"/>
                <w:szCs w:val="22"/>
              </w:rPr>
            </w:pPr>
            <w:r w:rsidRPr="009E12C8">
              <w:rPr>
                <w:color w:val="auto"/>
                <w:sz w:val="22"/>
                <w:szCs w:val="22"/>
              </w:rPr>
              <w:t xml:space="preserve">3 (30.0) </w:t>
            </w:r>
          </w:p>
        </w:tc>
        <w:tc>
          <w:tcPr>
            <w:tcW w:w="1236" w:type="dxa"/>
            <w:tcBorders>
              <w:left w:val="single" w:sz="4" w:space="0" w:color="E7E6E6" w:themeColor="background2"/>
            </w:tcBorders>
          </w:tcPr>
          <w:p w14:paraId="39F4DC8D"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1191" w:type="dxa"/>
          </w:tcPr>
          <w:p w14:paraId="01BDD216" w14:textId="77777777" w:rsidR="00FC17EF" w:rsidRPr="009E12C8" w:rsidRDefault="00FC17EF" w:rsidP="009F157C">
            <w:pPr>
              <w:pStyle w:val="Default"/>
              <w:spacing w:before="120"/>
              <w:rPr>
                <w:color w:val="auto"/>
                <w:sz w:val="22"/>
                <w:szCs w:val="22"/>
              </w:rPr>
            </w:pPr>
            <w:r w:rsidRPr="009E12C8">
              <w:rPr>
                <w:color w:val="auto"/>
                <w:sz w:val="22"/>
                <w:szCs w:val="22"/>
              </w:rPr>
              <w:t xml:space="preserve">1 (16.7) </w:t>
            </w:r>
          </w:p>
        </w:tc>
        <w:tc>
          <w:tcPr>
            <w:tcW w:w="1160" w:type="dxa"/>
            <w:tcBorders>
              <w:right w:val="single" w:sz="4" w:space="0" w:color="E7E6E6" w:themeColor="background2"/>
            </w:tcBorders>
          </w:tcPr>
          <w:p w14:paraId="6A3146B1" w14:textId="77777777" w:rsidR="00FC17EF" w:rsidRPr="009E12C8" w:rsidRDefault="00FC17EF" w:rsidP="009F157C">
            <w:pPr>
              <w:pStyle w:val="Default"/>
              <w:spacing w:before="120"/>
              <w:rPr>
                <w:color w:val="auto"/>
                <w:sz w:val="22"/>
                <w:szCs w:val="22"/>
              </w:rPr>
            </w:pPr>
            <w:r w:rsidRPr="009E12C8">
              <w:rPr>
                <w:color w:val="auto"/>
                <w:sz w:val="22"/>
                <w:szCs w:val="22"/>
              </w:rPr>
              <w:t xml:space="preserve">3 (50.0) </w:t>
            </w:r>
          </w:p>
        </w:tc>
        <w:tc>
          <w:tcPr>
            <w:tcW w:w="1211" w:type="dxa"/>
            <w:tcBorders>
              <w:left w:val="single" w:sz="4" w:space="0" w:color="E7E6E6" w:themeColor="background2"/>
              <w:right w:val="single" w:sz="4" w:space="0" w:color="E7E6E6" w:themeColor="background2"/>
            </w:tcBorders>
          </w:tcPr>
          <w:p w14:paraId="7F71F70D" w14:textId="77777777" w:rsidR="00FC17EF" w:rsidRPr="009E12C8" w:rsidRDefault="00FC17EF" w:rsidP="009F157C">
            <w:pPr>
              <w:pStyle w:val="Default"/>
              <w:spacing w:before="120"/>
              <w:rPr>
                <w:color w:val="auto"/>
                <w:sz w:val="22"/>
                <w:szCs w:val="22"/>
              </w:rPr>
            </w:pPr>
            <w:r w:rsidRPr="009E12C8">
              <w:rPr>
                <w:color w:val="auto"/>
                <w:sz w:val="22"/>
                <w:szCs w:val="22"/>
              </w:rPr>
              <w:t xml:space="preserve">4 (66.7) </w:t>
            </w:r>
          </w:p>
        </w:tc>
        <w:tc>
          <w:tcPr>
            <w:tcW w:w="1295" w:type="dxa"/>
            <w:tcBorders>
              <w:left w:val="single" w:sz="4" w:space="0" w:color="E7E6E6" w:themeColor="background2"/>
              <w:right w:val="single" w:sz="4" w:space="0" w:color="E7E6E6" w:themeColor="background2"/>
            </w:tcBorders>
          </w:tcPr>
          <w:p w14:paraId="521F9D24" w14:textId="77777777" w:rsidR="00FC17EF" w:rsidRPr="009E12C8" w:rsidRDefault="00FC17EF" w:rsidP="009F157C">
            <w:pPr>
              <w:pStyle w:val="Default"/>
              <w:spacing w:before="120"/>
              <w:rPr>
                <w:color w:val="auto"/>
                <w:sz w:val="22"/>
                <w:szCs w:val="22"/>
              </w:rPr>
            </w:pPr>
            <w:r w:rsidRPr="009E12C8">
              <w:rPr>
                <w:color w:val="auto"/>
                <w:sz w:val="22"/>
                <w:szCs w:val="22"/>
              </w:rPr>
              <w:t xml:space="preserve">2 (33.3) </w:t>
            </w:r>
          </w:p>
        </w:tc>
        <w:tc>
          <w:tcPr>
            <w:tcW w:w="932" w:type="dxa"/>
            <w:tcBorders>
              <w:left w:val="single" w:sz="4" w:space="0" w:color="E7E6E6" w:themeColor="background2"/>
            </w:tcBorders>
          </w:tcPr>
          <w:p w14:paraId="21DC4BD1" w14:textId="77777777" w:rsidR="00FC17EF" w:rsidRPr="009E12C8" w:rsidRDefault="00FC17EF" w:rsidP="009F157C">
            <w:pPr>
              <w:pStyle w:val="Default"/>
              <w:spacing w:before="120"/>
              <w:rPr>
                <w:color w:val="auto"/>
                <w:sz w:val="22"/>
                <w:szCs w:val="22"/>
              </w:rPr>
            </w:pPr>
            <w:r w:rsidRPr="009E12C8">
              <w:rPr>
                <w:color w:val="auto"/>
                <w:sz w:val="22"/>
                <w:szCs w:val="22"/>
              </w:rPr>
              <w:t>2 (13.3)</w:t>
            </w:r>
          </w:p>
        </w:tc>
      </w:tr>
      <w:tr w:rsidR="009E12C8" w:rsidRPr="009E12C8" w14:paraId="7F39CF7C" w14:textId="77777777" w:rsidTr="009F157C">
        <w:trPr>
          <w:trHeight w:val="182"/>
          <w:jc w:val="center"/>
        </w:trPr>
        <w:tc>
          <w:tcPr>
            <w:tcW w:w="1783" w:type="dxa"/>
          </w:tcPr>
          <w:p w14:paraId="328405B4" w14:textId="77777777" w:rsidR="00FC17EF" w:rsidRPr="009E12C8" w:rsidRDefault="00FC17EF" w:rsidP="009F157C">
            <w:pPr>
              <w:pStyle w:val="Default"/>
              <w:spacing w:before="120"/>
              <w:rPr>
                <w:color w:val="auto"/>
                <w:sz w:val="22"/>
                <w:szCs w:val="22"/>
              </w:rPr>
            </w:pPr>
            <w:r w:rsidRPr="009E12C8">
              <w:rPr>
                <w:color w:val="auto"/>
                <w:sz w:val="22"/>
                <w:szCs w:val="22"/>
              </w:rPr>
              <w:t xml:space="preserve">Dizziness </w:t>
            </w:r>
          </w:p>
        </w:tc>
        <w:tc>
          <w:tcPr>
            <w:tcW w:w="941" w:type="dxa"/>
            <w:tcBorders>
              <w:right w:val="single" w:sz="4" w:space="0" w:color="E7E6E6" w:themeColor="background2"/>
            </w:tcBorders>
          </w:tcPr>
          <w:p w14:paraId="0DDB85BD" w14:textId="77777777" w:rsidR="00FC17EF" w:rsidRPr="009E12C8" w:rsidRDefault="00FC17EF" w:rsidP="009F157C">
            <w:pPr>
              <w:pStyle w:val="Default"/>
              <w:spacing w:before="120"/>
              <w:rPr>
                <w:color w:val="auto"/>
                <w:sz w:val="22"/>
                <w:szCs w:val="22"/>
              </w:rPr>
            </w:pPr>
            <w:r w:rsidRPr="009E12C8">
              <w:rPr>
                <w:color w:val="auto"/>
                <w:sz w:val="22"/>
                <w:szCs w:val="22"/>
              </w:rPr>
              <w:t xml:space="preserve">1 (12.5) </w:t>
            </w:r>
          </w:p>
        </w:tc>
        <w:tc>
          <w:tcPr>
            <w:tcW w:w="1236" w:type="dxa"/>
            <w:tcBorders>
              <w:left w:val="single" w:sz="4" w:space="0" w:color="E7E6E6" w:themeColor="background2"/>
            </w:tcBorders>
          </w:tcPr>
          <w:p w14:paraId="39A651BE"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1191" w:type="dxa"/>
          </w:tcPr>
          <w:p w14:paraId="3C9AB4B3"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1160" w:type="dxa"/>
            <w:tcBorders>
              <w:right w:val="single" w:sz="4" w:space="0" w:color="E7E6E6" w:themeColor="background2"/>
            </w:tcBorders>
          </w:tcPr>
          <w:p w14:paraId="1613063B"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1211" w:type="dxa"/>
            <w:tcBorders>
              <w:left w:val="single" w:sz="4" w:space="0" w:color="E7E6E6" w:themeColor="background2"/>
              <w:right w:val="single" w:sz="4" w:space="0" w:color="E7E6E6" w:themeColor="background2"/>
            </w:tcBorders>
          </w:tcPr>
          <w:p w14:paraId="72E2B8AF" w14:textId="77777777" w:rsidR="00FC17EF" w:rsidRPr="009E12C8" w:rsidRDefault="00FC17EF" w:rsidP="009F157C">
            <w:pPr>
              <w:pStyle w:val="Default"/>
              <w:spacing w:before="120"/>
              <w:rPr>
                <w:color w:val="auto"/>
                <w:sz w:val="22"/>
                <w:szCs w:val="22"/>
              </w:rPr>
            </w:pPr>
            <w:r w:rsidRPr="009E12C8">
              <w:rPr>
                <w:color w:val="auto"/>
                <w:sz w:val="22"/>
                <w:szCs w:val="22"/>
              </w:rPr>
              <w:t xml:space="preserve">5 (83.3) </w:t>
            </w:r>
          </w:p>
        </w:tc>
        <w:tc>
          <w:tcPr>
            <w:tcW w:w="1295" w:type="dxa"/>
            <w:tcBorders>
              <w:left w:val="single" w:sz="4" w:space="0" w:color="E7E6E6" w:themeColor="background2"/>
              <w:right w:val="single" w:sz="4" w:space="0" w:color="E7E6E6" w:themeColor="background2"/>
            </w:tcBorders>
          </w:tcPr>
          <w:p w14:paraId="7ED3F4B3"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932" w:type="dxa"/>
            <w:tcBorders>
              <w:left w:val="single" w:sz="4" w:space="0" w:color="E7E6E6" w:themeColor="background2"/>
            </w:tcBorders>
          </w:tcPr>
          <w:p w14:paraId="245F8338" w14:textId="77777777" w:rsidR="00FC17EF" w:rsidRPr="009E12C8" w:rsidRDefault="00FC17EF" w:rsidP="009F157C">
            <w:pPr>
              <w:pStyle w:val="Default"/>
              <w:spacing w:before="120"/>
              <w:rPr>
                <w:color w:val="auto"/>
                <w:sz w:val="22"/>
                <w:szCs w:val="22"/>
              </w:rPr>
            </w:pPr>
            <w:r w:rsidRPr="009E12C8">
              <w:rPr>
                <w:color w:val="auto"/>
                <w:sz w:val="22"/>
                <w:szCs w:val="22"/>
              </w:rPr>
              <w:t>0</w:t>
            </w:r>
          </w:p>
        </w:tc>
      </w:tr>
      <w:tr w:rsidR="009E12C8" w:rsidRPr="009E12C8" w14:paraId="1EB3D1DC" w14:textId="77777777" w:rsidTr="009F157C">
        <w:trPr>
          <w:trHeight w:val="182"/>
          <w:jc w:val="center"/>
        </w:trPr>
        <w:tc>
          <w:tcPr>
            <w:tcW w:w="1783" w:type="dxa"/>
          </w:tcPr>
          <w:p w14:paraId="67D9C793" w14:textId="77777777" w:rsidR="00FC17EF" w:rsidRPr="009E12C8" w:rsidRDefault="00FC17EF" w:rsidP="009F157C">
            <w:pPr>
              <w:pStyle w:val="Default"/>
              <w:spacing w:before="120"/>
              <w:rPr>
                <w:color w:val="auto"/>
                <w:sz w:val="22"/>
                <w:szCs w:val="22"/>
              </w:rPr>
            </w:pPr>
            <w:r w:rsidRPr="009E12C8">
              <w:rPr>
                <w:color w:val="auto"/>
                <w:sz w:val="22"/>
                <w:szCs w:val="22"/>
              </w:rPr>
              <w:t xml:space="preserve">Dizziness postural </w:t>
            </w:r>
          </w:p>
        </w:tc>
        <w:tc>
          <w:tcPr>
            <w:tcW w:w="941" w:type="dxa"/>
            <w:tcBorders>
              <w:right w:val="single" w:sz="4" w:space="0" w:color="E7E6E6" w:themeColor="background2"/>
            </w:tcBorders>
          </w:tcPr>
          <w:p w14:paraId="28CA323D"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1236" w:type="dxa"/>
            <w:tcBorders>
              <w:left w:val="single" w:sz="4" w:space="0" w:color="E7E6E6" w:themeColor="background2"/>
            </w:tcBorders>
          </w:tcPr>
          <w:p w14:paraId="6FF60DD9"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1191" w:type="dxa"/>
          </w:tcPr>
          <w:p w14:paraId="4D7E26CE"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1160" w:type="dxa"/>
            <w:tcBorders>
              <w:right w:val="single" w:sz="4" w:space="0" w:color="E7E6E6" w:themeColor="background2"/>
            </w:tcBorders>
          </w:tcPr>
          <w:p w14:paraId="7BA3991B" w14:textId="77777777" w:rsidR="00FC17EF" w:rsidRPr="009E12C8" w:rsidRDefault="00FC17EF" w:rsidP="009F157C">
            <w:pPr>
              <w:pStyle w:val="Default"/>
              <w:spacing w:before="120"/>
              <w:rPr>
                <w:color w:val="auto"/>
                <w:sz w:val="22"/>
                <w:szCs w:val="22"/>
              </w:rPr>
            </w:pPr>
            <w:r w:rsidRPr="009E12C8">
              <w:rPr>
                <w:color w:val="auto"/>
                <w:sz w:val="22"/>
                <w:szCs w:val="22"/>
              </w:rPr>
              <w:t xml:space="preserve">1 (16.7) </w:t>
            </w:r>
          </w:p>
        </w:tc>
        <w:tc>
          <w:tcPr>
            <w:tcW w:w="1211" w:type="dxa"/>
            <w:tcBorders>
              <w:left w:val="single" w:sz="4" w:space="0" w:color="E7E6E6" w:themeColor="background2"/>
              <w:right w:val="single" w:sz="4" w:space="0" w:color="E7E6E6" w:themeColor="background2"/>
            </w:tcBorders>
          </w:tcPr>
          <w:p w14:paraId="4E358CB4"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1295" w:type="dxa"/>
            <w:tcBorders>
              <w:left w:val="single" w:sz="4" w:space="0" w:color="E7E6E6" w:themeColor="background2"/>
              <w:right w:val="single" w:sz="4" w:space="0" w:color="E7E6E6" w:themeColor="background2"/>
            </w:tcBorders>
          </w:tcPr>
          <w:p w14:paraId="7763C4CE" w14:textId="77777777" w:rsidR="00FC17EF" w:rsidRPr="009E12C8" w:rsidRDefault="00FC17EF" w:rsidP="009F157C">
            <w:pPr>
              <w:pStyle w:val="Default"/>
              <w:spacing w:before="120"/>
              <w:rPr>
                <w:color w:val="auto"/>
                <w:sz w:val="22"/>
                <w:szCs w:val="22"/>
              </w:rPr>
            </w:pPr>
            <w:r w:rsidRPr="009E12C8">
              <w:rPr>
                <w:color w:val="auto"/>
                <w:sz w:val="22"/>
                <w:szCs w:val="22"/>
              </w:rPr>
              <w:t xml:space="preserve">2 (33.3) </w:t>
            </w:r>
          </w:p>
        </w:tc>
        <w:tc>
          <w:tcPr>
            <w:tcW w:w="932" w:type="dxa"/>
            <w:tcBorders>
              <w:left w:val="single" w:sz="4" w:space="0" w:color="E7E6E6" w:themeColor="background2"/>
            </w:tcBorders>
          </w:tcPr>
          <w:p w14:paraId="498216DC" w14:textId="77777777" w:rsidR="00FC17EF" w:rsidRPr="009E12C8" w:rsidRDefault="00FC17EF" w:rsidP="009F157C">
            <w:pPr>
              <w:pStyle w:val="Default"/>
              <w:spacing w:before="120"/>
              <w:rPr>
                <w:color w:val="auto"/>
                <w:sz w:val="22"/>
                <w:szCs w:val="22"/>
              </w:rPr>
            </w:pPr>
            <w:r w:rsidRPr="009E12C8">
              <w:rPr>
                <w:color w:val="auto"/>
                <w:sz w:val="22"/>
                <w:szCs w:val="22"/>
              </w:rPr>
              <w:t>0</w:t>
            </w:r>
          </w:p>
        </w:tc>
      </w:tr>
      <w:tr w:rsidR="009E12C8" w:rsidRPr="009E12C8" w14:paraId="0106AC5C" w14:textId="77777777" w:rsidTr="009F157C">
        <w:trPr>
          <w:trHeight w:val="182"/>
          <w:jc w:val="center"/>
        </w:trPr>
        <w:tc>
          <w:tcPr>
            <w:tcW w:w="1783" w:type="dxa"/>
          </w:tcPr>
          <w:p w14:paraId="7386B9E3" w14:textId="77777777" w:rsidR="00FC17EF" w:rsidRPr="009E12C8" w:rsidRDefault="00FC17EF" w:rsidP="009F157C">
            <w:pPr>
              <w:pStyle w:val="Default"/>
              <w:spacing w:before="120"/>
              <w:rPr>
                <w:color w:val="auto"/>
                <w:sz w:val="22"/>
                <w:szCs w:val="22"/>
              </w:rPr>
            </w:pPr>
            <w:r w:rsidRPr="009E12C8">
              <w:rPr>
                <w:color w:val="auto"/>
                <w:sz w:val="22"/>
                <w:szCs w:val="22"/>
              </w:rPr>
              <w:t xml:space="preserve">Somnolence </w:t>
            </w:r>
          </w:p>
        </w:tc>
        <w:tc>
          <w:tcPr>
            <w:tcW w:w="941" w:type="dxa"/>
            <w:tcBorders>
              <w:right w:val="single" w:sz="4" w:space="0" w:color="E7E6E6" w:themeColor="background2"/>
            </w:tcBorders>
          </w:tcPr>
          <w:p w14:paraId="129638EC"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1236" w:type="dxa"/>
            <w:tcBorders>
              <w:left w:val="single" w:sz="4" w:space="0" w:color="E7E6E6" w:themeColor="background2"/>
            </w:tcBorders>
          </w:tcPr>
          <w:p w14:paraId="2812682A"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1191" w:type="dxa"/>
          </w:tcPr>
          <w:p w14:paraId="6532D019"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1160" w:type="dxa"/>
            <w:tcBorders>
              <w:right w:val="single" w:sz="4" w:space="0" w:color="E7E6E6" w:themeColor="background2"/>
            </w:tcBorders>
          </w:tcPr>
          <w:p w14:paraId="69663BCD" w14:textId="77777777" w:rsidR="00FC17EF" w:rsidRPr="009E12C8" w:rsidRDefault="00FC17EF" w:rsidP="009F157C">
            <w:pPr>
              <w:pStyle w:val="Default"/>
              <w:spacing w:before="120"/>
              <w:rPr>
                <w:color w:val="auto"/>
                <w:sz w:val="22"/>
                <w:szCs w:val="22"/>
              </w:rPr>
            </w:pPr>
            <w:r w:rsidRPr="009E12C8">
              <w:rPr>
                <w:color w:val="auto"/>
                <w:sz w:val="22"/>
                <w:szCs w:val="22"/>
              </w:rPr>
              <w:t xml:space="preserve">2 (33.3) </w:t>
            </w:r>
          </w:p>
        </w:tc>
        <w:tc>
          <w:tcPr>
            <w:tcW w:w="1211" w:type="dxa"/>
            <w:tcBorders>
              <w:left w:val="single" w:sz="4" w:space="0" w:color="E7E6E6" w:themeColor="background2"/>
              <w:right w:val="single" w:sz="4" w:space="0" w:color="E7E6E6" w:themeColor="background2"/>
            </w:tcBorders>
          </w:tcPr>
          <w:p w14:paraId="121116D2" w14:textId="77777777" w:rsidR="00FC17EF" w:rsidRPr="009E12C8" w:rsidRDefault="00FC17EF" w:rsidP="009F157C">
            <w:pPr>
              <w:pStyle w:val="Default"/>
              <w:spacing w:before="120"/>
              <w:rPr>
                <w:color w:val="auto"/>
                <w:sz w:val="22"/>
                <w:szCs w:val="22"/>
              </w:rPr>
            </w:pPr>
            <w:r w:rsidRPr="009E12C8">
              <w:rPr>
                <w:color w:val="auto"/>
                <w:sz w:val="22"/>
                <w:szCs w:val="22"/>
              </w:rPr>
              <w:t xml:space="preserve">1 (16.7) </w:t>
            </w:r>
          </w:p>
        </w:tc>
        <w:tc>
          <w:tcPr>
            <w:tcW w:w="1295" w:type="dxa"/>
            <w:tcBorders>
              <w:left w:val="single" w:sz="4" w:space="0" w:color="E7E6E6" w:themeColor="background2"/>
              <w:right w:val="single" w:sz="4" w:space="0" w:color="E7E6E6" w:themeColor="background2"/>
            </w:tcBorders>
          </w:tcPr>
          <w:p w14:paraId="34A5269E"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932" w:type="dxa"/>
            <w:tcBorders>
              <w:left w:val="single" w:sz="4" w:space="0" w:color="E7E6E6" w:themeColor="background2"/>
            </w:tcBorders>
          </w:tcPr>
          <w:p w14:paraId="3EC75B4F" w14:textId="77777777" w:rsidR="00FC17EF" w:rsidRPr="009E12C8" w:rsidRDefault="00FC17EF" w:rsidP="009F157C">
            <w:pPr>
              <w:pStyle w:val="Default"/>
              <w:spacing w:before="120"/>
              <w:rPr>
                <w:color w:val="auto"/>
                <w:sz w:val="22"/>
                <w:szCs w:val="22"/>
              </w:rPr>
            </w:pPr>
            <w:r w:rsidRPr="009E12C8">
              <w:rPr>
                <w:color w:val="auto"/>
                <w:sz w:val="22"/>
                <w:szCs w:val="22"/>
              </w:rPr>
              <w:t>0</w:t>
            </w:r>
          </w:p>
        </w:tc>
      </w:tr>
      <w:tr w:rsidR="009E12C8" w:rsidRPr="009E12C8" w14:paraId="3EBBEC34" w14:textId="77777777" w:rsidTr="009F157C">
        <w:trPr>
          <w:trHeight w:val="182"/>
          <w:jc w:val="center"/>
        </w:trPr>
        <w:tc>
          <w:tcPr>
            <w:tcW w:w="1783" w:type="dxa"/>
          </w:tcPr>
          <w:p w14:paraId="780F03E9" w14:textId="77777777" w:rsidR="00FC17EF" w:rsidRPr="009E12C8" w:rsidRDefault="00FC17EF" w:rsidP="009F157C">
            <w:pPr>
              <w:pStyle w:val="Default"/>
              <w:spacing w:before="120"/>
              <w:rPr>
                <w:color w:val="auto"/>
                <w:sz w:val="22"/>
                <w:szCs w:val="22"/>
              </w:rPr>
            </w:pPr>
            <w:r w:rsidRPr="009E12C8">
              <w:rPr>
                <w:color w:val="auto"/>
                <w:sz w:val="22"/>
                <w:szCs w:val="22"/>
              </w:rPr>
              <w:t xml:space="preserve">Back pain </w:t>
            </w:r>
          </w:p>
        </w:tc>
        <w:tc>
          <w:tcPr>
            <w:tcW w:w="941" w:type="dxa"/>
            <w:tcBorders>
              <w:right w:val="single" w:sz="4" w:space="0" w:color="E7E6E6" w:themeColor="background2"/>
            </w:tcBorders>
          </w:tcPr>
          <w:p w14:paraId="7315EE37" w14:textId="77777777" w:rsidR="00FC17EF" w:rsidRPr="009E12C8" w:rsidRDefault="00FC17EF" w:rsidP="009F157C">
            <w:pPr>
              <w:pStyle w:val="Default"/>
              <w:spacing w:before="120"/>
              <w:rPr>
                <w:color w:val="auto"/>
                <w:sz w:val="22"/>
                <w:szCs w:val="22"/>
              </w:rPr>
            </w:pPr>
            <w:r w:rsidRPr="009E12C8">
              <w:rPr>
                <w:color w:val="auto"/>
                <w:sz w:val="22"/>
                <w:szCs w:val="22"/>
              </w:rPr>
              <w:t xml:space="preserve">1 (12.5) </w:t>
            </w:r>
          </w:p>
        </w:tc>
        <w:tc>
          <w:tcPr>
            <w:tcW w:w="1236" w:type="dxa"/>
            <w:tcBorders>
              <w:left w:val="single" w:sz="4" w:space="0" w:color="E7E6E6" w:themeColor="background2"/>
            </w:tcBorders>
          </w:tcPr>
          <w:p w14:paraId="2B60A101" w14:textId="77777777" w:rsidR="00FC17EF" w:rsidRPr="009E12C8" w:rsidRDefault="00FC17EF" w:rsidP="009F157C">
            <w:pPr>
              <w:pStyle w:val="Default"/>
              <w:spacing w:before="120"/>
              <w:rPr>
                <w:color w:val="auto"/>
                <w:sz w:val="22"/>
                <w:szCs w:val="22"/>
              </w:rPr>
            </w:pPr>
            <w:r w:rsidRPr="009E12C8">
              <w:rPr>
                <w:color w:val="auto"/>
                <w:sz w:val="22"/>
                <w:szCs w:val="22"/>
              </w:rPr>
              <w:t>3 (50.0)</w:t>
            </w:r>
          </w:p>
        </w:tc>
        <w:tc>
          <w:tcPr>
            <w:tcW w:w="1191" w:type="dxa"/>
          </w:tcPr>
          <w:p w14:paraId="350D61EE" w14:textId="77777777" w:rsidR="00FC17EF" w:rsidRPr="009E12C8" w:rsidRDefault="00FC17EF" w:rsidP="009F157C">
            <w:pPr>
              <w:pStyle w:val="Default"/>
              <w:spacing w:before="120"/>
              <w:rPr>
                <w:color w:val="auto"/>
                <w:sz w:val="22"/>
                <w:szCs w:val="22"/>
              </w:rPr>
            </w:pPr>
            <w:r w:rsidRPr="009E12C8">
              <w:rPr>
                <w:color w:val="auto"/>
                <w:sz w:val="22"/>
                <w:szCs w:val="22"/>
              </w:rPr>
              <w:t xml:space="preserve">2 (33.3) </w:t>
            </w:r>
          </w:p>
        </w:tc>
        <w:tc>
          <w:tcPr>
            <w:tcW w:w="1160" w:type="dxa"/>
            <w:tcBorders>
              <w:right w:val="single" w:sz="4" w:space="0" w:color="E7E6E6" w:themeColor="background2"/>
            </w:tcBorders>
          </w:tcPr>
          <w:p w14:paraId="5D72B4A3"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1211" w:type="dxa"/>
            <w:tcBorders>
              <w:left w:val="single" w:sz="4" w:space="0" w:color="E7E6E6" w:themeColor="background2"/>
              <w:right w:val="single" w:sz="4" w:space="0" w:color="E7E6E6" w:themeColor="background2"/>
            </w:tcBorders>
          </w:tcPr>
          <w:p w14:paraId="1488AE81" w14:textId="77777777" w:rsidR="00FC17EF" w:rsidRPr="009E12C8" w:rsidRDefault="00FC17EF" w:rsidP="009F157C">
            <w:pPr>
              <w:pStyle w:val="Default"/>
              <w:spacing w:before="120"/>
              <w:rPr>
                <w:color w:val="auto"/>
                <w:sz w:val="22"/>
                <w:szCs w:val="22"/>
              </w:rPr>
            </w:pPr>
            <w:r w:rsidRPr="009E12C8">
              <w:rPr>
                <w:color w:val="auto"/>
                <w:sz w:val="22"/>
                <w:szCs w:val="22"/>
              </w:rPr>
              <w:t xml:space="preserve">2 (33.3) </w:t>
            </w:r>
          </w:p>
        </w:tc>
        <w:tc>
          <w:tcPr>
            <w:tcW w:w="1295" w:type="dxa"/>
            <w:tcBorders>
              <w:left w:val="single" w:sz="4" w:space="0" w:color="E7E6E6" w:themeColor="background2"/>
              <w:right w:val="single" w:sz="4" w:space="0" w:color="E7E6E6" w:themeColor="background2"/>
            </w:tcBorders>
          </w:tcPr>
          <w:p w14:paraId="5A9B43CF" w14:textId="77777777" w:rsidR="00FC17EF" w:rsidRPr="009E12C8" w:rsidRDefault="00FC17EF" w:rsidP="009F157C">
            <w:pPr>
              <w:pStyle w:val="Default"/>
              <w:spacing w:before="120"/>
              <w:rPr>
                <w:color w:val="auto"/>
                <w:sz w:val="22"/>
                <w:szCs w:val="22"/>
              </w:rPr>
            </w:pPr>
            <w:r w:rsidRPr="009E12C8">
              <w:rPr>
                <w:color w:val="auto"/>
                <w:sz w:val="22"/>
                <w:szCs w:val="22"/>
              </w:rPr>
              <w:t xml:space="preserve">2 (33.3) </w:t>
            </w:r>
          </w:p>
        </w:tc>
        <w:tc>
          <w:tcPr>
            <w:tcW w:w="932" w:type="dxa"/>
            <w:tcBorders>
              <w:left w:val="single" w:sz="4" w:space="0" w:color="E7E6E6" w:themeColor="background2"/>
            </w:tcBorders>
          </w:tcPr>
          <w:p w14:paraId="118537D7" w14:textId="77777777" w:rsidR="00FC17EF" w:rsidRPr="009E12C8" w:rsidRDefault="00FC17EF" w:rsidP="009F157C">
            <w:pPr>
              <w:pStyle w:val="Default"/>
              <w:spacing w:before="120"/>
              <w:rPr>
                <w:color w:val="auto"/>
                <w:sz w:val="22"/>
                <w:szCs w:val="22"/>
              </w:rPr>
            </w:pPr>
            <w:r w:rsidRPr="009E12C8">
              <w:rPr>
                <w:color w:val="auto"/>
                <w:sz w:val="22"/>
                <w:szCs w:val="22"/>
              </w:rPr>
              <w:t>0</w:t>
            </w:r>
          </w:p>
        </w:tc>
      </w:tr>
      <w:tr w:rsidR="009E12C8" w:rsidRPr="009E12C8" w14:paraId="6A9E9B49" w14:textId="77777777" w:rsidTr="009F157C">
        <w:trPr>
          <w:trHeight w:val="182"/>
          <w:jc w:val="center"/>
        </w:trPr>
        <w:tc>
          <w:tcPr>
            <w:tcW w:w="1783" w:type="dxa"/>
          </w:tcPr>
          <w:p w14:paraId="4A614A1A" w14:textId="77777777" w:rsidR="00FC17EF" w:rsidRPr="009E12C8" w:rsidRDefault="00FC17EF" w:rsidP="009F157C">
            <w:pPr>
              <w:pStyle w:val="Default"/>
              <w:spacing w:before="120"/>
              <w:rPr>
                <w:color w:val="auto"/>
                <w:sz w:val="22"/>
                <w:szCs w:val="22"/>
              </w:rPr>
            </w:pPr>
            <w:r w:rsidRPr="009E12C8">
              <w:rPr>
                <w:color w:val="auto"/>
                <w:sz w:val="22"/>
                <w:szCs w:val="22"/>
              </w:rPr>
              <w:t xml:space="preserve">Fatigue </w:t>
            </w:r>
          </w:p>
        </w:tc>
        <w:tc>
          <w:tcPr>
            <w:tcW w:w="941" w:type="dxa"/>
            <w:tcBorders>
              <w:right w:val="single" w:sz="4" w:space="0" w:color="E7E6E6" w:themeColor="background2"/>
            </w:tcBorders>
          </w:tcPr>
          <w:p w14:paraId="11649EAA"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1236" w:type="dxa"/>
            <w:tcBorders>
              <w:left w:val="single" w:sz="4" w:space="0" w:color="E7E6E6" w:themeColor="background2"/>
            </w:tcBorders>
          </w:tcPr>
          <w:p w14:paraId="5C27A3B7"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1191" w:type="dxa"/>
          </w:tcPr>
          <w:p w14:paraId="77C09A04"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1160" w:type="dxa"/>
            <w:tcBorders>
              <w:right w:val="single" w:sz="4" w:space="0" w:color="E7E6E6" w:themeColor="background2"/>
            </w:tcBorders>
          </w:tcPr>
          <w:p w14:paraId="32E172EE" w14:textId="77777777" w:rsidR="00FC17EF" w:rsidRPr="009E12C8" w:rsidRDefault="00FC17EF" w:rsidP="009F157C">
            <w:pPr>
              <w:pStyle w:val="Default"/>
              <w:spacing w:before="120"/>
              <w:rPr>
                <w:color w:val="auto"/>
                <w:sz w:val="22"/>
                <w:szCs w:val="22"/>
              </w:rPr>
            </w:pPr>
            <w:r w:rsidRPr="009E12C8">
              <w:rPr>
                <w:color w:val="auto"/>
                <w:sz w:val="22"/>
                <w:szCs w:val="22"/>
              </w:rPr>
              <w:t xml:space="preserve">3 (50.0) </w:t>
            </w:r>
          </w:p>
        </w:tc>
        <w:tc>
          <w:tcPr>
            <w:tcW w:w="1211" w:type="dxa"/>
            <w:tcBorders>
              <w:left w:val="single" w:sz="4" w:space="0" w:color="E7E6E6" w:themeColor="background2"/>
              <w:right w:val="single" w:sz="4" w:space="0" w:color="E7E6E6" w:themeColor="background2"/>
            </w:tcBorders>
          </w:tcPr>
          <w:p w14:paraId="0E02E875" w14:textId="77777777" w:rsidR="00FC17EF" w:rsidRPr="009E12C8" w:rsidRDefault="00FC17EF" w:rsidP="009F157C">
            <w:pPr>
              <w:pStyle w:val="Default"/>
              <w:spacing w:before="120"/>
              <w:rPr>
                <w:color w:val="auto"/>
                <w:sz w:val="22"/>
                <w:szCs w:val="22"/>
              </w:rPr>
            </w:pPr>
            <w:r w:rsidRPr="009E12C8">
              <w:rPr>
                <w:color w:val="auto"/>
                <w:sz w:val="22"/>
                <w:szCs w:val="22"/>
              </w:rPr>
              <w:t xml:space="preserve">2 (33.3) </w:t>
            </w:r>
          </w:p>
        </w:tc>
        <w:tc>
          <w:tcPr>
            <w:tcW w:w="1295" w:type="dxa"/>
            <w:tcBorders>
              <w:left w:val="single" w:sz="4" w:space="0" w:color="E7E6E6" w:themeColor="background2"/>
              <w:right w:val="single" w:sz="4" w:space="0" w:color="E7E6E6" w:themeColor="background2"/>
            </w:tcBorders>
          </w:tcPr>
          <w:p w14:paraId="209C9BBC" w14:textId="77777777" w:rsidR="00FC17EF" w:rsidRPr="009E12C8" w:rsidRDefault="00FC17EF" w:rsidP="009F157C">
            <w:pPr>
              <w:pStyle w:val="Default"/>
              <w:spacing w:before="120"/>
              <w:rPr>
                <w:color w:val="auto"/>
                <w:sz w:val="22"/>
                <w:szCs w:val="22"/>
              </w:rPr>
            </w:pPr>
            <w:r w:rsidRPr="009E12C8">
              <w:rPr>
                <w:color w:val="auto"/>
                <w:sz w:val="22"/>
                <w:szCs w:val="22"/>
              </w:rPr>
              <w:t xml:space="preserve">2 (33.3) </w:t>
            </w:r>
          </w:p>
        </w:tc>
        <w:tc>
          <w:tcPr>
            <w:tcW w:w="932" w:type="dxa"/>
            <w:tcBorders>
              <w:left w:val="single" w:sz="4" w:space="0" w:color="E7E6E6" w:themeColor="background2"/>
            </w:tcBorders>
          </w:tcPr>
          <w:p w14:paraId="330F3CDC" w14:textId="77777777" w:rsidR="00FC17EF" w:rsidRPr="009E12C8" w:rsidRDefault="00FC17EF" w:rsidP="009F157C">
            <w:pPr>
              <w:pStyle w:val="Default"/>
              <w:spacing w:before="120"/>
              <w:rPr>
                <w:color w:val="auto"/>
                <w:sz w:val="22"/>
                <w:szCs w:val="22"/>
              </w:rPr>
            </w:pPr>
            <w:r w:rsidRPr="009E12C8">
              <w:rPr>
                <w:color w:val="auto"/>
                <w:sz w:val="22"/>
                <w:szCs w:val="22"/>
              </w:rPr>
              <w:t>0</w:t>
            </w:r>
          </w:p>
        </w:tc>
      </w:tr>
      <w:tr w:rsidR="009E12C8" w:rsidRPr="009E12C8" w14:paraId="07357601" w14:textId="77777777" w:rsidTr="009F157C">
        <w:trPr>
          <w:trHeight w:val="182"/>
          <w:jc w:val="center"/>
        </w:trPr>
        <w:tc>
          <w:tcPr>
            <w:tcW w:w="1783" w:type="dxa"/>
          </w:tcPr>
          <w:p w14:paraId="61B837C7" w14:textId="77777777" w:rsidR="00FC17EF" w:rsidRPr="009E12C8" w:rsidRDefault="00FC17EF" w:rsidP="009F157C">
            <w:pPr>
              <w:pStyle w:val="Default"/>
              <w:spacing w:before="120"/>
              <w:rPr>
                <w:color w:val="auto"/>
                <w:sz w:val="22"/>
                <w:szCs w:val="22"/>
              </w:rPr>
            </w:pPr>
            <w:r w:rsidRPr="009E12C8">
              <w:rPr>
                <w:color w:val="auto"/>
                <w:sz w:val="22"/>
                <w:szCs w:val="22"/>
              </w:rPr>
              <w:t xml:space="preserve">Injection site pain </w:t>
            </w:r>
          </w:p>
        </w:tc>
        <w:tc>
          <w:tcPr>
            <w:tcW w:w="941" w:type="dxa"/>
            <w:tcBorders>
              <w:right w:val="single" w:sz="4" w:space="0" w:color="E7E6E6" w:themeColor="background2"/>
            </w:tcBorders>
          </w:tcPr>
          <w:p w14:paraId="7340BB96" w14:textId="77777777" w:rsidR="00FC17EF" w:rsidRPr="009E12C8" w:rsidRDefault="00FC17EF" w:rsidP="009F157C">
            <w:pPr>
              <w:pStyle w:val="Default"/>
              <w:spacing w:before="120"/>
              <w:rPr>
                <w:color w:val="auto"/>
                <w:sz w:val="22"/>
                <w:szCs w:val="22"/>
              </w:rPr>
            </w:pPr>
            <w:r w:rsidRPr="009E12C8">
              <w:rPr>
                <w:color w:val="auto"/>
                <w:sz w:val="22"/>
                <w:szCs w:val="22"/>
              </w:rPr>
              <w:t xml:space="preserve">1 (12.5) </w:t>
            </w:r>
          </w:p>
        </w:tc>
        <w:tc>
          <w:tcPr>
            <w:tcW w:w="1236" w:type="dxa"/>
            <w:tcBorders>
              <w:left w:val="single" w:sz="4" w:space="0" w:color="E7E6E6" w:themeColor="background2"/>
            </w:tcBorders>
          </w:tcPr>
          <w:p w14:paraId="156951B8"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1191" w:type="dxa"/>
          </w:tcPr>
          <w:p w14:paraId="0470CCCD" w14:textId="77777777" w:rsidR="00FC17EF" w:rsidRPr="009E12C8" w:rsidRDefault="00FC17EF" w:rsidP="009F157C">
            <w:pPr>
              <w:pStyle w:val="Default"/>
              <w:spacing w:before="120"/>
              <w:rPr>
                <w:color w:val="auto"/>
                <w:sz w:val="22"/>
                <w:szCs w:val="22"/>
              </w:rPr>
            </w:pPr>
            <w:r w:rsidRPr="009E12C8">
              <w:rPr>
                <w:color w:val="auto"/>
                <w:sz w:val="22"/>
                <w:szCs w:val="22"/>
              </w:rPr>
              <w:t xml:space="preserve">2 (33.3) </w:t>
            </w:r>
          </w:p>
        </w:tc>
        <w:tc>
          <w:tcPr>
            <w:tcW w:w="1160" w:type="dxa"/>
            <w:tcBorders>
              <w:right w:val="single" w:sz="4" w:space="0" w:color="E7E6E6" w:themeColor="background2"/>
            </w:tcBorders>
          </w:tcPr>
          <w:p w14:paraId="766D767D" w14:textId="77777777" w:rsidR="00FC17EF" w:rsidRPr="009E12C8" w:rsidRDefault="00FC17EF" w:rsidP="009F157C">
            <w:pPr>
              <w:pStyle w:val="Default"/>
              <w:spacing w:before="120"/>
              <w:rPr>
                <w:color w:val="auto"/>
                <w:sz w:val="22"/>
                <w:szCs w:val="22"/>
              </w:rPr>
            </w:pPr>
            <w:r w:rsidRPr="009E12C8">
              <w:rPr>
                <w:color w:val="auto"/>
                <w:sz w:val="22"/>
                <w:szCs w:val="22"/>
              </w:rPr>
              <w:t xml:space="preserve">1 (16.7) </w:t>
            </w:r>
          </w:p>
        </w:tc>
        <w:tc>
          <w:tcPr>
            <w:tcW w:w="1211" w:type="dxa"/>
            <w:tcBorders>
              <w:left w:val="single" w:sz="4" w:space="0" w:color="E7E6E6" w:themeColor="background2"/>
              <w:right w:val="single" w:sz="4" w:space="0" w:color="E7E6E6" w:themeColor="background2"/>
            </w:tcBorders>
          </w:tcPr>
          <w:p w14:paraId="60678515"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1295" w:type="dxa"/>
            <w:tcBorders>
              <w:left w:val="single" w:sz="4" w:space="0" w:color="E7E6E6" w:themeColor="background2"/>
              <w:right w:val="single" w:sz="4" w:space="0" w:color="E7E6E6" w:themeColor="background2"/>
            </w:tcBorders>
          </w:tcPr>
          <w:p w14:paraId="7E695137"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932" w:type="dxa"/>
            <w:tcBorders>
              <w:left w:val="single" w:sz="4" w:space="0" w:color="E7E6E6" w:themeColor="background2"/>
            </w:tcBorders>
          </w:tcPr>
          <w:p w14:paraId="295D9BF9" w14:textId="77777777" w:rsidR="00FC17EF" w:rsidRPr="009E12C8" w:rsidRDefault="00FC17EF" w:rsidP="009F157C">
            <w:pPr>
              <w:pStyle w:val="Default"/>
              <w:spacing w:before="120"/>
              <w:rPr>
                <w:color w:val="auto"/>
                <w:sz w:val="22"/>
                <w:szCs w:val="22"/>
              </w:rPr>
            </w:pPr>
            <w:r w:rsidRPr="009E12C8">
              <w:rPr>
                <w:color w:val="auto"/>
                <w:sz w:val="22"/>
                <w:szCs w:val="22"/>
              </w:rPr>
              <w:t>0</w:t>
            </w:r>
          </w:p>
        </w:tc>
      </w:tr>
      <w:tr w:rsidR="009E12C8" w:rsidRPr="009E12C8" w14:paraId="5ADD4152" w14:textId="77777777" w:rsidTr="009F157C">
        <w:trPr>
          <w:trHeight w:val="182"/>
          <w:jc w:val="center"/>
        </w:trPr>
        <w:tc>
          <w:tcPr>
            <w:tcW w:w="1783" w:type="dxa"/>
          </w:tcPr>
          <w:p w14:paraId="28FCAFF9" w14:textId="77777777" w:rsidR="00FC17EF" w:rsidRPr="009E12C8" w:rsidRDefault="00FC17EF" w:rsidP="009F157C">
            <w:pPr>
              <w:pStyle w:val="Default"/>
              <w:spacing w:before="120"/>
              <w:rPr>
                <w:color w:val="auto"/>
                <w:sz w:val="22"/>
                <w:szCs w:val="22"/>
              </w:rPr>
            </w:pPr>
            <w:r w:rsidRPr="009E12C8">
              <w:rPr>
                <w:color w:val="auto"/>
                <w:sz w:val="22"/>
                <w:szCs w:val="22"/>
              </w:rPr>
              <w:t xml:space="preserve">Abdominal pain </w:t>
            </w:r>
          </w:p>
        </w:tc>
        <w:tc>
          <w:tcPr>
            <w:tcW w:w="941" w:type="dxa"/>
            <w:tcBorders>
              <w:right w:val="single" w:sz="4" w:space="0" w:color="E7E6E6" w:themeColor="background2"/>
            </w:tcBorders>
          </w:tcPr>
          <w:p w14:paraId="00F7B25C"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1236" w:type="dxa"/>
            <w:tcBorders>
              <w:left w:val="single" w:sz="4" w:space="0" w:color="E7E6E6" w:themeColor="background2"/>
            </w:tcBorders>
          </w:tcPr>
          <w:p w14:paraId="3982312A"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1191" w:type="dxa"/>
          </w:tcPr>
          <w:p w14:paraId="52A4E582"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1160" w:type="dxa"/>
            <w:tcBorders>
              <w:right w:val="single" w:sz="4" w:space="0" w:color="E7E6E6" w:themeColor="background2"/>
            </w:tcBorders>
          </w:tcPr>
          <w:p w14:paraId="1B059BF2" w14:textId="77777777" w:rsidR="00FC17EF" w:rsidRPr="009E12C8" w:rsidRDefault="00FC17EF" w:rsidP="009F157C">
            <w:pPr>
              <w:pStyle w:val="Default"/>
              <w:spacing w:before="120"/>
              <w:rPr>
                <w:color w:val="auto"/>
                <w:sz w:val="22"/>
                <w:szCs w:val="22"/>
              </w:rPr>
            </w:pPr>
            <w:r w:rsidRPr="009E12C8">
              <w:rPr>
                <w:color w:val="auto"/>
                <w:sz w:val="22"/>
                <w:szCs w:val="22"/>
              </w:rPr>
              <w:t xml:space="preserve">2 (33.3) </w:t>
            </w:r>
          </w:p>
        </w:tc>
        <w:tc>
          <w:tcPr>
            <w:tcW w:w="1211" w:type="dxa"/>
            <w:tcBorders>
              <w:left w:val="single" w:sz="4" w:space="0" w:color="E7E6E6" w:themeColor="background2"/>
              <w:right w:val="single" w:sz="4" w:space="0" w:color="E7E6E6" w:themeColor="background2"/>
            </w:tcBorders>
          </w:tcPr>
          <w:p w14:paraId="413C6616"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1295" w:type="dxa"/>
            <w:tcBorders>
              <w:left w:val="single" w:sz="4" w:space="0" w:color="E7E6E6" w:themeColor="background2"/>
              <w:right w:val="single" w:sz="4" w:space="0" w:color="E7E6E6" w:themeColor="background2"/>
            </w:tcBorders>
          </w:tcPr>
          <w:p w14:paraId="4525254C"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932" w:type="dxa"/>
            <w:tcBorders>
              <w:left w:val="single" w:sz="4" w:space="0" w:color="E7E6E6" w:themeColor="background2"/>
            </w:tcBorders>
          </w:tcPr>
          <w:p w14:paraId="3D149D24" w14:textId="77777777" w:rsidR="00FC17EF" w:rsidRPr="009E12C8" w:rsidRDefault="00FC17EF" w:rsidP="009F157C">
            <w:pPr>
              <w:pStyle w:val="Default"/>
              <w:spacing w:before="120"/>
              <w:rPr>
                <w:color w:val="auto"/>
                <w:sz w:val="22"/>
                <w:szCs w:val="22"/>
              </w:rPr>
            </w:pPr>
            <w:r w:rsidRPr="009E12C8">
              <w:rPr>
                <w:color w:val="auto"/>
                <w:sz w:val="22"/>
                <w:szCs w:val="22"/>
              </w:rPr>
              <w:t>0</w:t>
            </w:r>
          </w:p>
        </w:tc>
      </w:tr>
      <w:tr w:rsidR="009E12C8" w:rsidRPr="009E12C8" w14:paraId="70BD70BD" w14:textId="77777777" w:rsidTr="009F157C">
        <w:trPr>
          <w:trHeight w:val="182"/>
          <w:jc w:val="center"/>
        </w:trPr>
        <w:tc>
          <w:tcPr>
            <w:tcW w:w="1783" w:type="dxa"/>
          </w:tcPr>
          <w:p w14:paraId="751FDF6C" w14:textId="77777777" w:rsidR="00FC17EF" w:rsidRPr="009E12C8" w:rsidRDefault="00FC17EF" w:rsidP="009F157C">
            <w:pPr>
              <w:pStyle w:val="Default"/>
              <w:spacing w:before="120"/>
              <w:rPr>
                <w:color w:val="auto"/>
                <w:sz w:val="22"/>
                <w:szCs w:val="22"/>
              </w:rPr>
            </w:pPr>
            <w:r w:rsidRPr="009E12C8">
              <w:rPr>
                <w:color w:val="auto"/>
                <w:sz w:val="22"/>
                <w:szCs w:val="22"/>
              </w:rPr>
              <w:t xml:space="preserve">Hepatic enzyme increased </w:t>
            </w:r>
          </w:p>
        </w:tc>
        <w:tc>
          <w:tcPr>
            <w:tcW w:w="941" w:type="dxa"/>
            <w:tcBorders>
              <w:right w:val="single" w:sz="4" w:space="0" w:color="E7E6E6" w:themeColor="background2"/>
            </w:tcBorders>
          </w:tcPr>
          <w:p w14:paraId="62CB1D01" w14:textId="77777777" w:rsidR="00FC17EF" w:rsidRPr="009E12C8" w:rsidRDefault="00FC17EF" w:rsidP="009F157C">
            <w:pPr>
              <w:pStyle w:val="Default"/>
              <w:spacing w:before="120"/>
              <w:rPr>
                <w:color w:val="auto"/>
                <w:sz w:val="22"/>
                <w:szCs w:val="22"/>
              </w:rPr>
            </w:pPr>
            <w:r w:rsidRPr="009E12C8">
              <w:rPr>
                <w:color w:val="auto"/>
                <w:sz w:val="22"/>
                <w:szCs w:val="22"/>
              </w:rPr>
              <w:t xml:space="preserve">1 (12.5) </w:t>
            </w:r>
          </w:p>
        </w:tc>
        <w:tc>
          <w:tcPr>
            <w:tcW w:w="1236" w:type="dxa"/>
            <w:tcBorders>
              <w:left w:val="single" w:sz="4" w:space="0" w:color="E7E6E6" w:themeColor="background2"/>
            </w:tcBorders>
          </w:tcPr>
          <w:p w14:paraId="2524A96C"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1191" w:type="dxa"/>
          </w:tcPr>
          <w:p w14:paraId="0A8469F5"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1160" w:type="dxa"/>
            <w:tcBorders>
              <w:right w:val="single" w:sz="4" w:space="0" w:color="E7E6E6" w:themeColor="background2"/>
            </w:tcBorders>
          </w:tcPr>
          <w:p w14:paraId="14E187B1"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1211" w:type="dxa"/>
            <w:tcBorders>
              <w:left w:val="single" w:sz="4" w:space="0" w:color="E7E6E6" w:themeColor="background2"/>
              <w:right w:val="single" w:sz="4" w:space="0" w:color="E7E6E6" w:themeColor="background2"/>
            </w:tcBorders>
          </w:tcPr>
          <w:p w14:paraId="2B1F40CF" w14:textId="77777777" w:rsidR="00FC17EF" w:rsidRPr="009E12C8" w:rsidRDefault="00FC17EF" w:rsidP="009F157C">
            <w:pPr>
              <w:pStyle w:val="Default"/>
              <w:spacing w:before="120"/>
              <w:rPr>
                <w:color w:val="auto"/>
                <w:sz w:val="22"/>
                <w:szCs w:val="22"/>
              </w:rPr>
            </w:pPr>
            <w:r w:rsidRPr="009E12C8">
              <w:rPr>
                <w:color w:val="auto"/>
                <w:sz w:val="22"/>
                <w:szCs w:val="22"/>
              </w:rPr>
              <w:t xml:space="preserve">1 (16.7) </w:t>
            </w:r>
          </w:p>
        </w:tc>
        <w:tc>
          <w:tcPr>
            <w:tcW w:w="1295" w:type="dxa"/>
            <w:tcBorders>
              <w:left w:val="single" w:sz="4" w:space="0" w:color="E7E6E6" w:themeColor="background2"/>
              <w:right w:val="single" w:sz="4" w:space="0" w:color="E7E6E6" w:themeColor="background2"/>
            </w:tcBorders>
          </w:tcPr>
          <w:p w14:paraId="6905FED1" w14:textId="77777777" w:rsidR="00FC17EF" w:rsidRPr="009E12C8" w:rsidRDefault="00FC17EF" w:rsidP="009F157C">
            <w:pPr>
              <w:pStyle w:val="Default"/>
              <w:spacing w:before="120"/>
              <w:rPr>
                <w:color w:val="auto"/>
                <w:sz w:val="22"/>
                <w:szCs w:val="22"/>
              </w:rPr>
            </w:pPr>
            <w:r w:rsidRPr="009E12C8">
              <w:rPr>
                <w:color w:val="auto"/>
                <w:sz w:val="22"/>
                <w:szCs w:val="22"/>
              </w:rPr>
              <w:t xml:space="preserve">2 (33.3) </w:t>
            </w:r>
          </w:p>
        </w:tc>
        <w:tc>
          <w:tcPr>
            <w:tcW w:w="932" w:type="dxa"/>
            <w:tcBorders>
              <w:left w:val="single" w:sz="4" w:space="0" w:color="E7E6E6" w:themeColor="background2"/>
            </w:tcBorders>
          </w:tcPr>
          <w:p w14:paraId="260D8BEB" w14:textId="77777777" w:rsidR="00FC17EF" w:rsidRPr="009E12C8" w:rsidRDefault="00FC17EF" w:rsidP="009F157C">
            <w:pPr>
              <w:pStyle w:val="Default"/>
              <w:spacing w:before="120"/>
              <w:rPr>
                <w:color w:val="auto"/>
                <w:sz w:val="22"/>
                <w:szCs w:val="22"/>
              </w:rPr>
            </w:pPr>
            <w:r w:rsidRPr="009E12C8">
              <w:rPr>
                <w:color w:val="auto"/>
                <w:sz w:val="22"/>
                <w:szCs w:val="22"/>
              </w:rPr>
              <w:t>0</w:t>
            </w:r>
          </w:p>
        </w:tc>
      </w:tr>
      <w:tr w:rsidR="009E12C8" w:rsidRPr="009E12C8" w14:paraId="58EA1B1B" w14:textId="77777777" w:rsidTr="009F157C">
        <w:trPr>
          <w:trHeight w:val="182"/>
          <w:jc w:val="center"/>
        </w:trPr>
        <w:tc>
          <w:tcPr>
            <w:tcW w:w="1783" w:type="dxa"/>
          </w:tcPr>
          <w:p w14:paraId="2E9AEF9B" w14:textId="77777777" w:rsidR="00FC17EF" w:rsidRPr="009E12C8" w:rsidRDefault="00FC17EF" w:rsidP="009F157C">
            <w:pPr>
              <w:pStyle w:val="Default"/>
              <w:spacing w:before="120"/>
              <w:rPr>
                <w:color w:val="auto"/>
                <w:sz w:val="22"/>
                <w:szCs w:val="22"/>
              </w:rPr>
            </w:pPr>
            <w:r w:rsidRPr="009E12C8">
              <w:rPr>
                <w:color w:val="auto"/>
                <w:sz w:val="22"/>
                <w:szCs w:val="22"/>
              </w:rPr>
              <w:t xml:space="preserve">Haematoma </w:t>
            </w:r>
          </w:p>
        </w:tc>
        <w:tc>
          <w:tcPr>
            <w:tcW w:w="941" w:type="dxa"/>
            <w:tcBorders>
              <w:right w:val="single" w:sz="4" w:space="0" w:color="E7E6E6" w:themeColor="background2"/>
            </w:tcBorders>
          </w:tcPr>
          <w:p w14:paraId="08E6EB59" w14:textId="77777777" w:rsidR="00FC17EF" w:rsidRPr="009E12C8" w:rsidRDefault="00FC17EF" w:rsidP="009F157C">
            <w:pPr>
              <w:pStyle w:val="Default"/>
              <w:spacing w:before="120"/>
              <w:rPr>
                <w:color w:val="auto"/>
                <w:sz w:val="22"/>
                <w:szCs w:val="22"/>
              </w:rPr>
            </w:pPr>
            <w:r w:rsidRPr="009E12C8">
              <w:rPr>
                <w:color w:val="auto"/>
                <w:sz w:val="22"/>
                <w:szCs w:val="22"/>
              </w:rPr>
              <w:t xml:space="preserve">1 (12.5) </w:t>
            </w:r>
          </w:p>
        </w:tc>
        <w:tc>
          <w:tcPr>
            <w:tcW w:w="1236" w:type="dxa"/>
            <w:tcBorders>
              <w:left w:val="single" w:sz="4" w:space="0" w:color="E7E6E6" w:themeColor="background2"/>
            </w:tcBorders>
          </w:tcPr>
          <w:p w14:paraId="1DDF673D"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1191" w:type="dxa"/>
          </w:tcPr>
          <w:p w14:paraId="1E884197"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1160" w:type="dxa"/>
            <w:tcBorders>
              <w:right w:val="single" w:sz="4" w:space="0" w:color="E7E6E6" w:themeColor="background2"/>
            </w:tcBorders>
          </w:tcPr>
          <w:p w14:paraId="6C48FAB2"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1211" w:type="dxa"/>
            <w:tcBorders>
              <w:left w:val="single" w:sz="4" w:space="0" w:color="E7E6E6" w:themeColor="background2"/>
              <w:right w:val="single" w:sz="4" w:space="0" w:color="E7E6E6" w:themeColor="background2"/>
            </w:tcBorders>
          </w:tcPr>
          <w:p w14:paraId="46C66B63" w14:textId="77777777" w:rsidR="00FC17EF" w:rsidRPr="009E12C8" w:rsidRDefault="00FC17EF" w:rsidP="009F157C">
            <w:pPr>
              <w:pStyle w:val="Default"/>
              <w:spacing w:before="120"/>
              <w:rPr>
                <w:color w:val="auto"/>
                <w:sz w:val="22"/>
                <w:szCs w:val="22"/>
              </w:rPr>
            </w:pPr>
            <w:r w:rsidRPr="009E12C8">
              <w:rPr>
                <w:color w:val="auto"/>
                <w:sz w:val="22"/>
                <w:szCs w:val="22"/>
              </w:rPr>
              <w:t xml:space="preserve">2 (33.3) </w:t>
            </w:r>
          </w:p>
        </w:tc>
        <w:tc>
          <w:tcPr>
            <w:tcW w:w="1295" w:type="dxa"/>
            <w:tcBorders>
              <w:left w:val="single" w:sz="4" w:space="0" w:color="E7E6E6" w:themeColor="background2"/>
              <w:right w:val="single" w:sz="4" w:space="0" w:color="E7E6E6" w:themeColor="background2"/>
            </w:tcBorders>
          </w:tcPr>
          <w:p w14:paraId="45127E05" w14:textId="77777777" w:rsidR="00FC17EF" w:rsidRPr="009E12C8" w:rsidRDefault="00FC17EF" w:rsidP="009F157C">
            <w:pPr>
              <w:pStyle w:val="Default"/>
              <w:spacing w:before="120"/>
              <w:rPr>
                <w:color w:val="auto"/>
                <w:sz w:val="22"/>
                <w:szCs w:val="22"/>
              </w:rPr>
            </w:pPr>
            <w:r w:rsidRPr="009E12C8">
              <w:rPr>
                <w:color w:val="auto"/>
                <w:sz w:val="22"/>
                <w:szCs w:val="22"/>
              </w:rPr>
              <w:t xml:space="preserve">0 </w:t>
            </w:r>
          </w:p>
        </w:tc>
        <w:tc>
          <w:tcPr>
            <w:tcW w:w="932" w:type="dxa"/>
            <w:tcBorders>
              <w:left w:val="single" w:sz="4" w:space="0" w:color="E7E6E6" w:themeColor="background2"/>
            </w:tcBorders>
          </w:tcPr>
          <w:p w14:paraId="71796379" w14:textId="77777777" w:rsidR="00FC17EF" w:rsidRPr="009E12C8" w:rsidRDefault="00FC17EF" w:rsidP="009F157C">
            <w:pPr>
              <w:pStyle w:val="Default"/>
              <w:spacing w:before="120"/>
              <w:rPr>
                <w:color w:val="auto"/>
                <w:sz w:val="22"/>
                <w:szCs w:val="22"/>
              </w:rPr>
            </w:pPr>
            <w:r w:rsidRPr="009E12C8">
              <w:rPr>
                <w:color w:val="auto"/>
                <w:sz w:val="22"/>
                <w:szCs w:val="22"/>
              </w:rPr>
              <w:t>0</w:t>
            </w:r>
          </w:p>
        </w:tc>
      </w:tr>
      <w:tr w:rsidR="009E12C8" w:rsidRPr="009E12C8" w14:paraId="688F9FDA" w14:textId="77777777" w:rsidTr="009F157C">
        <w:trPr>
          <w:trHeight w:val="182"/>
          <w:jc w:val="center"/>
        </w:trPr>
        <w:tc>
          <w:tcPr>
            <w:tcW w:w="1783" w:type="dxa"/>
          </w:tcPr>
          <w:p w14:paraId="281EC848" w14:textId="77777777" w:rsidR="00FC17EF" w:rsidRPr="009E12C8" w:rsidRDefault="00FC17EF" w:rsidP="009F157C">
            <w:pPr>
              <w:pStyle w:val="Default"/>
              <w:spacing w:before="120"/>
              <w:rPr>
                <w:color w:val="auto"/>
                <w:sz w:val="22"/>
                <w:szCs w:val="22"/>
              </w:rPr>
            </w:pPr>
            <w:r w:rsidRPr="009E12C8">
              <w:rPr>
                <w:color w:val="auto"/>
                <w:sz w:val="22"/>
                <w:szCs w:val="22"/>
              </w:rPr>
              <w:t>Presyncope</w:t>
            </w:r>
          </w:p>
        </w:tc>
        <w:tc>
          <w:tcPr>
            <w:tcW w:w="941" w:type="dxa"/>
            <w:tcBorders>
              <w:right w:val="single" w:sz="4" w:space="0" w:color="E7E6E6" w:themeColor="background2"/>
            </w:tcBorders>
          </w:tcPr>
          <w:p w14:paraId="3FF63418" w14:textId="77777777" w:rsidR="00FC17EF" w:rsidRPr="009E12C8" w:rsidRDefault="00FC17EF" w:rsidP="009F157C">
            <w:pPr>
              <w:autoSpaceDE w:val="0"/>
              <w:autoSpaceDN w:val="0"/>
              <w:adjustRightInd w:val="0"/>
              <w:spacing w:after="0" w:line="240" w:lineRule="auto"/>
              <w:rPr>
                <w:rFonts w:cs="Times New Roman"/>
                <w:sz w:val="22"/>
              </w:rPr>
            </w:pPr>
            <w:r w:rsidRPr="009E12C8">
              <w:rPr>
                <w:rFonts w:cs="Times New Roman"/>
                <w:sz w:val="22"/>
              </w:rPr>
              <w:t xml:space="preserve">0 </w:t>
            </w:r>
          </w:p>
        </w:tc>
        <w:tc>
          <w:tcPr>
            <w:tcW w:w="1236" w:type="dxa"/>
            <w:tcBorders>
              <w:left w:val="single" w:sz="4" w:space="0" w:color="E7E6E6" w:themeColor="background2"/>
            </w:tcBorders>
          </w:tcPr>
          <w:p w14:paraId="63395090" w14:textId="77777777" w:rsidR="00FC17EF" w:rsidRPr="009E12C8" w:rsidRDefault="00FC17EF" w:rsidP="009F157C">
            <w:pPr>
              <w:autoSpaceDE w:val="0"/>
              <w:autoSpaceDN w:val="0"/>
              <w:adjustRightInd w:val="0"/>
              <w:spacing w:after="0" w:line="240" w:lineRule="auto"/>
              <w:rPr>
                <w:rFonts w:cs="Times New Roman"/>
                <w:sz w:val="22"/>
              </w:rPr>
            </w:pPr>
            <w:r w:rsidRPr="009E12C8">
              <w:rPr>
                <w:rFonts w:cs="Times New Roman"/>
                <w:sz w:val="22"/>
              </w:rPr>
              <w:t xml:space="preserve">2 (33.3) </w:t>
            </w:r>
          </w:p>
        </w:tc>
        <w:tc>
          <w:tcPr>
            <w:tcW w:w="1191" w:type="dxa"/>
          </w:tcPr>
          <w:p w14:paraId="28D487F8"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1160" w:type="dxa"/>
            <w:tcBorders>
              <w:right w:val="single" w:sz="4" w:space="0" w:color="E7E6E6" w:themeColor="background2"/>
            </w:tcBorders>
          </w:tcPr>
          <w:p w14:paraId="7C70FEE5"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1211" w:type="dxa"/>
            <w:tcBorders>
              <w:left w:val="single" w:sz="4" w:space="0" w:color="E7E6E6" w:themeColor="background2"/>
              <w:right w:val="single" w:sz="4" w:space="0" w:color="E7E6E6" w:themeColor="background2"/>
            </w:tcBorders>
          </w:tcPr>
          <w:p w14:paraId="15EF942D"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1295" w:type="dxa"/>
            <w:tcBorders>
              <w:left w:val="single" w:sz="4" w:space="0" w:color="E7E6E6" w:themeColor="background2"/>
              <w:right w:val="single" w:sz="4" w:space="0" w:color="E7E6E6" w:themeColor="background2"/>
            </w:tcBorders>
          </w:tcPr>
          <w:p w14:paraId="231434ED"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932" w:type="dxa"/>
            <w:tcBorders>
              <w:left w:val="single" w:sz="4" w:space="0" w:color="E7E6E6" w:themeColor="background2"/>
            </w:tcBorders>
          </w:tcPr>
          <w:p w14:paraId="593F32E0" w14:textId="77777777" w:rsidR="00FC17EF" w:rsidRPr="009E12C8" w:rsidRDefault="00FC17EF" w:rsidP="009F157C">
            <w:pPr>
              <w:pStyle w:val="Default"/>
              <w:spacing w:before="120"/>
              <w:rPr>
                <w:color w:val="auto"/>
                <w:sz w:val="22"/>
                <w:szCs w:val="22"/>
              </w:rPr>
            </w:pPr>
            <w:r w:rsidRPr="009E12C8">
              <w:rPr>
                <w:color w:val="auto"/>
                <w:sz w:val="22"/>
                <w:szCs w:val="22"/>
              </w:rPr>
              <w:t>0</w:t>
            </w:r>
          </w:p>
        </w:tc>
      </w:tr>
      <w:tr w:rsidR="009E12C8" w:rsidRPr="009E12C8" w14:paraId="653D8A52" w14:textId="77777777" w:rsidTr="009F157C">
        <w:trPr>
          <w:trHeight w:val="820"/>
          <w:jc w:val="center"/>
        </w:trPr>
        <w:tc>
          <w:tcPr>
            <w:tcW w:w="1783" w:type="dxa"/>
          </w:tcPr>
          <w:p w14:paraId="68F45E49" w14:textId="77777777" w:rsidR="00FC17EF" w:rsidRPr="009E12C8" w:rsidRDefault="00FC17EF" w:rsidP="009F157C">
            <w:pPr>
              <w:autoSpaceDE w:val="0"/>
              <w:autoSpaceDN w:val="0"/>
              <w:adjustRightInd w:val="0"/>
              <w:spacing w:after="0" w:line="240" w:lineRule="auto"/>
              <w:rPr>
                <w:rFonts w:cs="Times New Roman"/>
                <w:sz w:val="22"/>
              </w:rPr>
            </w:pPr>
            <w:r w:rsidRPr="009E12C8">
              <w:rPr>
                <w:rFonts w:cs="Times New Roman"/>
                <w:sz w:val="22"/>
              </w:rPr>
              <w:t xml:space="preserve">Alanine aminotransferase increased </w:t>
            </w:r>
          </w:p>
        </w:tc>
        <w:tc>
          <w:tcPr>
            <w:tcW w:w="941" w:type="dxa"/>
            <w:tcBorders>
              <w:right w:val="single" w:sz="4" w:space="0" w:color="E7E6E6" w:themeColor="background2"/>
            </w:tcBorders>
          </w:tcPr>
          <w:p w14:paraId="01D20C89" w14:textId="77777777" w:rsidR="00FC17EF" w:rsidRPr="009E12C8" w:rsidRDefault="00FC17EF" w:rsidP="009F157C">
            <w:pPr>
              <w:autoSpaceDE w:val="0"/>
              <w:autoSpaceDN w:val="0"/>
              <w:adjustRightInd w:val="0"/>
              <w:spacing w:after="0" w:line="240" w:lineRule="auto"/>
              <w:rPr>
                <w:rFonts w:cs="Times New Roman"/>
                <w:sz w:val="22"/>
              </w:rPr>
            </w:pPr>
            <w:r w:rsidRPr="009E12C8">
              <w:rPr>
                <w:rFonts w:cs="Times New Roman"/>
                <w:sz w:val="22"/>
              </w:rPr>
              <w:t xml:space="preserve">0 </w:t>
            </w:r>
          </w:p>
        </w:tc>
        <w:tc>
          <w:tcPr>
            <w:tcW w:w="1236" w:type="dxa"/>
            <w:tcBorders>
              <w:left w:val="single" w:sz="4" w:space="0" w:color="E7E6E6" w:themeColor="background2"/>
            </w:tcBorders>
          </w:tcPr>
          <w:p w14:paraId="72379A77" w14:textId="77777777" w:rsidR="00FC17EF" w:rsidRPr="009E12C8" w:rsidRDefault="00FC17EF" w:rsidP="009F157C">
            <w:pPr>
              <w:autoSpaceDE w:val="0"/>
              <w:autoSpaceDN w:val="0"/>
              <w:adjustRightInd w:val="0"/>
              <w:spacing w:after="0" w:line="240" w:lineRule="auto"/>
              <w:rPr>
                <w:rFonts w:cs="Times New Roman"/>
                <w:sz w:val="22"/>
              </w:rPr>
            </w:pPr>
            <w:r w:rsidRPr="009E12C8">
              <w:rPr>
                <w:rFonts w:cs="Times New Roman"/>
                <w:sz w:val="22"/>
              </w:rPr>
              <w:t>2 (33.3)</w:t>
            </w:r>
          </w:p>
        </w:tc>
        <w:tc>
          <w:tcPr>
            <w:tcW w:w="1191" w:type="dxa"/>
          </w:tcPr>
          <w:p w14:paraId="5A2DB800"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1160" w:type="dxa"/>
            <w:tcBorders>
              <w:right w:val="single" w:sz="4" w:space="0" w:color="E7E6E6" w:themeColor="background2"/>
            </w:tcBorders>
          </w:tcPr>
          <w:p w14:paraId="26F8B0A4"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1211" w:type="dxa"/>
            <w:tcBorders>
              <w:left w:val="single" w:sz="4" w:space="0" w:color="E7E6E6" w:themeColor="background2"/>
              <w:right w:val="single" w:sz="4" w:space="0" w:color="E7E6E6" w:themeColor="background2"/>
            </w:tcBorders>
          </w:tcPr>
          <w:p w14:paraId="2D9D58D9"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1295" w:type="dxa"/>
            <w:tcBorders>
              <w:left w:val="single" w:sz="4" w:space="0" w:color="E7E6E6" w:themeColor="background2"/>
              <w:right w:val="single" w:sz="4" w:space="0" w:color="E7E6E6" w:themeColor="background2"/>
            </w:tcBorders>
          </w:tcPr>
          <w:p w14:paraId="08664B6F"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932" w:type="dxa"/>
            <w:tcBorders>
              <w:left w:val="single" w:sz="4" w:space="0" w:color="E7E6E6" w:themeColor="background2"/>
            </w:tcBorders>
          </w:tcPr>
          <w:p w14:paraId="5768A98E" w14:textId="77777777" w:rsidR="00FC17EF" w:rsidRPr="009E12C8" w:rsidRDefault="00FC17EF" w:rsidP="009F157C">
            <w:pPr>
              <w:pStyle w:val="Default"/>
              <w:spacing w:before="120"/>
              <w:rPr>
                <w:color w:val="auto"/>
                <w:sz w:val="22"/>
                <w:szCs w:val="22"/>
              </w:rPr>
            </w:pPr>
            <w:r w:rsidRPr="009E12C8">
              <w:rPr>
                <w:color w:val="auto"/>
                <w:sz w:val="22"/>
                <w:szCs w:val="22"/>
              </w:rPr>
              <w:t>0</w:t>
            </w:r>
          </w:p>
        </w:tc>
      </w:tr>
      <w:tr w:rsidR="009E12C8" w:rsidRPr="009E12C8" w14:paraId="51AF0FFD" w14:textId="77777777" w:rsidTr="009F157C">
        <w:trPr>
          <w:trHeight w:val="245"/>
          <w:jc w:val="center"/>
        </w:trPr>
        <w:tc>
          <w:tcPr>
            <w:tcW w:w="1783" w:type="dxa"/>
            <w:tcBorders>
              <w:bottom w:val="single" w:sz="4" w:space="0" w:color="auto"/>
            </w:tcBorders>
          </w:tcPr>
          <w:p w14:paraId="04F04E8C" w14:textId="77777777" w:rsidR="00FC17EF" w:rsidRPr="009E12C8" w:rsidRDefault="00FC17EF" w:rsidP="009F157C">
            <w:pPr>
              <w:autoSpaceDE w:val="0"/>
              <w:autoSpaceDN w:val="0"/>
              <w:adjustRightInd w:val="0"/>
              <w:spacing w:after="0" w:line="240" w:lineRule="auto"/>
              <w:rPr>
                <w:rFonts w:cs="Times New Roman"/>
                <w:sz w:val="22"/>
              </w:rPr>
            </w:pPr>
            <w:r w:rsidRPr="009E12C8">
              <w:rPr>
                <w:rFonts w:cs="Times New Roman"/>
                <w:sz w:val="22"/>
              </w:rPr>
              <w:t>Ecchymosis</w:t>
            </w:r>
          </w:p>
        </w:tc>
        <w:tc>
          <w:tcPr>
            <w:tcW w:w="941" w:type="dxa"/>
            <w:tcBorders>
              <w:bottom w:val="single" w:sz="4" w:space="0" w:color="auto"/>
              <w:right w:val="single" w:sz="4" w:space="0" w:color="E7E6E6" w:themeColor="background2"/>
            </w:tcBorders>
          </w:tcPr>
          <w:p w14:paraId="120213C6" w14:textId="77777777" w:rsidR="00FC17EF" w:rsidRPr="009E12C8" w:rsidRDefault="00FC17EF" w:rsidP="009F157C">
            <w:pPr>
              <w:autoSpaceDE w:val="0"/>
              <w:autoSpaceDN w:val="0"/>
              <w:adjustRightInd w:val="0"/>
              <w:spacing w:after="0" w:line="240" w:lineRule="auto"/>
              <w:rPr>
                <w:rFonts w:cs="Times New Roman"/>
                <w:sz w:val="22"/>
              </w:rPr>
            </w:pPr>
            <w:r w:rsidRPr="009E12C8">
              <w:rPr>
                <w:rFonts w:cs="Times New Roman"/>
                <w:sz w:val="22"/>
              </w:rPr>
              <w:t>0</w:t>
            </w:r>
          </w:p>
        </w:tc>
        <w:tc>
          <w:tcPr>
            <w:tcW w:w="1236" w:type="dxa"/>
            <w:tcBorders>
              <w:left w:val="single" w:sz="4" w:space="0" w:color="E7E6E6" w:themeColor="background2"/>
              <w:bottom w:val="single" w:sz="4" w:space="0" w:color="auto"/>
            </w:tcBorders>
          </w:tcPr>
          <w:p w14:paraId="74BD4E45" w14:textId="77777777" w:rsidR="00FC17EF" w:rsidRPr="009E12C8" w:rsidRDefault="00FC17EF" w:rsidP="009F157C">
            <w:pPr>
              <w:autoSpaceDE w:val="0"/>
              <w:autoSpaceDN w:val="0"/>
              <w:adjustRightInd w:val="0"/>
              <w:spacing w:after="0" w:line="240" w:lineRule="auto"/>
              <w:rPr>
                <w:rFonts w:cs="Times New Roman"/>
                <w:sz w:val="22"/>
              </w:rPr>
            </w:pPr>
            <w:r w:rsidRPr="009E12C8">
              <w:rPr>
                <w:rFonts w:cs="Times New Roman"/>
                <w:sz w:val="22"/>
              </w:rPr>
              <w:t>0</w:t>
            </w:r>
          </w:p>
        </w:tc>
        <w:tc>
          <w:tcPr>
            <w:tcW w:w="1191" w:type="dxa"/>
            <w:tcBorders>
              <w:bottom w:val="single" w:sz="4" w:space="0" w:color="auto"/>
            </w:tcBorders>
          </w:tcPr>
          <w:p w14:paraId="1D70A7E0"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1160" w:type="dxa"/>
            <w:tcBorders>
              <w:bottom w:val="single" w:sz="4" w:space="0" w:color="auto"/>
              <w:right w:val="single" w:sz="4" w:space="0" w:color="E7E6E6" w:themeColor="background2"/>
            </w:tcBorders>
          </w:tcPr>
          <w:p w14:paraId="05E50B21"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1211" w:type="dxa"/>
            <w:tcBorders>
              <w:left w:val="single" w:sz="4" w:space="0" w:color="E7E6E6" w:themeColor="background2"/>
              <w:bottom w:val="single" w:sz="4" w:space="0" w:color="auto"/>
              <w:right w:val="single" w:sz="4" w:space="0" w:color="E7E6E6" w:themeColor="background2"/>
            </w:tcBorders>
          </w:tcPr>
          <w:p w14:paraId="3EE8A0CB"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1295" w:type="dxa"/>
            <w:tcBorders>
              <w:left w:val="single" w:sz="4" w:space="0" w:color="E7E6E6" w:themeColor="background2"/>
              <w:bottom w:val="single" w:sz="4" w:space="0" w:color="auto"/>
              <w:right w:val="single" w:sz="4" w:space="0" w:color="E7E6E6" w:themeColor="background2"/>
            </w:tcBorders>
          </w:tcPr>
          <w:p w14:paraId="7D6D613C" w14:textId="77777777" w:rsidR="00FC17EF" w:rsidRPr="009E12C8" w:rsidRDefault="00FC17EF" w:rsidP="009F157C">
            <w:pPr>
              <w:pStyle w:val="Default"/>
              <w:spacing w:before="120"/>
              <w:rPr>
                <w:color w:val="auto"/>
                <w:sz w:val="22"/>
                <w:szCs w:val="22"/>
              </w:rPr>
            </w:pPr>
            <w:r w:rsidRPr="009E12C8">
              <w:rPr>
                <w:color w:val="auto"/>
                <w:sz w:val="22"/>
                <w:szCs w:val="22"/>
              </w:rPr>
              <w:t>0</w:t>
            </w:r>
          </w:p>
        </w:tc>
        <w:tc>
          <w:tcPr>
            <w:tcW w:w="932" w:type="dxa"/>
            <w:tcBorders>
              <w:left w:val="single" w:sz="4" w:space="0" w:color="E7E6E6" w:themeColor="background2"/>
              <w:bottom w:val="single" w:sz="4" w:space="0" w:color="auto"/>
            </w:tcBorders>
          </w:tcPr>
          <w:p w14:paraId="683844AA" w14:textId="77777777" w:rsidR="00FC17EF" w:rsidRPr="009E12C8" w:rsidRDefault="00FC17EF" w:rsidP="009F157C">
            <w:pPr>
              <w:pStyle w:val="Default"/>
              <w:spacing w:before="120"/>
              <w:rPr>
                <w:color w:val="auto"/>
                <w:sz w:val="22"/>
                <w:szCs w:val="22"/>
              </w:rPr>
            </w:pPr>
            <w:r w:rsidRPr="009E12C8">
              <w:rPr>
                <w:color w:val="auto"/>
                <w:sz w:val="22"/>
                <w:szCs w:val="22"/>
              </w:rPr>
              <w:t>2 (13.3)</w:t>
            </w:r>
          </w:p>
        </w:tc>
      </w:tr>
    </w:tbl>
    <w:p w14:paraId="44053BC5" w14:textId="77777777" w:rsidR="00FC17EF" w:rsidRPr="009E12C8" w:rsidRDefault="00FC17EF" w:rsidP="009F157C">
      <w:pPr>
        <w:rPr>
          <w:rFonts w:cs="Times New Roman"/>
          <w:szCs w:val="24"/>
        </w:rPr>
      </w:pPr>
      <w:r w:rsidRPr="009E12C8">
        <w:rPr>
          <w:rFonts w:cs="Times New Roman"/>
          <w:szCs w:val="24"/>
        </w:rPr>
        <w:t>Values are n (%)</w:t>
      </w:r>
    </w:p>
    <w:p w14:paraId="17D2CCC3" w14:textId="77777777" w:rsidR="00FC17EF" w:rsidRPr="009E12C8" w:rsidRDefault="00FC17EF" w:rsidP="009F157C">
      <w:pPr>
        <w:rPr>
          <w:rFonts w:cs="Times New Roman"/>
          <w:szCs w:val="24"/>
        </w:rPr>
      </w:pPr>
      <w:r w:rsidRPr="009E12C8">
        <w:rPr>
          <w:rFonts w:cs="Times New Roman"/>
          <w:szCs w:val="24"/>
        </w:rPr>
        <w:t>MAD, multiple ascending dose; PET, positron emission tomography</w:t>
      </w:r>
    </w:p>
    <w:p w14:paraId="0D06004D" w14:textId="77777777" w:rsidR="00FC17EF" w:rsidRPr="009E12C8" w:rsidRDefault="00FC17EF" w:rsidP="009F157C">
      <w:pPr>
        <w:spacing w:before="0" w:after="200" w:line="276" w:lineRule="auto"/>
        <w:rPr>
          <w:rFonts w:cs="Times New Roman"/>
          <w:szCs w:val="24"/>
        </w:rPr>
      </w:pPr>
      <w:r w:rsidRPr="009E12C8">
        <w:rPr>
          <w:rFonts w:cs="Times New Roman"/>
          <w:szCs w:val="24"/>
        </w:rPr>
        <w:br w:type="page"/>
      </w:r>
    </w:p>
    <w:p w14:paraId="3A464AF0" w14:textId="77777777" w:rsidR="00FC17EF" w:rsidRPr="009E12C8" w:rsidRDefault="00FC17EF" w:rsidP="009F157C">
      <w:pPr>
        <w:pStyle w:val="Heading2"/>
      </w:pPr>
      <w:bookmarkStart w:id="11" w:name="_Figure_S2._Fraction_1"/>
      <w:bookmarkEnd w:id="11"/>
      <w:r w:rsidRPr="009E12C8">
        <w:lastRenderedPageBreak/>
        <w:t xml:space="preserve">Figure S1. </w:t>
      </w:r>
      <w:r w:rsidRPr="009E12C8">
        <w:rPr>
          <w:rStyle w:val="Hyperlink"/>
          <w:color w:val="auto"/>
          <w:u w:val="none"/>
        </w:rPr>
        <w:t>Study</w:t>
      </w:r>
      <w:r w:rsidRPr="009E12C8">
        <w:t xml:space="preserve"> design</w:t>
      </w:r>
    </w:p>
    <w:p w14:paraId="35B59F2C" w14:textId="77777777" w:rsidR="00FC17EF" w:rsidRPr="009E12C8" w:rsidRDefault="00FC17EF" w:rsidP="009F157C">
      <w:r w:rsidRPr="009E12C8">
        <w:rPr>
          <w:noProof/>
          <w:lang w:val="en-IN" w:eastAsia="en-IN"/>
        </w:rPr>
        <w:drawing>
          <wp:inline distT="0" distB="0" distL="0" distR="0" wp14:anchorId="38DF2F64" wp14:editId="6529EEDC">
            <wp:extent cx="5760000" cy="7621200"/>
            <wp:effectExtent l="0" t="0" r="0" b="0"/>
            <wp:docPr id="4" name="Picture 4" descr="D:\Rohit B\PROJECTS\11FAAH\versions\10preparing for submission\for upload\Figures\Figure S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ohit B\PROJECTS\11FAAH\versions\10preparing for submission\for upload\Figures\Figure S4.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00" cy="7621200"/>
                    </a:xfrm>
                    <a:prstGeom prst="rect">
                      <a:avLst/>
                    </a:prstGeom>
                    <a:noFill/>
                    <a:ln>
                      <a:noFill/>
                    </a:ln>
                  </pic:spPr>
                </pic:pic>
              </a:graphicData>
            </a:graphic>
          </wp:inline>
        </w:drawing>
      </w:r>
    </w:p>
    <w:p w14:paraId="13A8277D" w14:textId="77777777" w:rsidR="00FC17EF" w:rsidRPr="009E12C8" w:rsidRDefault="00FC17EF" w:rsidP="009F157C">
      <w:pPr>
        <w:rPr>
          <w:noProof/>
        </w:rPr>
      </w:pPr>
      <w:r w:rsidRPr="009E12C8">
        <w:rPr>
          <w:rFonts w:cs="Times New Roman"/>
          <w:szCs w:val="24"/>
        </w:rPr>
        <w:t>PET, positron emission tomography; QD, once a day</w:t>
      </w:r>
    </w:p>
    <w:p w14:paraId="34FFAB58" w14:textId="7A7ACE00" w:rsidR="00FC17EF" w:rsidRPr="009E12C8" w:rsidRDefault="00FC17EF" w:rsidP="009F157C">
      <w:pPr>
        <w:pStyle w:val="Heading2"/>
      </w:pPr>
      <w:r w:rsidRPr="009E12C8">
        <w:lastRenderedPageBreak/>
        <w:t>Figure S2. Fraction of [</w:t>
      </w:r>
      <w:r w:rsidRPr="009E12C8">
        <w:rPr>
          <w:vertAlign w:val="superscript"/>
        </w:rPr>
        <w:t>11</w:t>
      </w:r>
      <w:r w:rsidRPr="009E12C8">
        <w:t>C] MK3168 in arterial plasma as a function of time after different doses of JNJ-42165279</w:t>
      </w:r>
    </w:p>
    <w:p w14:paraId="4F5D2D01" w14:textId="77777777" w:rsidR="00FC17EF" w:rsidRPr="009E12C8" w:rsidRDefault="00FC17EF" w:rsidP="009F157C">
      <w:pPr>
        <w:jc w:val="center"/>
        <w:rPr>
          <w:rFonts w:cs="Times New Roman"/>
          <w:szCs w:val="24"/>
        </w:rPr>
      </w:pPr>
      <w:r w:rsidRPr="009E12C8">
        <w:rPr>
          <w:rFonts w:cs="Times New Roman"/>
          <w:noProof/>
          <w:szCs w:val="24"/>
          <w:lang w:val="en-IN" w:eastAsia="en-IN"/>
        </w:rPr>
        <w:drawing>
          <wp:inline distT="0" distB="0" distL="0" distR="0" wp14:anchorId="14BD5E78" wp14:editId="3FDDCE54">
            <wp:extent cx="5760000" cy="6278400"/>
            <wp:effectExtent l="0" t="0" r="0" b="8255"/>
            <wp:docPr id="7" name="Picture 7" descr="D:\Rohit B\PROJECTS\11FAAH\versions\10preparing for submission\for upload\Figures\Figure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Rohit B\PROJECTS\11FAAH\versions\10preparing for submission\for upload\Figures\Figure S1.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00" cy="6278400"/>
                    </a:xfrm>
                    <a:prstGeom prst="rect">
                      <a:avLst/>
                    </a:prstGeom>
                    <a:noFill/>
                    <a:ln>
                      <a:noFill/>
                    </a:ln>
                  </pic:spPr>
                </pic:pic>
              </a:graphicData>
            </a:graphic>
          </wp:inline>
        </w:drawing>
      </w:r>
    </w:p>
    <w:p w14:paraId="449457A1" w14:textId="77777777" w:rsidR="00FC17EF" w:rsidRPr="009E12C8" w:rsidRDefault="00FC17EF" w:rsidP="009F157C">
      <w:pPr>
        <w:rPr>
          <w:rFonts w:cs="Times New Roman"/>
          <w:szCs w:val="24"/>
        </w:rPr>
      </w:pPr>
      <w:r w:rsidRPr="009E12C8">
        <w:rPr>
          <w:rFonts w:cs="Times New Roman"/>
          <w:szCs w:val="24"/>
        </w:rPr>
        <w:t xml:space="preserve">Parent fraction of </w:t>
      </w:r>
      <w:r w:rsidRPr="009E12C8">
        <w:rPr>
          <w:rFonts w:cs="Times New Roman"/>
        </w:rPr>
        <w:t>[</w:t>
      </w:r>
      <w:r w:rsidRPr="009E12C8">
        <w:rPr>
          <w:rFonts w:cs="Times New Roman"/>
          <w:vertAlign w:val="superscript"/>
        </w:rPr>
        <w:t>11</w:t>
      </w:r>
      <w:r w:rsidRPr="009E12C8">
        <w:rPr>
          <w:rFonts w:cs="Times New Roman"/>
        </w:rPr>
        <w:t xml:space="preserve">C]MK3168 </w:t>
      </w:r>
      <w:r w:rsidRPr="009E12C8">
        <w:rPr>
          <w:rFonts w:cs="Times New Roman"/>
          <w:szCs w:val="24"/>
        </w:rPr>
        <w:t xml:space="preserve">after pretreatment with JNJ-42165279 increased compared to baseline and the effect was dose dependent. </w:t>
      </w:r>
    </w:p>
    <w:p w14:paraId="09F29448" w14:textId="77777777" w:rsidR="00FC17EF" w:rsidRPr="009E12C8" w:rsidRDefault="00FC17EF" w:rsidP="009F157C">
      <w:pPr>
        <w:rPr>
          <w:rFonts w:cs="Times New Roman"/>
          <w:szCs w:val="24"/>
        </w:rPr>
      </w:pPr>
      <w:r w:rsidRPr="009E12C8">
        <w:rPr>
          <w:rFonts w:cs="Times New Roman"/>
          <w:szCs w:val="24"/>
        </w:rPr>
        <w:lastRenderedPageBreak/>
        <w:t>This could arise if JNJ-42165279 and MK3168 share the same metabolic path. In addition, FAAH is widely distributed in many tissues and clearance of [</w:t>
      </w:r>
      <w:r w:rsidRPr="009E12C8">
        <w:rPr>
          <w:rFonts w:cs="Times New Roman"/>
          <w:szCs w:val="24"/>
          <w:vertAlign w:val="superscript"/>
        </w:rPr>
        <w:t>11</w:t>
      </w:r>
      <w:r w:rsidRPr="009E12C8">
        <w:rPr>
          <w:rFonts w:cs="Times New Roman"/>
          <w:szCs w:val="24"/>
        </w:rPr>
        <w:t>C]MK3168 from plasma by binding to the catalytic site of FAAH would be blocked by JNJ-42165279</w:t>
      </w:r>
    </w:p>
    <w:p w14:paraId="71886454" w14:textId="77777777" w:rsidR="009F157C" w:rsidRPr="009E12C8" w:rsidRDefault="009F157C">
      <w:pPr>
        <w:spacing w:before="0" w:after="160" w:line="259" w:lineRule="auto"/>
        <w:rPr>
          <w:rFonts w:eastAsiaTheme="majorEastAsia" w:cs="Times New Roman"/>
          <w:b/>
          <w:noProof/>
          <w:szCs w:val="24"/>
        </w:rPr>
      </w:pPr>
      <w:bookmarkStart w:id="12" w:name="_Figure_S3._Parent_1"/>
      <w:bookmarkEnd w:id="12"/>
      <w:r w:rsidRPr="009E12C8">
        <w:br w:type="page"/>
      </w:r>
    </w:p>
    <w:p w14:paraId="3A2F4B00" w14:textId="5A75BAB4" w:rsidR="00FC17EF" w:rsidRPr="009E12C8" w:rsidRDefault="00FC17EF" w:rsidP="009F157C">
      <w:pPr>
        <w:pStyle w:val="Heading2"/>
      </w:pPr>
      <w:r w:rsidRPr="009E12C8">
        <w:lastRenderedPageBreak/>
        <w:t>Figure S3. [</w:t>
      </w:r>
      <w:r w:rsidRPr="009E12C8">
        <w:rPr>
          <w:vertAlign w:val="superscript"/>
        </w:rPr>
        <w:t>11</w:t>
      </w:r>
      <w:r w:rsidRPr="009E12C8">
        <w:t>C]MK3168 parent fraction remaining in plasma 60 minutes post injection as a function of measured brain FAAH occupancy</w:t>
      </w:r>
    </w:p>
    <w:p w14:paraId="435D055C" w14:textId="77777777" w:rsidR="00FC17EF" w:rsidRPr="009E12C8" w:rsidRDefault="00FC17EF" w:rsidP="009F157C">
      <w:pPr>
        <w:jc w:val="center"/>
        <w:rPr>
          <w:rFonts w:cs="Times New Roman"/>
          <w:szCs w:val="24"/>
        </w:rPr>
      </w:pPr>
      <w:r w:rsidRPr="009E12C8">
        <w:rPr>
          <w:rFonts w:cs="Times New Roman"/>
          <w:noProof/>
          <w:szCs w:val="24"/>
          <w:lang w:val="en-IN" w:eastAsia="en-IN"/>
        </w:rPr>
        <w:drawing>
          <wp:inline distT="0" distB="0" distL="0" distR="0" wp14:anchorId="3B4130DA" wp14:editId="4EFBE7D9">
            <wp:extent cx="5760000" cy="3492000"/>
            <wp:effectExtent l="0" t="0" r="0" b="0"/>
            <wp:docPr id="6" name="Picture 6" descr="D:\Rohit B\PROJECTS\11FAAH\versions\10preparing for submission\for upload\Figures\Figure 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Rohit B\PROJECTS\11FAAH\versions\10preparing for submission\for upload\Figures\Figure S2.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00" cy="3492000"/>
                    </a:xfrm>
                    <a:prstGeom prst="rect">
                      <a:avLst/>
                    </a:prstGeom>
                    <a:noFill/>
                    <a:ln>
                      <a:noFill/>
                    </a:ln>
                  </pic:spPr>
                </pic:pic>
              </a:graphicData>
            </a:graphic>
          </wp:inline>
        </w:drawing>
      </w:r>
    </w:p>
    <w:p w14:paraId="62A36366" w14:textId="77777777" w:rsidR="00FC17EF" w:rsidRPr="009E12C8" w:rsidRDefault="00FC17EF" w:rsidP="009F157C">
      <w:pPr>
        <w:rPr>
          <w:rFonts w:cs="Times New Roman"/>
          <w:szCs w:val="24"/>
        </w:rPr>
      </w:pPr>
      <w:r w:rsidRPr="009E12C8">
        <w:rPr>
          <w:rFonts w:cs="Times New Roman"/>
          <w:szCs w:val="24"/>
        </w:rPr>
        <w:t>FAAH, fatty acid amide hydrolase</w:t>
      </w:r>
    </w:p>
    <w:p w14:paraId="31293D1C" w14:textId="77777777" w:rsidR="00FC17EF" w:rsidRPr="009E12C8" w:rsidRDefault="00FC17EF" w:rsidP="009F157C">
      <w:pPr>
        <w:rPr>
          <w:rFonts w:cs="Times New Roman"/>
          <w:szCs w:val="24"/>
        </w:rPr>
      </w:pPr>
      <w:r w:rsidRPr="009E12C8">
        <w:rPr>
          <w:rFonts w:cs="Times New Roman"/>
          <w:szCs w:val="24"/>
        </w:rPr>
        <w:t>The relationship of JNJ-42165279 dose dependent reduction of retention of [</w:t>
      </w:r>
      <w:r w:rsidRPr="009E12C8">
        <w:rPr>
          <w:rFonts w:cs="Times New Roman"/>
          <w:szCs w:val="24"/>
          <w:vertAlign w:val="superscript"/>
        </w:rPr>
        <w:t>11</w:t>
      </w:r>
      <w:r w:rsidRPr="009E12C8">
        <w:rPr>
          <w:rFonts w:cs="Times New Roman"/>
          <w:szCs w:val="24"/>
        </w:rPr>
        <w:t xml:space="preserve">C]MK3168 with fraction of parent tracer in plasma at 60 minutes p.i.. </w:t>
      </w:r>
    </w:p>
    <w:p w14:paraId="161A3B15" w14:textId="77777777" w:rsidR="00FC17EF" w:rsidRPr="009E12C8" w:rsidRDefault="00FC17EF" w:rsidP="009F157C">
      <w:pPr>
        <w:rPr>
          <w:rFonts w:cs="Times New Roman"/>
          <w:szCs w:val="24"/>
        </w:rPr>
      </w:pPr>
    </w:p>
    <w:p w14:paraId="07595B4A" w14:textId="77777777" w:rsidR="00FC17EF" w:rsidRPr="009E12C8" w:rsidRDefault="00FC17EF">
      <w:pPr>
        <w:spacing w:before="0" w:after="200" w:line="276" w:lineRule="auto"/>
        <w:rPr>
          <w:rFonts w:eastAsiaTheme="majorEastAsia" w:cs="Times New Roman"/>
          <w:b/>
          <w:noProof/>
          <w:szCs w:val="24"/>
        </w:rPr>
      </w:pPr>
      <w:bookmarkStart w:id="13" w:name="_Figure_S4.__1"/>
      <w:bookmarkEnd w:id="13"/>
      <w:r w:rsidRPr="009E12C8">
        <w:br w:type="page"/>
      </w:r>
    </w:p>
    <w:p w14:paraId="0A0FE460" w14:textId="632BAB06" w:rsidR="00FC17EF" w:rsidRPr="009E12C8" w:rsidRDefault="00FC17EF" w:rsidP="009F157C">
      <w:pPr>
        <w:pStyle w:val="Heading2"/>
      </w:pPr>
      <w:r w:rsidRPr="009E12C8">
        <w:lastRenderedPageBreak/>
        <w:t>Figure S4. Scatter plot for brain FAAH occupancy versus reduction of FAAH activity in leucocytes from baseline during PET Part 1 study</w:t>
      </w:r>
    </w:p>
    <w:p w14:paraId="1EB8FD16" w14:textId="77777777" w:rsidR="00FC17EF" w:rsidRPr="009E12C8" w:rsidRDefault="00FC17EF" w:rsidP="009F157C">
      <w:pPr>
        <w:jc w:val="center"/>
        <w:rPr>
          <w:rFonts w:cs="Times New Roman"/>
          <w:szCs w:val="24"/>
        </w:rPr>
      </w:pPr>
      <w:r w:rsidRPr="009E12C8">
        <w:rPr>
          <w:rFonts w:cs="Times New Roman"/>
          <w:noProof/>
          <w:szCs w:val="24"/>
          <w:lang w:val="en-IN" w:eastAsia="en-IN"/>
        </w:rPr>
        <w:drawing>
          <wp:inline distT="0" distB="0" distL="0" distR="0" wp14:anchorId="30FA42B4" wp14:editId="0BDDC930">
            <wp:extent cx="5760000" cy="4849200"/>
            <wp:effectExtent l="0" t="0" r="0" b="8890"/>
            <wp:docPr id="5" name="Picture 5" descr="D:\Rohit B\PROJECTS\11FAAH\versions\10preparing for submission\for upload\Figures\Figure 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Rohit B\PROJECTS\11FAAH\versions\10preparing for submission\for upload\Figures\Figure S3.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00" cy="4849200"/>
                    </a:xfrm>
                    <a:prstGeom prst="rect">
                      <a:avLst/>
                    </a:prstGeom>
                    <a:noFill/>
                    <a:ln>
                      <a:noFill/>
                    </a:ln>
                  </pic:spPr>
                </pic:pic>
              </a:graphicData>
            </a:graphic>
          </wp:inline>
        </w:drawing>
      </w:r>
    </w:p>
    <w:p w14:paraId="39D1F009" w14:textId="77777777" w:rsidR="00FC17EF" w:rsidRPr="009E12C8" w:rsidRDefault="00FC17EF" w:rsidP="009F157C">
      <w:pPr>
        <w:rPr>
          <w:rFonts w:cs="Times New Roman"/>
          <w:szCs w:val="24"/>
        </w:rPr>
      </w:pPr>
      <w:r w:rsidRPr="009E12C8">
        <w:rPr>
          <w:rFonts w:cs="Times New Roman"/>
          <w:szCs w:val="24"/>
        </w:rPr>
        <w:t>Open circles represent observations. Solid line and shaded area represent the linear regression line and associated 95% confidence interval. The Pearson’s coefficient is 0.635 with significance level p-value=0.036. 95% confidence interval for the coefficient is (0.0562, 0.894).</w:t>
      </w:r>
    </w:p>
    <w:p w14:paraId="45F26834" w14:textId="77777777" w:rsidR="00FC17EF" w:rsidRPr="009E12C8" w:rsidRDefault="00FC17EF" w:rsidP="009F157C">
      <w:pPr>
        <w:rPr>
          <w:rFonts w:cs="Times New Roman"/>
          <w:szCs w:val="24"/>
        </w:rPr>
      </w:pPr>
      <w:r w:rsidRPr="009E12C8">
        <w:rPr>
          <w:rFonts w:cs="Times New Roman"/>
          <w:szCs w:val="24"/>
        </w:rPr>
        <w:t>FAAH, fatty acid amide hydrolase; PET, positron emission tomography</w:t>
      </w:r>
    </w:p>
    <w:p w14:paraId="7F94720C" w14:textId="77777777" w:rsidR="00FC17EF" w:rsidRPr="009E12C8" w:rsidRDefault="00FC17EF" w:rsidP="009F157C">
      <w:pPr>
        <w:spacing w:after="0" w:line="240" w:lineRule="auto"/>
        <w:rPr>
          <w:rFonts w:cs="Times New Roman"/>
          <w:szCs w:val="24"/>
        </w:rPr>
      </w:pPr>
    </w:p>
    <w:p w14:paraId="7CE82A6B" w14:textId="77777777" w:rsidR="00FC17EF" w:rsidRPr="009E12C8" w:rsidRDefault="00FC17EF" w:rsidP="009F157C">
      <w:pPr>
        <w:spacing w:before="0" w:after="200" w:line="276" w:lineRule="auto"/>
        <w:rPr>
          <w:rFonts w:cs="Times New Roman"/>
          <w:szCs w:val="24"/>
        </w:rPr>
      </w:pPr>
      <w:r w:rsidRPr="009E12C8">
        <w:rPr>
          <w:rFonts w:cs="Times New Roman"/>
          <w:szCs w:val="24"/>
        </w:rPr>
        <w:br w:type="page"/>
      </w:r>
    </w:p>
    <w:p w14:paraId="71B05902" w14:textId="77777777" w:rsidR="00FC17EF" w:rsidRPr="009E12C8" w:rsidRDefault="00FC17EF" w:rsidP="009F157C">
      <w:pPr>
        <w:pStyle w:val="Heading2"/>
        <w:rPr>
          <w:rStyle w:val="Hyperlink"/>
          <w:color w:val="auto"/>
          <w:u w:val="none"/>
        </w:rPr>
      </w:pPr>
      <w:r w:rsidRPr="009E12C8">
        <w:rPr>
          <w:rStyle w:val="Hyperlink"/>
          <w:color w:val="auto"/>
          <w:u w:val="none"/>
        </w:rPr>
        <w:lastRenderedPageBreak/>
        <w:t>Figure S5. µPET time activity curves of [</w:t>
      </w:r>
      <w:r w:rsidRPr="009E12C8">
        <w:rPr>
          <w:rStyle w:val="Hyperlink"/>
          <w:color w:val="auto"/>
          <w:u w:val="none"/>
          <w:vertAlign w:val="superscript"/>
        </w:rPr>
        <w:t>11</w:t>
      </w:r>
      <w:r w:rsidRPr="009E12C8">
        <w:rPr>
          <w:rStyle w:val="Hyperlink"/>
          <w:color w:val="auto"/>
          <w:u w:val="none"/>
        </w:rPr>
        <w:t>C]MK3168 in cerebellum and grey matter of rhesus monkey at baseline and blocking conditions (JNJ-42165279; 2 mg/kg, IV, 30 minutes prior to tracer injection)</w:t>
      </w:r>
    </w:p>
    <w:p w14:paraId="15539199" w14:textId="77777777" w:rsidR="00FC17EF" w:rsidRPr="009E12C8" w:rsidRDefault="00FC17EF" w:rsidP="009F157C">
      <w:pPr>
        <w:jc w:val="center"/>
      </w:pPr>
      <w:r w:rsidRPr="009E12C8">
        <w:rPr>
          <w:noProof/>
          <w:lang w:val="en-IN" w:eastAsia="en-IN"/>
        </w:rPr>
        <w:drawing>
          <wp:inline distT="0" distB="0" distL="0" distR="0" wp14:anchorId="567BE917" wp14:editId="6AA9E91A">
            <wp:extent cx="5760000" cy="4237200"/>
            <wp:effectExtent l="0" t="0" r="0" b="0"/>
            <wp:docPr id="3" name="Picture 3" descr="D:\Rohit B\PROJECTS\11FAAH\versions\10preparing for submission\for upload\Figures\Figure S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ohit B\PROJECTS\11FAAH\versions\10preparing for submission\for upload\Figures\Figure S5.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000" cy="4237200"/>
                    </a:xfrm>
                    <a:prstGeom prst="rect">
                      <a:avLst/>
                    </a:prstGeom>
                    <a:noFill/>
                    <a:ln>
                      <a:noFill/>
                    </a:ln>
                  </pic:spPr>
                </pic:pic>
              </a:graphicData>
            </a:graphic>
          </wp:inline>
        </w:drawing>
      </w:r>
    </w:p>
    <w:p w14:paraId="42055567" w14:textId="77777777" w:rsidR="00FC17EF" w:rsidRPr="009E12C8" w:rsidRDefault="00FC17EF" w:rsidP="009F157C">
      <w:pPr>
        <w:spacing w:before="0" w:after="200" w:line="276" w:lineRule="auto"/>
      </w:pPr>
      <w:r w:rsidRPr="009E12C8">
        <w:t xml:space="preserve">SUV, standardized uptake value </w:t>
      </w:r>
      <w:r w:rsidRPr="009E12C8">
        <w:br w:type="page"/>
      </w:r>
    </w:p>
    <w:p w14:paraId="61AA1A72" w14:textId="77777777" w:rsidR="00FC17EF" w:rsidRPr="009E12C8" w:rsidRDefault="00FC17EF" w:rsidP="009F157C">
      <w:pPr>
        <w:pStyle w:val="Heading2"/>
      </w:pPr>
      <w:r w:rsidRPr="009E12C8">
        <w:lastRenderedPageBreak/>
        <w:t>Figure S6. Lassen plot determination of enzyme occupancy without binding potential calculation</w:t>
      </w:r>
    </w:p>
    <w:p w14:paraId="55C572EF" w14:textId="77777777" w:rsidR="00FC17EF" w:rsidRPr="009E12C8" w:rsidRDefault="00FC17EF" w:rsidP="009F157C">
      <w:pPr>
        <w:jc w:val="center"/>
        <w:rPr>
          <w:rFonts w:cs="Times New Roman"/>
          <w:szCs w:val="24"/>
        </w:rPr>
      </w:pPr>
      <w:r w:rsidRPr="009E12C8">
        <w:rPr>
          <w:rFonts w:cs="Times New Roman"/>
          <w:noProof/>
          <w:szCs w:val="24"/>
          <w:lang w:val="en-IN" w:eastAsia="en-IN"/>
        </w:rPr>
        <w:drawing>
          <wp:inline distT="0" distB="0" distL="0" distR="0" wp14:anchorId="13606ACE" wp14:editId="74EE2AF0">
            <wp:extent cx="5760000" cy="3402000"/>
            <wp:effectExtent l="0" t="0" r="0" b="8255"/>
            <wp:docPr id="1" name="Picture 1" descr="D:\Rohit B\PROJECTS\11FAAH\versions\10preparing for submission\for upload\Figures\Figure S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hit B\PROJECTS\11FAAH\versions\10preparing for submission\for upload\Figures\Figure S6.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000" cy="3402000"/>
                    </a:xfrm>
                    <a:prstGeom prst="rect">
                      <a:avLst/>
                    </a:prstGeom>
                    <a:noFill/>
                    <a:ln>
                      <a:noFill/>
                    </a:ln>
                  </pic:spPr>
                </pic:pic>
              </a:graphicData>
            </a:graphic>
          </wp:inline>
        </w:drawing>
      </w:r>
    </w:p>
    <w:p w14:paraId="12D72DC4" w14:textId="77777777" w:rsidR="00FC17EF" w:rsidRPr="009E12C8" w:rsidRDefault="00FC17EF" w:rsidP="009F157C">
      <w:pPr>
        <w:spacing w:before="0" w:after="200" w:line="276" w:lineRule="auto"/>
        <w:rPr>
          <w:rFonts w:eastAsiaTheme="majorEastAsia" w:cs="Times New Roman"/>
          <w:b/>
          <w:noProof/>
          <w:szCs w:val="24"/>
        </w:rPr>
      </w:pPr>
    </w:p>
    <w:p w14:paraId="6403841B" w14:textId="77777777" w:rsidR="00FC17EF" w:rsidRPr="009E12C8" w:rsidRDefault="00FC17EF" w:rsidP="009F157C">
      <w:pPr>
        <w:spacing w:before="0" w:after="200" w:line="276" w:lineRule="auto"/>
        <w:rPr>
          <w:rFonts w:eastAsiaTheme="majorEastAsia" w:cs="Times New Roman"/>
          <w:b/>
          <w:noProof/>
          <w:szCs w:val="24"/>
        </w:rPr>
      </w:pPr>
    </w:p>
    <w:p w14:paraId="75EFD9B8" w14:textId="77777777" w:rsidR="00FC17EF" w:rsidRPr="009E12C8" w:rsidRDefault="00FC17EF">
      <w:pPr>
        <w:spacing w:before="0" w:after="200" w:line="276" w:lineRule="auto"/>
        <w:rPr>
          <w:rFonts w:eastAsiaTheme="majorEastAsia"/>
          <w:b/>
          <w:szCs w:val="24"/>
        </w:rPr>
      </w:pPr>
      <w:r w:rsidRPr="009E12C8">
        <w:rPr>
          <w:rFonts w:eastAsiaTheme="majorEastAsia"/>
          <w:b/>
          <w:szCs w:val="24"/>
        </w:rPr>
        <w:br w:type="page"/>
      </w:r>
    </w:p>
    <w:p w14:paraId="0D8066DA" w14:textId="77777777" w:rsidR="00FC17EF" w:rsidRPr="009E12C8" w:rsidRDefault="00FC17EF" w:rsidP="009F157C">
      <w:pPr>
        <w:pStyle w:val="Heading2"/>
        <w:rPr>
          <w:rStyle w:val="Hyperlink"/>
          <w:color w:val="auto"/>
          <w:u w:val="none"/>
        </w:rPr>
      </w:pPr>
      <w:r w:rsidRPr="009E12C8">
        <w:rPr>
          <w:rStyle w:val="Hyperlink"/>
          <w:color w:val="auto"/>
          <w:u w:val="none"/>
        </w:rPr>
        <w:lastRenderedPageBreak/>
        <w:t>Figure S7. Distribution of [</w:t>
      </w:r>
      <w:r w:rsidRPr="009E12C8">
        <w:rPr>
          <w:rStyle w:val="Hyperlink"/>
          <w:color w:val="auto"/>
          <w:u w:val="none"/>
          <w:vertAlign w:val="superscript"/>
        </w:rPr>
        <w:t>11</w:t>
      </w:r>
      <w:r w:rsidRPr="009E12C8">
        <w:rPr>
          <w:rStyle w:val="Hyperlink"/>
          <w:color w:val="auto"/>
          <w:u w:val="none"/>
        </w:rPr>
        <w:t>C]MK3168 in human brain and time activity curves under baseline and blocked conditions</w:t>
      </w:r>
    </w:p>
    <w:p w14:paraId="11F6682E" w14:textId="77777777" w:rsidR="00FC17EF" w:rsidRPr="009E12C8" w:rsidRDefault="00FC17EF" w:rsidP="009F157C">
      <w:r w:rsidRPr="009E12C8">
        <w:rPr>
          <w:noProof/>
          <w:lang w:val="en-IN" w:eastAsia="en-IN"/>
        </w:rPr>
        <w:drawing>
          <wp:inline distT="0" distB="0" distL="0" distR="0" wp14:anchorId="6FF22BAD" wp14:editId="38827AAB">
            <wp:extent cx="5832475" cy="1763238"/>
            <wp:effectExtent l="0" t="0" r="0" b="8890"/>
            <wp:docPr id="8" name="Picture 8" descr="D:\Rohit B\PROJECTS\11FAAH\RESUBMISSION2\versions\2from Mark_running\FigureS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ohit B\PROJECTS\11FAAH\RESUBMISSION2\versions\2from Mark_running\FigureS7.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32475" cy="1763238"/>
                    </a:xfrm>
                    <a:prstGeom prst="rect">
                      <a:avLst/>
                    </a:prstGeom>
                    <a:noFill/>
                    <a:ln>
                      <a:noFill/>
                    </a:ln>
                  </pic:spPr>
                </pic:pic>
              </a:graphicData>
            </a:graphic>
          </wp:inline>
        </w:drawing>
      </w:r>
    </w:p>
    <w:p w14:paraId="35075BEB" w14:textId="77777777" w:rsidR="00FC17EF" w:rsidRPr="009E12C8" w:rsidRDefault="00FC17EF" w:rsidP="009F157C">
      <w:pPr>
        <w:spacing w:before="0" w:after="200" w:line="276" w:lineRule="auto"/>
        <w:rPr>
          <w:rFonts w:eastAsiaTheme="majorEastAsia" w:cs="Times New Roman"/>
          <w:b/>
          <w:noProof/>
          <w:szCs w:val="24"/>
        </w:rPr>
      </w:pPr>
      <w:r w:rsidRPr="009E12C8">
        <w:rPr>
          <w:rFonts w:cs="Times New Roman"/>
          <w:szCs w:val="24"/>
        </w:rPr>
        <w:t>Both the baseline and post-dose images are scaled from 0 to 3.5 SUV</w:t>
      </w:r>
    </w:p>
    <w:p w14:paraId="765E0A7A" w14:textId="77777777" w:rsidR="00FC17EF" w:rsidRPr="009E12C8" w:rsidRDefault="00FC17EF" w:rsidP="009F157C">
      <w:pPr>
        <w:spacing w:before="0" w:after="200" w:line="276" w:lineRule="auto"/>
        <w:rPr>
          <w:rFonts w:eastAsiaTheme="majorEastAsia" w:cs="Times New Roman"/>
          <w:b/>
          <w:noProof/>
          <w:szCs w:val="24"/>
        </w:rPr>
      </w:pPr>
    </w:p>
    <w:p w14:paraId="10C4EECC" w14:textId="77777777" w:rsidR="00FC17EF" w:rsidRPr="009E12C8" w:rsidRDefault="00FC17EF">
      <w:pPr>
        <w:spacing w:before="0" w:after="200" w:line="276" w:lineRule="auto"/>
        <w:rPr>
          <w:rFonts w:eastAsiaTheme="majorEastAsia"/>
        </w:rPr>
      </w:pPr>
      <w:r w:rsidRPr="009E12C8">
        <w:rPr>
          <w:rFonts w:eastAsiaTheme="majorEastAsia"/>
        </w:rPr>
        <w:br w:type="page"/>
      </w:r>
    </w:p>
    <w:p w14:paraId="6E09C0FA" w14:textId="77777777" w:rsidR="00FC17EF" w:rsidRPr="009E12C8" w:rsidRDefault="00FC17EF" w:rsidP="009F157C">
      <w:pPr>
        <w:pStyle w:val="tablesandfiguresRB"/>
        <w:rPr>
          <w:color w:val="auto"/>
        </w:rPr>
      </w:pPr>
      <w:r w:rsidRPr="009E12C8">
        <w:rPr>
          <w:color w:val="auto"/>
        </w:rPr>
        <w:lastRenderedPageBreak/>
        <w:t>Figure S8. Brain fatty acid amide hydrolase (FAAH) occupancy as a function of JNJ-42165279 dose at Tmax</w:t>
      </w:r>
    </w:p>
    <w:p w14:paraId="073D31DB" w14:textId="77777777" w:rsidR="00FC17EF" w:rsidRPr="009E12C8" w:rsidRDefault="00FC17EF" w:rsidP="009F157C">
      <w:pPr>
        <w:jc w:val="center"/>
        <w:rPr>
          <w:rFonts w:cs="Times New Roman"/>
          <w:szCs w:val="24"/>
        </w:rPr>
      </w:pPr>
      <w:r w:rsidRPr="009E12C8">
        <w:rPr>
          <w:rFonts w:cs="Times New Roman"/>
          <w:noProof/>
          <w:szCs w:val="24"/>
          <w:lang w:val="en-IN" w:eastAsia="en-IN"/>
        </w:rPr>
        <w:drawing>
          <wp:inline distT="0" distB="0" distL="0" distR="0" wp14:anchorId="00A8BE7A" wp14:editId="64A00551">
            <wp:extent cx="3094355" cy="1647825"/>
            <wp:effectExtent l="0" t="0" r="0" b="9525"/>
            <wp:docPr id="12" name="Picture 12" descr="D:\Rohit B\PROJECTS\11FAAH\versions\11for upload\Figures\Figure 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Rohit B\PROJECTS\11FAAH\versions\11for upload\Figures\Figure 5.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94355" cy="1647825"/>
                    </a:xfrm>
                    <a:prstGeom prst="rect">
                      <a:avLst/>
                    </a:prstGeom>
                    <a:noFill/>
                    <a:ln>
                      <a:noFill/>
                    </a:ln>
                  </pic:spPr>
                </pic:pic>
              </a:graphicData>
            </a:graphic>
          </wp:inline>
        </w:drawing>
      </w:r>
    </w:p>
    <w:p w14:paraId="51AE5BED" w14:textId="77777777" w:rsidR="00FC17EF" w:rsidRDefault="00FC17EF" w:rsidP="009F157C">
      <w:pPr>
        <w:spacing w:before="0" w:after="200" w:line="276" w:lineRule="auto"/>
        <w:rPr>
          <w:rFonts w:eastAsiaTheme="majorEastAsia" w:cs="Times New Roman"/>
          <w:b/>
          <w:bCs/>
          <w:kern w:val="36"/>
          <w:szCs w:val="48"/>
        </w:rPr>
      </w:pPr>
      <w:r w:rsidRPr="009E12C8">
        <w:rPr>
          <w:rFonts w:cs="Times New Roman"/>
          <w:szCs w:val="24"/>
        </w:rPr>
        <w:t xml:space="preserve">EO%, percent enzyme occupancy; FAAH, fatty acid amide hydrolase </w:t>
      </w:r>
      <w:r>
        <w:rPr>
          <w:rFonts w:eastAsiaTheme="majorEastAsia"/>
        </w:rPr>
        <w:br w:type="page"/>
      </w:r>
    </w:p>
    <w:p w14:paraId="290963DF" w14:textId="77777777" w:rsidR="00FC17EF" w:rsidRDefault="00FC17EF" w:rsidP="009F157C">
      <w:pPr>
        <w:pStyle w:val="Heading1"/>
        <w:rPr>
          <w:rFonts w:eastAsiaTheme="majorEastAsia"/>
        </w:rPr>
      </w:pPr>
      <w:r>
        <w:rPr>
          <w:rFonts w:eastAsiaTheme="majorEastAsia"/>
        </w:rPr>
        <w:lastRenderedPageBreak/>
        <w:t>References</w:t>
      </w:r>
    </w:p>
    <w:p w14:paraId="68493481" w14:textId="77777777" w:rsidR="00FC17EF" w:rsidRPr="000B7635" w:rsidRDefault="00FC17EF" w:rsidP="009F157C">
      <w:pPr>
        <w:pStyle w:val="EndNoteBibliography"/>
        <w:spacing w:after="0"/>
      </w:pPr>
      <w:r w:rsidRPr="000B7635">
        <w:t>1.</w:t>
      </w:r>
      <w:r w:rsidRPr="000B7635">
        <w:tab/>
        <w:t xml:space="preserve">Gunn RN, Lammertsma AA, Grasby PM. Quantitative analysis of [carbonyl-(11)C]WAY-100635 PET studies. </w:t>
      </w:r>
      <w:r w:rsidRPr="000B7635">
        <w:rPr>
          <w:i/>
        </w:rPr>
        <w:t>Nucl Med Biol</w:t>
      </w:r>
      <w:r w:rsidRPr="000B7635">
        <w:t xml:space="preserve">. </w:t>
      </w:r>
      <w:r w:rsidRPr="000B7635">
        <w:rPr>
          <w:b/>
        </w:rPr>
        <w:t>27</w:t>
      </w:r>
      <w:r w:rsidRPr="000B7635">
        <w:t>, 477-482 (2000).</w:t>
      </w:r>
    </w:p>
    <w:p w14:paraId="5B70388A" w14:textId="77777777" w:rsidR="00FC17EF" w:rsidRPr="000B7635" w:rsidRDefault="00FC17EF" w:rsidP="009F157C">
      <w:pPr>
        <w:pStyle w:val="EndNoteBibliography"/>
        <w:spacing w:after="0"/>
      </w:pPr>
      <w:r w:rsidRPr="000B7635">
        <w:t>2.</w:t>
      </w:r>
      <w:r w:rsidRPr="000B7635">
        <w:tab/>
        <w:t>Mortelmans L</w:t>
      </w:r>
      <w:r w:rsidRPr="000B7635">
        <w:rPr>
          <w:i/>
        </w:rPr>
        <w:t>, et al.</w:t>
      </w:r>
      <w:r w:rsidRPr="000B7635">
        <w:t xml:space="preserve"> In vitro and in vivo evaluation of granulocyte labeling with [99mTc]d,1-HM-PAO. </w:t>
      </w:r>
      <w:r w:rsidRPr="000B7635">
        <w:rPr>
          <w:i/>
        </w:rPr>
        <w:t>J Nucl Med</w:t>
      </w:r>
      <w:r w:rsidRPr="000B7635">
        <w:t xml:space="preserve">. </w:t>
      </w:r>
      <w:r w:rsidRPr="000B7635">
        <w:rPr>
          <w:b/>
        </w:rPr>
        <w:t>30</w:t>
      </w:r>
      <w:r w:rsidRPr="000B7635">
        <w:t>, 2022-2028 (1989).</w:t>
      </w:r>
    </w:p>
    <w:p w14:paraId="7B35F3C0" w14:textId="77777777" w:rsidR="00FC17EF" w:rsidRPr="000B7635" w:rsidRDefault="00FC17EF" w:rsidP="009F157C">
      <w:pPr>
        <w:pStyle w:val="EndNoteBibliography"/>
        <w:spacing w:after="0"/>
      </w:pPr>
      <w:r w:rsidRPr="000B7635">
        <w:t>3.</w:t>
      </w:r>
      <w:r w:rsidRPr="000B7635">
        <w:tab/>
        <w:t>Wilson AA</w:t>
      </w:r>
      <w:r w:rsidRPr="000B7635">
        <w:rPr>
          <w:i/>
        </w:rPr>
        <w:t>, et al.</w:t>
      </w:r>
      <w:r w:rsidRPr="000B7635">
        <w:t xml:space="preserve"> [11C]CURB: Evaluation of a novel radiotracer for imaging fatty acid amide hydrolase by positron emission tomography. </w:t>
      </w:r>
      <w:r w:rsidRPr="000B7635">
        <w:rPr>
          <w:i/>
        </w:rPr>
        <w:t>Nucl Med Biol</w:t>
      </w:r>
      <w:r w:rsidRPr="000B7635">
        <w:t xml:space="preserve">. </w:t>
      </w:r>
      <w:r w:rsidRPr="000B7635">
        <w:rPr>
          <w:b/>
        </w:rPr>
        <w:t>38</w:t>
      </w:r>
      <w:r w:rsidRPr="000B7635">
        <w:t>, 247-253 (2011).</w:t>
      </w:r>
    </w:p>
    <w:p w14:paraId="5FD502FC" w14:textId="77777777" w:rsidR="00FC17EF" w:rsidRPr="000B7635" w:rsidRDefault="00FC17EF" w:rsidP="009F157C">
      <w:pPr>
        <w:pStyle w:val="EndNoteBibliography"/>
        <w:spacing w:after="0"/>
      </w:pPr>
      <w:r w:rsidRPr="000B7635">
        <w:t>4.</w:t>
      </w:r>
      <w:r w:rsidRPr="000B7635">
        <w:tab/>
        <w:t>Rotstein BH</w:t>
      </w:r>
      <w:r w:rsidRPr="000B7635">
        <w:rPr>
          <w:i/>
        </w:rPr>
        <w:t>, et al.</w:t>
      </w:r>
      <w:r w:rsidRPr="000B7635">
        <w:t xml:space="preserve"> PET imaging of fatty acid amide hydrolase with [(18)F]DOPP in nonhuman primates. </w:t>
      </w:r>
      <w:r w:rsidRPr="000B7635">
        <w:rPr>
          <w:i/>
        </w:rPr>
        <w:t>Mol Pharm</w:t>
      </w:r>
      <w:r w:rsidRPr="000B7635">
        <w:t xml:space="preserve">. </w:t>
      </w:r>
      <w:r w:rsidRPr="000B7635">
        <w:rPr>
          <w:b/>
        </w:rPr>
        <w:t>11</w:t>
      </w:r>
      <w:r w:rsidRPr="000B7635">
        <w:t>, 3832-3838 (2014).</w:t>
      </w:r>
    </w:p>
    <w:p w14:paraId="09E06FAB" w14:textId="77777777" w:rsidR="00FC17EF" w:rsidRPr="000B7635" w:rsidRDefault="00FC17EF" w:rsidP="009F157C">
      <w:pPr>
        <w:pStyle w:val="EndNoteBibliography"/>
        <w:spacing w:after="0"/>
      </w:pPr>
      <w:r w:rsidRPr="000B7635">
        <w:t>5.</w:t>
      </w:r>
      <w:r w:rsidRPr="000B7635">
        <w:tab/>
        <w:t>Skaddan MB</w:t>
      </w:r>
      <w:r w:rsidRPr="000B7635">
        <w:rPr>
          <w:i/>
        </w:rPr>
        <w:t>, et al.</w:t>
      </w:r>
      <w:r w:rsidRPr="000B7635">
        <w:t xml:space="preserve"> The synthesis and in vivo evaluation of [18F]PF-9811: a novel PET ligand for imaging brain fatty acid amide hydrolase (FAAH). </w:t>
      </w:r>
      <w:r w:rsidRPr="000B7635">
        <w:rPr>
          <w:i/>
        </w:rPr>
        <w:t>Nucl Med Biol</w:t>
      </w:r>
      <w:r w:rsidRPr="000B7635">
        <w:t xml:space="preserve">. </w:t>
      </w:r>
      <w:r w:rsidRPr="000B7635">
        <w:rPr>
          <w:b/>
        </w:rPr>
        <w:t>39</w:t>
      </w:r>
      <w:r w:rsidRPr="000B7635">
        <w:t>, 1058-1067 (2012).</w:t>
      </w:r>
    </w:p>
    <w:p w14:paraId="022898BD" w14:textId="77777777" w:rsidR="00FC17EF" w:rsidRPr="000B7635" w:rsidRDefault="00FC17EF" w:rsidP="009F157C">
      <w:pPr>
        <w:pStyle w:val="EndNoteBibliography"/>
        <w:spacing w:after="0"/>
      </w:pPr>
      <w:r w:rsidRPr="000B7635">
        <w:t>6.</w:t>
      </w:r>
      <w:r w:rsidRPr="000B7635">
        <w:tab/>
        <w:t>Lassen NA</w:t>
      </w:r>
      <w:r w:rsidRPr="000B7635">
        <w:rPr>
          <w:i/>
        </w:rPr>
        <w:t>, et al.</w:t>
      </w:r>
      <w:r w:rsidRPr="000B7635">
        <w:t xml:space="preserve"> Benzodiazepine receptor quantification in vivo in humans using [</w:t>
      </w:r>
      <w:r w:rsidRPr="000B7635">
        <w:rPr>
          <w:vertAlign w:val="superscript"/>
        </w:rPr>
        <w:t>11</w:t>
      </w:r>
      <w:r w:rsidRPr="000B7635">
        <w:t xml:space="preserve">C]flumazenil and PET: application of the steady-state principle. </w:t>
      </w:r>
      <w:r w:rsidRPr="000B7635">
        <w:rPr>
          <w:i/>
        </w:rPr>
        <w:t>J Cereb Blood Flow Metab</w:t>
      </w:r>
      <w:r w:rsidRPr="000B7635">
        <w:t xml:space="preserve">. </w:t>
      </w:r>
      <w:r w:rsidRPr="000B7635">
        <w:rPr>
          <w:b/>
        </w:rPr>
        <w:t>15</w:t>
      </w:r>
      <w:r w:rsidRPr="000B7635">
        <w:t>, 152-165 (1995).</w:t>
      </w:r>
    </w:p>
    <w:p w14:paraId="6A78452D" w14:textId="77777777" w:rsidR="00FC17EF" w:rsidRPr="000B7635" w:rsidRDefault="00FC17EF" w:rsidP="009F157C">
      <w:pPr>
        <w:pStyle w:val="EndNoteBibliography"/>
        <w:spacing w:after="0"/>
      </w:pPr>
      <w:r w:rsidRPr="000B7635">
        <w:t>7.</w:t>
      </w:r>
      <w:r w:rsidRPr="000B7635">
        <w:tab/>
        <w:t>Gallezot JD</w:t>
      </w:r>
      <w:r w:rsidRPr="000B7635">
        <w:rPr>
          <w:i/>
        </w:rPr>
        <w:t>, et al.</w:t>
      </w:r>
      <w:r w:rsidRPr="000B7635">
        <w:t xml:space="preserve"> Evaluation of [(11)C]MRB for assessment of occupancy of norepinephrine transporters: Studies with atomoxetine in non-human primates. </w:t>
      </w:r>
      <w:r w:rsidRPr="000B7635">
        <w:rPr>
          <w:i/>
        </w:rPr>
        <w:t>Neuroimage</w:t>
      </w:r>
      <w:r w:rsidRPr="000B7635">
        <w:t xml:space="preserve">. </w:t>
      </w:r>
      <w:r w:rsidRPr="000B7635">
        <w:rPr>
          <w:b/>
        </w:rPr>
        <w:t>56</w:t>
      </w:r>
      <w:r w:rsidRPr="000B7635">
        <w:t>, 268-279 (2011).</w:t>
      </w:r>
    </w:p>
    <w:p w14:paraId="2302CA3C" w14:textId="77777777" w:rsidR="00FC17EF" w:rsidRPr="000B7635" w:rsidRDefault="00FC17EF" w:rsidP="009F157C">
      <w:pPr>
        <w:pStyle w:val="EndNoteBibliography"/>
      </w:pPr>
      <w:r w:rsidRPr="000B7635">
        <w:t>8.</w:t>
      </w:r>
      <w:r w:rsidRPr="000B7635">
        <w:tab/>
        <w:t xml:space="preserve">Cunningham VJ, Rabiner EA, Slifstein M, Laruelle M, Gunn RN. Measuring drug occupancy in the absence of a reference region: the Lassen plot re-visited. </w:t>
      </w:r>
      <w:r w:rsidRPr="000B7635">
        <w:rPr>
          <w:i/>
        </w:rPr>
        <w:t>Cereb Blood Flow Metab</w:t>
      </w:r>
      <w:r w:rsidRPr="000B7635">
        <w:t xml:space="preserve">. </w:t>
      </w:r>
      <w:r w:rsidRPr="000B7635">
        <w:rPr>
          <w:b/>
        </w:rPr>
        <w:t>30</w:t>
      </w:r>
      <w:r w:rsidRPr="000B7635">
        <w:t>, 46-50 (2010).</w:t>
      </w:r>
    </w:p>
    <w:p w14:paraId="3D152615" w14:textId="77777777" w:rsidR="00FC17EF" w:rsidRPr="007B096F" w:rsidRDefault="00FC17EF" w:rsidP="009F157C">
      <w:pPr>
        <w:spacing w:before="0" w:after="200" w:line="276" w:lineRule="auto"/>
        <w:rPr>
          <w:rFonts w:eastAsiaTheme="majorEastAsia" w:cs="Times New Roman"/>
          <w:b/>
          <w:noProof/>
          <w:szCs w:val="24"/>
        </w:rPr>
      </w:pPr>
    </w:p>
    <w:p w14:paraId="6F62B5A3" w14:textId="77777777" w:rsidR="009F157C" w:rsidRDefault="009F157C"/>
    <w:sectPr w:rsidR="009F157C" w:rsidSect="00420AB3">
      <w:footerReference w:type="default" r:id="rId17"/>
      <w:type w:val="continuous"/>
      <w:pgSz w:w="11907" w:h="16840" w:code="9"/>
      <w:pgMar w:top="1361" w:right="1361" w:bottom="1361" w:left="1361"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3A6D3" w14:textId="77777777" w:rsidR="00B67B3A" w:rsidRDefault="00B67B3A">
      <w:pPr>
        <w:spacing w:before="0" w:after="0" w:line="240" w:lineRule="auto"/>
      </w:pPr>
      <w:r>
        <w:separator/>
      </w:r>
    </w:p>
  </w:endnote>
  <w:endnote w:type="continuationSeparator" w:id="0">
    <w:p w14:paraId="5BEC1EDB" w14:textId="77777777" w:rsidR="00B67B3A" w:rsidRDefault="00B67B3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imesNewRoman">
    <w:altName w:val="MS Mincho"/>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1496237"/>
      <w:docPartObj>
        <w:docPartGallery w:val="Page Numbers (Bottom of Page)"/>
        <w:docPartUnique/>
      </w:docPartObj>
    </w:sdtPr>
    <w:sdtEndPr>
      <w:rPr>
        <w:noProof/>
      </w:rPr>
    </w:sdtEndPr>
    <w:sdtContent>
      <w:p w14:paraId="3CC1F077" w14:textId="4B545CC2" w:rsidR="009F157C" w:rsidRDefault="009F157C">
        <w:pPr>
          <w:pStyle w:val="Footer"/>
          <w:jc w:val="right"/>
        </w:pPr>
        <w:r>
          <w:fldChar w:fldCharType="begin"/>
        </w:r>
        <w:r>
          <w:instrText xml:space="preserve"> PAGE   \* MERGEFORMAT </w:instrText>
        </w:r>
        <w:r>
          <w:fldChar w:fldCharType="separate"/>
        </w:r>
        <w:r w:rsidR="002938C4">
          <w:rPr>
            <w:noProof/>
          </w:rPr>
          <w:t>1</w:t>
        </w:r>
        <w:r>
          <w:rPr>
            <w:noProof/>
          </w:rPr>
          <w:fldChar w:fldCharType="end"/>
        </w:r>
      </w:p>
    </w:sdtContent>
  </w:sdt>
  <w:p w14:paraId="7732E80F" w14:textId="77777777" w:rsidR="009F157C" w:rsidRDefault="009F15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6914880"/>
      <w:docPartObj>
        <w:docPartGallery w:val="Page Numbers (Bottom of Page)"/>
        <w:docPartUnique/>
      </w:docPartObj>
    </w:sdtPr>
    <w:sdtEndPr>
      <w:rPr>
        <w:noProof/>
      </w:rPr>
    </w:sdtEndPr>
    <w:sdtContent>
      <w:p w14:paraId="74E59F08" w14:textId="4500B3BC" w:rsidR="009F157C" w:rsidRDefault="009F157C">
        <w:pPr>
          <w:pStyle w:val="Footer"/>
          <w:jc w:val="right"/>
        </w:pPr>
        <w:r>
          <w:fldChar w:fldCharType="begin"/>
        </w:r>
        <w:r>
          <w:instrText xml:space="preserve"> PAGE   \* MERGEFORMAT </w:instrText>
        </w:r>
        <w:r>
          <w:fldChar w:fldCharType="separate"/>
        </w:r>
        <w:r w:rsidR="002938C4">
          <w:rPr>
            <w:noProof/>
          </w:rPr>
          <w:t>15</w:t>
        </w:r>
        <w:r>
          <w:rPr>
            <w:noProof/>
          </w:rPr>
          <w:fldChar w:fldCharType="end"/>
        </w:r>
      </w:p>
    </w:sdtContent>
  </w:sdt>
  <w:p w14:paraId="2812FF1A" w14:textId="77777777" w:rsidR="009F157C" w:rsidRDefault="009F15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69D222" w14:textId="77777777" w:rsidR="00B67B3A" w:rsidRDefault="00B67B3A">
      <w:pPr>
        <w:spacing w:before="0" w:after="0" w:line="240" w:lineRule="auto"/>
      </w:pPr>
      <w:r>
        <w:separator/>
      </w:r>
    </w:p>
  </w:footnote>
  <w:footnote w:type="continuationSeparator" w:id="0">
    <w:p w14:paraId="321AFBAE" w14:textId="77777777" w:rsidR="00B67B3A" w:rsidRDefault="00B67B3A">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5E1179"/>
    <w:multiLevelType w:val="hybridMultilevel"/>
    <w:tmpl w:val="2202F57E"/>
    <w:lvl w:ilvl="0" w:tplc="05887C0C">
      <w:start w:val="1"/>
      <w:numFmt w:val="bullet"/>
      <w:pStyle w:val="Bullet11-1"/>
      <w:lvlText w:val=""/>
      <w:lvlJc w:val="left"/>
      <w:pPr>
        <w:tabs>
          <w:tab w:val="num" w:pos="432"/>
        </w:tabs>
        <w:ind w:left="432" w:hanging="432"/>
      </w:pPr>
      <w:rPr>
        <w:rFonts w:ascii="Symbol" w:hAnsi="Symbol" w:hint="default"/>
      </w:rPr>
    </w:lvl>
    <w:lvl w:ilvl="1" w:tplc="742AFA8E" w:tentative="1">
      <w:start w:val="1"/>
      <w:numFmt w:val="bullet"/>
      <w:lvlText w:val="o"/>
      <w:lvlJc w:val="left"/>
      <w:pPr>
        <w:ind w:left="1440" w:hanging="360"/>
      </w:pPr>
      <w:rPr>
        <w:rFonts w:ascii="Courier New" w:hAnsi="Courier New" w:cs="Courier New" w:hint="default"/>
      </w:rPr>
    </w:lvl>
    <w:lvl w:ilvl="2" w:tplc="E1C26366" w:tentative="1">
      <w:start w:val="1"/>
      <w:numFmt w:val="bullet"/>
      <w:lvlText w:val=""/>
      <w:lvlJc w:val="left"/>
      <w:pPr>
        <w:ind w:left="2160" w:hanging="360"/>
      </w:pPr>
      <w:rPr>
        <w:rFonts w:ascii="Wingdings" w:hAnsi="Wingdings" w:hint="default"/>
      </w:rPr>
    </w:lvl>
    <w:lvl w:ilvl="3" w:tplc="A1BE5E5C" w:tentative="1">
      <w:start w:val="1"/>
      <w:numFmt w:val="bullet"/>
      <w:lvlText w:val=""/>
      <w:lvlJc w:val="left"/>
      <w:pPr>
        <w:ind w:left="2880" w:hanging="360"/>
      </w:pPr>
      <w:rPr>
        <w:rFonts w:ascii="Symbol" w:hAnsi="Symbol" w:hint="default"/>
      </w:rPr>
    </w:lvl>
    <w:lvl w:ilvl="4" w:tplc="7E1ECEFE" w:tentative="1">
      <w:start w:val="1"/>
      <w:numFmt w:val="bullet"/>
      <w:lvlText w:val="o"/>
      <w:lvlJc w:val="left"/>
      <w:pPr>
        <w:ind w:left="3600" w:hanging="360"/>
      </w:pPr>
      <w:rPr>
        <w:rFonts w:ascii="Courier New" w:hAnsi="Courier New" w:cs="Courier New" w:hint="default"/>
      </w:rPr>
    </w:lvl>
    <w:lvl w:ilvl="5" w:tplc="9DC04A08" w:tentative="1">
      <w:start w:val="1"/>
      <w:numFmt w:val="bullet"/>
      <w:lvlText w:val=""/>
      <w:lvlJc w:val="left"/>
      <w:pPr>
        <w:ind w:left="4320" w:hanging="360"/>
      </w:pPr>
      <w:rPr>
        <w:rFonts w:ascii="Wingdings" w:hAnsi="Wingdings" w:hint="default"/>
      </w:rPr>
    </w:lvl>
    <w:lvl w:ilvl="6" w:tplc="9D68309C" w:tentative="1">
      <w:start w:val="1"/>
      <w:numFmt w:val="bullet"/>
      <w:lvlText w:val=""/>
      <w:lvlJc w:val="left"/>
      <w:pPr>
        <w:ind w:left="5040" w:hanging="360"/>
      </w:pPr>
      <w:rPr>
        <w:rFonts w:ascii="Symbol" w:hAnsi="Symbol" w:hint="default"/>
      </w:rPr>
    </w:lvl>
    <w:lvl w:ilvl="7" w:tplc="3E883640" w:tentative="1">
      <w:start w:val="1"/>
      <w:numFmt w:val="bullet"/>
      <w:lvlText w:val="o"/>
      <w:lvlJc w:val="left"/>
      <w:pPr>
        <w:ind w:left="5760" w:hanging="360"/>
      </w:pPr>
      <w:rPr>
        <w:rFonts w:ascii="Courier New" w:hAnsi="Courier New" w:cs="Courier New" w:hint="default"/>
      </w:rPr>
    </w:lvl>
    <w:lvl w:ilvl="8" w:tplc="9B80FAC0" w:tentative="1">
      <w:start w:val="1"/>
      <w:numFmt w:val="bullet"/>
      <w:lvlText w:val=""/>
      <w:lvlJc w:val="left"/>
      <w:pPr>
        <w:ind w:left="6480" w:hanging="360"/>
      </w:pPr>
      <w:rPr>
        <w:rFonts w:ascii="Wingdings" w:hAnsi="Wingdings" w:hint="default"/>
      </w:rPr>
    </w:lvl>
  </w:abstractNum>
  <w:abstractNum w:abstractNumId="1" w15:restartNumberingAfterBreak="0">
    <w:nsid w:val="25B84494"/>
    <w:multiLevelType w:val="hybridMultilevel"/>
    <w:tmpl w:val="6DEA1B10"/>
    <w:lvl w:ilvl="0" w:tplc="81700F12">
      <w:start w:val="1"/>
      <w:numFmt w:val="bullet"/>
      <w:pStyle w:val="Bullet11-2"/>
      <w:lvlText w:val=""/>
      <w:lvlJc w:val="left"/>
      <w:pPr>
        <w:tabs>
          <w:tab w:val="num" w:pos="864"/>
        </w:tabs>
        <w:ind w:left="864" w:hanging="432"/>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265543A0"/>
    <w:multiLevelType w:val="hybridMultilevel"/>
    <w:tmpl w:val="1F8EE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A32A30"/>
    <w:multiLevelType w:val="hybridMultilevel"/>
    <w:tmpl w:val="24065FA8"/>
    <w:lvl w:ilvl="0" w:tplc="8D42C64E">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726320DB"/>
    <w:multiLevelType w:val="hybridMultilevel"/>
    <w:tmpl w:val="72D0373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76DD3FD2"/>
    <w:multiLevelType w:val="hybridMultilevel"/>
    <w:tmpl w:val="F8488A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B066F4B"/>
    <w:multiLevelType w:val="hybridMultilevel"/>
    <w:tmpl w:val="F074291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7" w15:restartNumberingAfterBreak="0">
    <w:nsid w:val="7F5B0893"/>
    <w:multiLevelType w:val="hybridMultilevel"/>
    <w:tmpl w:val="5CE8974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4"/>
  </w:num>
  <w:num w:numId="6">
    <w:abstractNumId w:val="3"/>
  </w:num>
  <w:num w:numId="7">
    <w:abstractNumId w:val="5"/>
  </w:num>
  <w:num w:numId="8">
    <w:abstractNumId w:val="2"/>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FC17EF"/>
    <w:rsid w:val="00082684"/>
    <w:rsid w:val="00176A4D"/>
    <w:rsid w:val="001D5EE9"/>
    <w:rsid w:val="002938C4"/>
    <w:rsid w:val="00354B8B"/>
    <w:rsid w:val="00420AB3"/>
    <w:rsid w:val="00485932"/>
    <w:rsid w:val="00533F50"/>
    <w:rsid w:val="0054093D"/>
    <w:rsid w:val="009E12C8"/>
    <w:rsid w:val="009F157C"/>
    <w:rsid w:val="00A20FDE"/>
    <w:rsid w:val="00A762E1"/>
    <w:rsid w:val="00A82009"/>
    <w:rsid w:val="00B67B3A"/>
    <w:rsid w:val="00C776E1"/>
    <w:rsid w:val="00DC1592"/>
    <w:rsid w:val="00FC17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83C9"/>
  <w15:chartTrackingRefBased/>
  <w15:docId w15:val="{29275B0F-ACCC-4341-8AAA-C6193DEB4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17EF"/>
    <w:pPr>
      <w:spacing w:before="120" w:after="120" w:line="480" w:lineRule="auto"/>
    </w:pPr>
    <w:rPr>
      <w:rFonts w:ascii="Times New Roman" w:eastAsiaTheme="minorEastAsia" w:hAnsi="Times New Roman"/>
      <w:sz w:val="24"/>
      <w:lang w:val="en-US" w:eastAsia="zh-CN"/>
    </w:rPr>
  </w:style>
  <w:style w:type="paragraph" w:styleId="Heading1">
    <w:name w:val="heading 1"/>
    <w:basedOn w:val="Normal"/>
    <w:link w:val="Heading1Char"/>
    <w:uiPriority w:val="9"/>
    <w:qFormat/>
    <w:rsid w:val="00FC17EF"/>
    <w:pPr>
      <w:outlineLvl w:val="0"/>
    </w:pPr>
    <w:rPr>
      <w:rFonts w:eastAsia="Times New Roman" w:cs="Times New Roman"/>
      <w:b/>
      <w:bCs/>
      <w:kern w:val="36"/>
      <w:szCs w:val="48"/>
    </w:rPr>
  </w:style>
  <w:style w:type="paragraph" w:styleId="Heading2">
    <w:name w:val="heading 2"/>
    <w:basedOn w:val="Normal"/>
    <w:next w:val="Normal"/>
    <w:link w:val="Heading2Char"/>
    <w:autoRedefine/>
    <w:uiPriority w:val="9"/>
    <w:unhideWhenUsed/>
    <w:qFormat/>
    <w:rsid w:val="009F157C"/>
    <w:pPr>
      <w:spacing w:after="0"/>
      <w:outlineLvl w:val="1"/>
    </w:pPr>
    <w:rPr>
      <w:rFonts w:eastAsiaTheme="majorEastAsia" w:cs="Times New Roman"/>
      <w:b/>
      <w:noProof/>
      <w:szCs w:val="24"/>
    </w:rPr>
  </w:style>
  <w:style w:type="paragraph" w:styleId="Heading3">
    <w:name w:val="heading 3"/>
    <w:basedOn w:val="Normal"/>
    <w:next w:val="Normal"/>
    <w:link w:val="Heading3Char"/>
    <w:uiPriority w:val="9"/>
    <w:unhideWhenUsed/>
    <w:qFormat/>
    <w:rsid w:val="00FC17EF"/>
    <w:pPr>
      <w:keepNext/>
      <w:keepLines/>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semiHidden/>
    <w:unhideWhenUsed/>
    <w:qFormat/>
    <w:rsid w:val="00FC17EF"/>
    <w:pPr>
      <w:keepNext/>
      <w:keepLines/>
      <w:outlineLvl w:val="3"/>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7EF"/>
    <w:rPr>
      <w:rFonts w:ascii="Times New Roman" w:eastAsia="Times New Roman" w:hAnsi="Times New Roman" w:cs="Times New Roman"/>
      <w:b/>
      <w:bCs/>
      <w:kern w:val="36"/>
      <w:sz w:val="24"/>
      <w:szCs w:val="48"/>
      <w:lang w:val="en-US" w:eastAsia="zh-CN"/>
    </w:rPr>
  </w:style>
  <w:style w:type="character" w:customStyle="1" w:styleId="Heading2Char">
    <w:name w:val="Heading 2 Char"/>
    <w:basedOn w:val="DefaultParagraphFont"/>
    <w:link w:val="Heading2"/>
    <w:uiPriority w:val="9"/>
    <w:rsid w:val="009F157C"/>
    <w:rPr>
      <w:rFonts w:ascii="Times New Roman" w:eastAsiaTheme="majorEastAsia" w:hAnsi="Times New Roman" w:cs="Times New Roman"/>
      <w:b/>
      <w:noProof/>
      <w:sz w:val="24"/>
      <w:szCs w:val="24"/>
      <w:lang w:val="en-US" w:eastAsia="zh-CN"/>
    </w:rPr>
  </w:style>
  <w:style w:type="character" w:customStyle="1" w:styleId="Heading3Char">
    <w:name w:val="Heading 3 Char"/>
    <w:basedOn w:val="DefaultParagraphFont"/>
    <w:link w:val="Heading3"/>
    <w:uiPriority w:val="9"/>
    <w:rsid w:val="00FC17EF"/>
    <w:rPr>
      <w:rFonts w:ascii="Times New Roman" w:eastAsiaTheme="majorEastAsia" w:hAnsi="Times New Roman" w:cstheme="majorBidi"/>
      <w:b/>
      <w:color w:val="000000" w:themeColor="text1"/>
      <w:sz w:val="24"/>
      <w:szCs w:val="24"/>
      <w:lang w:val="en-US" w:eastAsia="zh-CN"/>
    </w:rPr>
  </w:style>
  <w:style w:type="character" w:customStyle="1" w:styleId="Heading4Char">
    <w:name w:val="Heading 4 Char"/>
    <w:basedOn w:val="DefaultParagraphFont"/>
    <w:link w:val="Heading4"/>
    <w:uiPriority w:val="9"/>
    <w:semiHidden/>
    <w:rsid w:val="00FC17EF"/>
    <w:rPr>
      <w:rFonts w:ascii="Times New Roman" w:eastAsiaTheme="majorEastAsia" w:hAnsi="Times New Roman" w:cstheme="majorBidi"/>
      <w:b/>
      <w:i/>
      <w:iCs/>
      <w:sz w:val="24"/>
      <w:lang w:val="en-US" w:eastAsia="zh-CN"/>
    </w:rPr>
  </w:style>
  <w:style w:type="paragraph" w:customStyle="1" w:styleId="Tabletext">
    <w:name w:val="Table text"/>
    <w:basedOn w:val="Normal"/>
    <w:rsid w:val="00FC17EF"/>
    <w:pPr>
      <w:spacing w:after="0" w:line="240" w:lineRule="auto"/>
    </w:pPr>
    <w:rPr>
      <w:rFonts w:eastAsia="Times New Roman" w:cs="Times New Roman"/>
      <w:szCs w:val="20"/>
      <w:lang w:eastAsia="en-US"/>
    </w:rPr>
  </w:style>
  <w:style w:type="paragraph" w:styleId="BalloonText">
    <w:name w:val="Balloon Text"/>
    <w:basedOn w:val="Normal"/>
    <w:link w:val="BalloonTextChar"/>
    <w:uiPriority w:val="99"/>
    <w:semiHidden/>
    <w:unhideWhenUsed/>
    <w:rsid w:val="00FC17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17EF"/>
    <w:rPr>
      <w:rFonts w:ascii="Tahoma" w:eastAsiaTheme="minorEastAsia" w:hAnsi="Tahoma" w:cs="Tahoma"/>
      <w:sz w:val="16"/>
      <w:szCs w:val="16"/>
      <w:lang w:val="en-US" w:eastAsia="zh-CN"/>
    </w:rPr>
  </w:style>
  <w:style w:type="character" w:styleId="CommentReference">
    <w:name w:val="annotation reference"/>
    <w:basedOn w:val="DefaultParagraphFont"/>
    <w:uiPriority w:val="99"/>
    <w:unhideWhenUsed/>
    <w:rsid w:val="00FC17EF"/>
    <w:rPr>
      <w:sz w:val="16"/>
      <w:szCs w:val="16"/>
    </w:rPr>
  </w:style>
  <w:style w:type="paragraph" w:styleId="CommentText">
    <w:name w:val="annotation text"/>
    <w:aliases w:val=" Char Char, Char,Char,Char Char"/>
    <w:basedOn w:val="Normal"/>
    <w:link w:val="CommentTextChar"/>
    <w:uiPriority w:val="99"/>
    <w:unhideWhenUsed/>
    <w:rsid w:val="00FC17EF"/>
    <w:pPr>
      <w:spacing w:line="240" w:lineRule="auto"/>
    </w:pPr>
    <w:rPr>
      <w:sz w:val="20"/>
      <w:szCs w:val="20"/>
    </w:rPr>
  </w:style>
  <w:style w:type="character" w:customStyle="1" w:styleId="CommentTextChar">
    <w:name w:val="Comment Text Char"/>
    <w:aliases w:val=" Char Char Char, Char Char1,Char Char1,Char Char Char"/>
    <w:basedOn w:val="DefaultParagraphFont"/>
    <w:link w:val="CommentText"/>
    <w:uiPriority w:val="99"/>
    <w:rsid w:val="00FC17EF"/>
    <w:rPr>
      <w:rFonts w:ascii="Times New Roman" w:eastAsiaTheme="minorEastAsia" w:hAnsi="Times New Roman"/>
      <w:sz w:val="20"/>
      <w:szCs w:val="20"/>
      <w:lang w:val="en-US" w:eastAsia="zh-CN"/>
    </w:rPr>
  </w:style>
  <w:style w:type="paragraph" w:styleId="CommentSubject">
    <w:name w:val="annotation subject"/>
    <w:basedOn w:val="CommentText"/>
    <w:next w:val="CommentText"/>
    <w:link w:val="CommentSubjectChar"/>
    <w:uiPriority w:val="99"/>
    <w:semiHidden/>
    <w:unhideWhenUsed/>
    <w:rsid w:val="00FC17EF"/>
    <w:rPr>
      <w:b/>
      <w:bCs/>
    </w:rPr>
  </w:style>
  <w:style w:type="character" w:customStyle="1" w:styleId="CommentSubjectChar">
    <w:name w:val="Comment Subject Char"/>
    <w:basedOn w:val="CommentTextChar"/>
    <w:link w:val="CommentSubject"/>
    <w:uiPriority w:val="99"/>
    <w:semiHidden/>
    <w:rsid w:val="00FC17EF"/>
    <w:rPr>
      <w:rFonts w:ascii="Times New Roman" w:eastAsiaTheme="minorEastAsia" w:hAnsi="Times New Roman"/>
      <w:b/>
      <w:bCs/>
      <w:sz w:val="20"/>
      <w:szCs w:val="20"/>
      <w:lang w:val="en-US" w:eastAsia="zh-CN"/>
    </w:rPr>
  </w:style>
  <w:style w:type="character" w:styleId="Hyperlink">
    <w:name w:val="Hyperlink"/>
    <w:basedOn w:val="DefaultParagraphFont"/>
    <w:uiPriority w:val="99"/>
    <w:unhideWhenUsed/>
    <w:rsid w:val="00FC17EF"/>
    <w:rPr>
      <w:color w:val="0000FF"/>
      <w:u w:val="single"/>
    </w:rPr>
  </w:style>
  <w:style w:type="character" w:customStyle="1" w:styleId="apple-converted-space">
    <w:name w:val="apple-converted-space"/>
    <w:basedOn w:val="DefaultParagraphFont"/>
    <w:rsid w:val="00FC17EF"/>
  </w:style>
  <w:style w:type="character" w:styleId="FollowedHyperlink">
    <w:name w:val="FollowedHyperlink"/>
    <w:basedOn w:val="DefaultParagraphFont"/>
    <w:uiPriority w:val="99"/>
    <w:semiHidden/>
    <w:unhideWhenUsed/>
    <w:rsid w:val="00FC17EF"/>
    <w:rPr>
      <w:color w:val="954F72" w:themeColor="followedHyperlink"/>
      <w:u w:val="single"/>
    </w:rPr>
  </w:style>
  <w:style w:type="character" w:customStyle="1" w:styleId="highlight">
    <w:name w:val="highlight"/>
    <w:basedOn w:val="DefaultParagraphFont"/>
    <w:rsid w:val="00FC17EF"/>
  </w:style>
  <w:style w:type="paragraph" w:styleId="Header">
    <w:name w:val="header"/>
    <w:basedOn w:val="Normal"/>
    <w:link w:val="HeaderChar"/>
    <w:uiPriority w:val="99"/>
    <w:unhideWhenUsed/>
    <w:rsid w:val="00FC1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7EF"/>
    <w:rPr>
      <w:rFonts w:ascii="Times New Roman" w:eastAsiaTheme="minorEastAsia" w:hAnsi="Times New Roman"/>
      <w:sz w:val="24"/>
      <w:lang w:val="en-US" w:eastAsia="zh-CN"/>
    </w:rPr>
  </w:style>
  <w:style w:type="paragraph" w:styleId="Footer">
    <w:name w:val="footer"/>
    <w:basedOn w:val="Normal"/>
    <w:link w:val="FooterChar"/>
    <w:uiPriority w:val="99"/>
    <w:unhideWhenUsed/>
    <w:rsid w:val="00FC1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7EF"/>
    <w:rPr>
      <w:rFonts w:ascii="Times New Roman" w:eastAsiaTheme="minorEastAsia" w:hAnsi="Times New Roman"/>
      <w:sz w:val="24"/>
      <w:lang w:val="en-US" w:eastAsia="zh-CN"/>
    </w:rPr>
  </w:style>
  <w:style w:type="paragraph" w:customStyle="1" w:styleId="BodyText12">
    <w:name w:val="BodyText12"/>
    <w:link w:val="BodyText12Char"/>
    <w:qFormat/>
    <w:rsid w:val="00FC17EF"/>
    <w:pPr>
      <w:spacing w:after="0" w:line="480" w:lineRule="auto"/>
      <w:jc w:val="both"/>
    </w:pPr>
    <w:rPr>
      <w:rFonts w:ascii="Times New Roman" w:eastAsia="Times New Roman" w:hAnsi="Times New Roman" w:cs="Times New Roman"/>
      <w:szCs w:val="20"/>
      <w:lang w:val="en-US"/>
    </w:rPr>
  </w:style>
  <w:style w:type="character" w:customStyle="1" w:styleId="BodyText12Char">
    <w:name w:val="BodyText12 Char"/>
    <w:link w:val="BodyText12"/>
    <w:rsid w:val="00FC17EF"/>
    <w:rPr>
      <w:rFonts w:ascii="Times New Roman" w:eastAsia="Times New Roman" w:hAnsi="Times New Roman" w:cs="Times New Roman"/>
      <w:szCs w:val="20"/>
      <w:lang w:val="en-US"/>
    </w:rPr>
  </w:style>
  <w:style w:type="paragraph" w:styleId="Title">
    <w:name w:val="Title"/>
    <w:basedOn w:val="Normal"/>
    <w:next w:val="Normal"/>
    <w:link w:val="TitleChar"/>
    <w:uiPriority w:val="10"/>
    <w:qFormat/>
    <w:rsid w:val="00FC17EF"/>
    <w:pPr>
      <w:spacing w:after="0" w:line="240" w:lineRule="auto"/>
      <w:contextualSpacing/>
    </w:pPr>
    <w:rPr>
      <w:rFonts w:eastAsiaTheme="majorEastAsia" w:cstheme="majorBidi"/>
      <w:spacing w:val="-10"/>
      <w:kern w:val="28"/>
      <w:szCs w:val="56"/>
    </w:rPr>
  </w:style>
  <w:style w:type="character" w:customStyle="1" w:styleId="TitleChar">
    <w:name w:val="Title Char"/>
    <w:basedOn w:val="DefaultParagraphFont"/>
    <w:link w:val="Title"/>
    <w:uiPriority w:val="10"/>
    <w:rsid w:val="00FC17EF"/>
    <w:rPr>
      <w:rFonts w:ascii="Times New Roman" w:eastAsiaTheme="majorEastAsia" w:hAnsi="Times New Roman" w:cstheme="majorBidi"/>
      <w:spacing w:val="-10"/>
      <w:kern w:val="28"/>
      <w:sz w:val="24"/>
      <w:szCs w:val="56"/>
      <w:lang w:val="en-US" w:eastAsia="zh-CN"/>
    </w:rPr>
  </w:style>
  <w:style w:type="paragraph" w:styleId="Subtitle">
    <w:name w:val="Subtitle"/>
    <w:aliases w:val="tables and figures,Figure and Table label"/>
    <w:basedOn w:val="Heading2"/>
    <w:next w:val="Normal"/>
    <w:link w:val="SubtitleChar"/>
    <w:uiPriority w:val="11"/>
    <w:qFormat/>
    <w:rsid w:val="00FC17EF"/>
    <w:pPr>
      <w:numPr>
        <w:ilvl w:val="1"/>
      </w:numPr>
      <w:spacing w:after="240"/>
    </w:pPr>
    <w:rPr>
      <w:b w:val="0"/>
      <w:spacing w:val="15"/>
    </w:rPr>
  </w:style>
  <w:style w:type="character" w:customStyle="1" w:styleId="SubtitleChar">
    <w:name w:val="Subtitle Char"/>
    <w:aliases w:val="tables and figures Char,Figure and Table label Char"/>
    <w:basedOn w:val="DefaultParagraphFont"/>
    <w:link w:val="Subtitle"/>
    <w:uiPriority w:val="11"/>
    <w:rsid w:val="00FC17EF"/>
    <w:rPr>
      <w:rFonts w:ascii="Times New Roman" w:eastAsiaTheme="majorEastAsia" w:hAnsi="Times New Roman" w:cs="Times New Roman"/>
      <w:noProof/>
      <w:spacing w:val="15"/>
      <w:sz w:val="24"/>
      <w:szCs w:val="24"/>
      <w:lang w:val="en-US" w:eastAsia="zh-CN"/>
    </w:rPr>
  </w:style>
  <w:style w:type="table" w:styleId="TableGrid">
    <w:name w:val="Table Grid"/>
    <w:basedOn w:val="TableNormal"/>
    <w:uiPriority w:val="59"/>
    <w:rsid w:val="00FC17EF"/>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1">
    <w:name w:val="Body Text 11"/>
    <w:qFormat/>
    <w:rsid w:val="00FC17EF"/>
    <w:pPr>
      <w:spacing w:after="180" w:line="240" w:lineRule="auto"/>
      <w:jc w:val="both"/>
    </w:pPr>
    <w:rPr>
      <w:rFonts w:ascii="Times New Roman" w:eastAsia="Times New Roman" w:hAnsi="Times New Roman" w:cs="Times New Roman"/>
      <w:szCs w:val="20"/>
      <w:lang w:val="en-US"/>
    </w:rPr>
  </w:style>
  <w:style w:type="paragraph" w:styleId="Revision">
    <w:name w:val="Revision"/>
    <w:hidden/>
    <w:uiPriority w:val="99"/>
    <w:semiHidden/>
    <w:rsid w:val="00FC17EF"/>
    <w:pPr>
      <w:spacing w:after="0" w:line="240" w:lineRule="auto"/>
    </w:pPr>
    <w:rPr>
      <w:rFonts w:ascii="Arial" w:eastAsiaTheme="minorEastAsia" w:hAnsi="Arial"/>
      <w:sz w:val="24"/>
      <w:lang w:val="en-US" w:eastAsia="zh-CN"/>
    </w:rPr>
  </w:style>
  <w:style w:type="paragraph" w:customStyle="1" w:styleId="Default">
    <w:name w:val="Default"/>
    <w:rsid w:val="00FC17EF"/>
    <w:pPr>
      <w:autoSpaceDE w:val="0"/>
      <w:autoSpaceDN w:val="0"/>
      <w:adjustRightInd w:val="0"/>
      <w:spacing w:after="0" w:line="240" w:lineRule="auto"/>
    </w:pPr>
    <w:rPr>
      <w:rFonts w:ascii="Times New Roman" w:eastAsiaTheme="minorEastAsia" w:hAnsi="Times New Roman" w:cs="Times New Roman"/>
      <w:color w:val="000000"/>
      <w:sz w:val="24"/>
      <w:szCs w:val="24"/>
      <w:lang w:eastAsia="zh-CN"/>
    </w:rPr>
  </w:style>
  <w:style w:type="paragraph" w:customStyle="1" w:styleId="Bullet11-1">
    <w:name w:val="Bullet 11-1"/>
    <w:qFormat/>
    <w:rsid w:val="00FC17EF"/>
    <w:pPr>
      <w:numPr>
        <w:numId w:val="1"/>
      </w:numPr>
      <w:spacing w:after="120" w:line="240" w:lineRule="auto"/>
      <w:jc w:val="both"/>
    </w:pPr>
    <w:rPr>
      <w:rFonts w:ascii="Times New Roman" w:eastAsia="Times New Roman" w:hAnsi="Times New Roman" w:cs="Times New Roman"/>
      <w:szCs w:val="20"/>
      <w:lang w:val="en-US"/>
    </w:rPr>
  </w:style>
  <w:style w:type="paragraph" w:customStyle="1" w:styleId="Bullet11-2">
    <w:name w:val="Bullet 11-2"/>
    <w:qFormat/>
    <w:rsid w:val="00FC17EF"/>
    <w:pPr>
      <w:numPr>
        <w:numId w:val="2"/>
      </w:numPr>
      <w:spacing w:after="120" w:line="240" w:lineRule="auto"/>
      <w:jc w:val="both"/>
    </w:pPr>
    <w:rPr>
      <w:rFonts w:ascii="Times New Roman" w:eastAsia="Times New Roman" w:hAnsi="Times New Roman" w:cs="Times New Roman"/>
      <w:szCs w:val="20"/>
      <w:lang w:val="en-US"/>
    </w:rPr>
  </w:style>
  <w:style w:type="paragraph" w:styleId="ListParagraph">
    <w:name w:val="List Paragraph"/>
    <w:basedOn w:val="Normal"/>
    <w:uiPriority w:val="34"/>
    <w:qFormat/>
    <w:rsid w:val="00FC17EF"/>
    <w:pPr>
      <w:ind w:left="720"/>
    </w:pPr>
    <w:rPr>
      <w:rFonts w:eastAsiaTheme="minorHAnsi" w:cs="Arial"/>
      <w:szCs w:val="24"/>
      <w:lang w:val="en-IN"/>
    </w:rPr>
  </w:style>
  <w:style w:type="paragraph" w:styleId="HTMLPreformatted">
    <w:name w:val="HTML Preformatted"/>
    <w:basedOn w:val="Normal"/>
    <w:link w:val="HTMLPreformattedChar"/>
    <w:uiPriority w:val="99"/>
    <w:unhideWhenUsed/>
    <w:rsid w:val="00FC1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val="en-IN" w:eastAsia="en-IN"/>
    </w:rPr>
  </w:style>
  <w:style w:type="character" w:customStyle="1" w:styleId="HTMLPreformattedChar">
    <w:name w:val="HTML Preformatted Char"/>
    <w:basedOn w:val="DefaultParagraphFont"/>
    <w:link w:val="HTMLPreformatted"/>
    <w:uiPriority w:val="99"/>
    <w:rsid w:val="00FC17EF"/>
    <w:rPr>
      <w:rFonts w:ascii="Courier New" w:eastAsia="Times New Roman" w:hAnsi="Courier New" w:cs="Courier New"/>
      <w:sz w:val="20"/>
      <w:szCs w:val="20"/>
      <w:lang w:eastAsia="en-IN"/>
    </w:rPr>
  </w:style>
  <w:style w:type="character" w:styleId="SubtleEmphasis">
    <w:name w:val="Subtle Emphasis"/>
    <w:basedOn w:val="DefaultParagraphFont"/>
    <w:uiPriority w:val="19"/>
    <w:qFormat/>
    <w:rsid w:val="00FC17EF"/>
    <w:rPr>
      <w:i/>
      <w:iCs/>
      <w:color w:val="404040" w:themeColor="text1" w:themeTint="BF"/>
    </w:rPr>
  </w:style>
  <w:style w:type="paragraph" w:customStyle="1" w:styleId="tablesandfiguresRB">
    <w:name w:val="tables and figures_RB"/>
    <w:basedOn w:val="Heading2"/>
    <w:link w:val="tablesandfiguresRBChar"/>
    <w:autoRedefine/>
    <w:qFormat/>
    <w:rsid w:val="00FC17EF"/>
    <w:pPr>
      <w:spacing w:after="240"/>
    </w:pPr>
    <w:rPr>
      <w:color w:val="0033CC"/>
      <w:spacing w:val="15"/>
    </w:rPr>
  </w:style>
  <w:style w:type="character" w:styleId="Emphasis">
    <w:name w:val="Emphasis"/>
    <w:basedOn w:val="DefaultParagraphFont"/>
    <w:uiPriority w:val="20"/>
    <w:qFormat/>
    <w:rsid w:val="00FC17EF"/>
    <w:rPr>
      <w:i/>
      <w:iCs/>
    </w:rPr>
  </w:style>
  <w:style w:type="character" w:customStyle="1" w:styleId="tablesandfiguresRBChar">
    <w:name w:val="tables and figures_RB Char"/>
    <w:basedOn w:val="SubtitleChar"/>
    <w:link w:val="tablesandfiguresRB"/>
    <w:rsid w:val="00FC17EF"/>
    <w:rPr>
      <w:rFonts w:ascii="Times New Roman" w:eastAsiaTheme="majorEastAsia" w:hAnsi="Times New Roman" w:cs="Times New Roman"/>
      <w:b/>
      <w:noProof/>
      <w:color w:val="0033CC"/>
      <w:spacing w:val="15"/>
      <w:sz w:val="24"/>
      <w:szCs w:val="24"/>
      <w:lang w:val="en-US" w:eastAsia="zh-CN"/>
    </w:rPr>
  </w:style>
  <w:style w:type="paragraph" w:customStyle="1" w:styleId="EndNoteBibliographyTitle">
    <w:name w:val="EndNote Bibliography Title"/>
    <w:basedOn w:val="Normal"/>
    <w:link w:val="EndNoteBibliographyTitleChar"/>
    <w:rsid w:val="00FC17EF"/>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FC17EF"/>
    <w:rPr>
      <w:rFonts w:ascii="Times New Roman" w:eastAsiaTheme="minorEastAsia" w:hAnsi="Times New Roman" w:cs="Times New Roman"/>
      <w:noProof/>
      <w:sz w:val="24"/>
      <w:lang w:val="en-US" w:eastAsia="zh-CN"/>
    </w:rPr>
  </w:style>
  <w:style w:type="paragraph" w:customStyle="1" w:styleId="EndNoteBibliography">
    <w:name w:val="EndNote Bibliography"/>
    <w:basedOn w:val="Normal"/>
    <w:link w:val="EndNoteBibliographyChar"/>
    <w:rsid w:val="00FC17EF"/>
    <w:rPr>
      <w:rFonts w:cs="Times New Roman"/>
      <w:noProof/>
    </w:rPr>
  </w:style>
  <w:style w:type="character" w:customStyle="1" w:styleId="EndNoteBibliographyChar">
    <w:name w:val="EndNote Bibliography Char"/>
    <w:basedOn w:val="DefaultParagraphFont"/>
    <w:link w:val="EndNoteBibliography"/>
    <w:rsid w:val="00FC17EF"/>
    <w:rPr>
      <w:rFonts w:ascii="Times New Roman" w:eastAsiaTheme="minorEastAsia" w:hAnsi="Times New Roman" w:cs="Times New Roman"/>
      <w:noProof/>
      <w:sz w:val="24"/>
      <w:lang w:val="en-US" w:eastAsia="zh-CN"/>
    </w:rPr>
  </w:style>
  <w:style w:type="character" w:styleId="HTMLCite">
    <w:name w:val="HTML Cite"/>
    <w:basedOn w:val="DefaultParagraphFont"/>
    <w:uiPriority w:val="99"/>
    <w:semiHidden/>
    <w:unhideWhenUsed/>
    <w:rsid w:val="00FC17EF"/>
    <w:rPr>
      <w:i/>
      <w:iCs/>
    </w:rPr>
  </w:style>
  <w:style w:type="character" w:customStyle="1" w:styleId="citationyear">
    <w:name w:val="citation_year"/>
    <w:basedOn w:val="DefaultParagraphFont"/>
    <w:rsid w:val="00FC17EF"/>
  </w:style>
  <w:style w:type="character" w:customStyle="1" w:styleId="citationvolume">
    <w:name w:val="citation_volume"/>
    <w:basedOn w:val="DefaultParagraphFont"/>
    <w:rsid w:val="00FC17EF"/>
  </w:style>
  <w:style w:type="paragraph" w:styleId="NoSpacing">
    <w:name w:val="No Spacing"/>
    <w:link w:val="NoSpacingChar"/>
    <w:uiPriority w:val="1"/>
    <w:qFormat/>
    <w:rsid w:val="00FC17E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C17EF"/>
    <w:rPr>
      <w:rFonts w:eastAsiaTheme="minorEastAsia"/>
      <w:lang w:val="en-US"/>
    </w:rPr>
  </w:style>
  <w:style w:type="character" w:customStyle="1" w:styleId="st">
    <w:name w:val="st"/>
    <w:basedOn w:val="DefaultParagraphFont"/>
    <w:rsid w:val="00FC17EF"/>
  </w:style>
  <w:style w:type="character" w:styleId="LineNumber">
    <w:name w:val="line number"/>
    <w:basedOn w:val="DefaultParagraphFont"/>
    <w:uiPriority w:val="99"/>
    <w:semiHidden/>
    <w:unhideWhenUsed/>
    <w:rsid w:val="00FC17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tif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SCHMID4@its.jnj.com" TargetMode="External"/><Relationship Id="rId12" Type="http://schemas.openxmlformats.org/officeDocument/2006/relationships/image" Target="media/image4.tif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8.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tiff"/><Relationship Id="rId5" Type="http://schemas.openxmlformats.org/officeDocument/2006/relationships/footnotes" Target="footnotes.xml"/><Relationship Id="rId15" Type="http://schemas.openxmlformats.org/officeDocument/2006/relationships/image" Target="media/image7.tiff"/><Relationship Id="rId10" Type="http://schemas.openxmlformats.org/officeDocument/2006/relationships/image" Target="media/image2.tif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3785</Words>
  <Characters>21122</Characters>
  <Application>Microsoft Office Word</Application>
  <DocSecurity>0</DocSecurity>
  <Lines>480</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Bhandari, Rohit [Rohit.Bhandari@siroclinpharm.com]</dc:creator>
  <cp:keywords/>
  <dc:description/>
  <cp:lastModifiedBy>Julie Vo</cp:lastModifiedBy>
  <cp:revision>2</cp:revision>
  <dcterms:created xsi:type="dcterms:W3CDTF">2018-02-06T15:45:00Z</dcterms:created>
  <dcterms:modified xsi:type="dcterms:W3CDTF">2018-02-06T15:45:00Z</dcterms:modified>
</cp:coreProperties>
</file>