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6173" w14:textId="7671D534" w:rsidR="009C124E" w:rsidRPr="008340F1" w:rsidRDefault="006F3A4E">
      <w:pPr>
        <w:rPr>
          <w:rFonts w:ascii="Arial" w:hAnsi="Arial" w:cs="Arial"/>
          <w:b/>
          <w:bCs/>
          <w:sz w:val="28"/>
          <w:szCs w:val="28"/>
        </w:rPr>
      </w:pPr>
      <w:r w:rsidRPr="008340F1">
        <w:rPr>
          <w:rFonts w:ascii="Arial" w:hAnsi="Arial" w:cs="Arial"/>
          <w:b/>
          <w:bCs/>
          <w:sz w:val="28"/>
          <w:szCs w:val="28"/>
        </w:rPr>
        <w:t>Supplementary Data</w:t>
      </w:r>
    </w:p>
    <w:p w14:paraId="4F5B50ED" w14:textId="4FF7DAE7" w:rsidR="00D3317B" w:rsidRPr="008340F1" w:rsidRDefault="00501911">
      <w:pPr>
        <w:rPr>
          <w:rFonts w:ascii="Arial" w:hAnsi="Arial" w:cs="Arial"/>
          <w:b/>
          <w:bCs/>
        </w:rPr>
      </w:pPr>
      <w:r w:rsidRPr="008340F1">
        <w:rPr>
          <w:rFonts w:ascii="Arial" w:hAnsi="Arial" w:cs="Arial"/>
          <w:b/>
          <w:bCs/>
        </w:rPr>
        <w:t xml:space="preserve">Supplementary </w:t>
      </w:r>
      <w:r w:rsidR="0079273F" w:rsidRPr="008340F1">
        <w:rPr>
          <w:rFonts w:ascii="Arial" w:hAnsi="Arial" w:cs="Arial"/>
          <w:b/>
          <w:bCs/>
        </w:rPr>
        <w:t>Table</w:t>
      </w:r>
      <w:r w:rsidRPr="008340F1">
        <w:rPr>
          <w:rFonts w:ascii="Arial" w:hAnsi="Arial" w:cs="Arial"/>
          <w:b/>
          <w:bCs/>
        </w:rPr>
        <w:t xml:space="preserve"> </w:t>
      </w:r>
      <w:r w:rsidRPr="008340F1">
        <w:rPr>
          <w:rFonts w:ascii="Arial" w:hAnsi="Arial" w:cs="Arial"/>
          <w:b/>
          <w:bCs/>
        </w:rPr>
        <w:t>S</w:t>
      </w:r>
      <w:r w:rsidRPr="008340F1">
        <w:rPr>
          <w:rFonts w:ascii="Arial" w:hAnsi="Arial" w:cs="Arial"/>
          <w:b/>
          <w:bCs/>
        </w:rPr>
        <w:t>1</w:t>
      </w:r>
      <w:r w:rsidR="008E0883" w:rsidRPr="008340F1">
        <w:rPr>
          <w:rFonts w:ascii="Arial" w:hAnsi="Arial" w:cs="Arial"/>
          <w:b/>
          <w:bCs/>
        </w:rPr>
        <w:t xml:space="preserve">. </w:t>
      </w:r>
      <w:r w:rsidR="00671652" w:rsidRPr="008340F1">
        <w:rPr>
          <w:rFonts w:ascii="Arial" w:hAnsi="Arial" w:cs="Arial"/>
          <w:b/>
          <w:bCs/>
        </w:rPr>
        <w:t>Final search strategies for electronic databases and grey literature sources</w:t>
      </w:r>
      <w:r w:rsidR="00671652" w:rsidRPr="008340F1">
        <w:rPr>
          <w:rFonts w:ascii="Arial" w:hAnsi="Arial" w:cs="Arial"/>
          <w:b/>
          <w:bCs/>
        </w:rPr>
        <w:t>.</w:t>
      </w:r>
    </w:p>
    <w:tbl>
      <w:tblPr>
        <w:tblStyle w:val="TableGridLight"/>
        <w:tblW w:w="0" w:type="auto"/>
        <w:tblLayout w:type="fixed"/>
        <w:tblLook w:val="04A0" w:firstRow="1" w:lastRow="0" w:firstColumn="1" w:lastColumn="0" w:noHBand="0" w:noVBand="1"/>
      </w:tblPr>
      <w:tblGrid>
        <w:gridCol w:w="1271"/>
        <w:gridCol w:w="1134"/>
        <w:gridCol w:w="1418"/>
        <w:gridCol w:w="992"/>
        <w:gridCol w:w="4201"/>
      </w:tblGrid>
      <w:tr w:rsidR="008B0723" w:rsidRPr="008340F1" w14:paraId="6DE560DC" w14:textId="77777777" w:rsidTr="008B2F47">
        <w:tc>
          <w:tcPr>
            <w:tcW w:w="1271" w:type="dxa"/>
            <w:hideMark/>
          </w:tcPr>
          <w:p w14:paraId="36A47AE7" w14:textId="77777777" w:rsidR="008B0723" w:rsidRPr="008340F1" w:rsidRDefault="008B0723" w:rsidP="008B0723">
            <w:pPr>
              <w:spacing w:after="160" w:line="259" w:lineRule="auto"/>
              <w:rPr>
                <w:rFonts w:ascii="Arial" w:hAnsi="Arial" w:cs="Arial"/>
              </w:rPr>
            </w:pPr>
            <w:r w:rsidRPr="008340F1">
              <w:rPr>
                <w:rFonts w:ascii="Arial" w:hAnsi="Arial" w:cs="Arial"/>
              </w:rPr>
              <w:t>Database / source</w:t>
            </w:r>
          </w:p>
        </w:tc>
        <w:tc>
          <w:tcPr>
            <w:tcW w:w="1134" w:type="dxa"/>
            <w:hideMark/>
          </w:tcPr>
          <w:p w14:paraId="5F0BC197" w14:textId="77777777" w:rsidR="008B0723" w:rsidRPr="008340F1" w:rsidRDefault="008B0723" w:rsidP="008B0723">
            <w:pPr>
              <w:spacing w:after="160" w:line="259" w:lineRule="auto"/>
              <w:rPr>
                <w:rFonts w:ascii="Arial" w:hAnsi="Arial" w:cs="Arial"/>
              </w:rPr>
            </w:pPr>
            <w:r w:rsidRPr="008340F1">
              <w:rPr>
                <w:rFonts w:ascii="Arial" w:hAnsi="Arial" w:cs="Arial"/>
              </w:rPr>
              <w:t>Date searched</w:t>
            </w:r>
          </w:p>
        </w:tc>
        <w:tc>
          <w:tcPr>
            <w:tcW w:w="1418" w:type="dxa"/>
            <w:hideMark/>
          </w:tcPr>
          <w:p w14:paraId="610E973E" w14:textId="77777777" w:rsidR="008B0723" w:rsidRPr="008340F1" w:rsidRDefault="008B0723" w:rsidP="008B0723">
            <w:pPr>
              <w:spacing w:after="160" w:line="259" w:lineRule="auto"/>
              <w:rPr>
                <w:rFonts w:ascii="Arial" w:hAnsi="Arial" w:cs="Arial"/>
              </w:rPr>
            </w:pPr>
            <w:r w:rsidRPr="008340F1">
              <w:rPr>
                <w:rFonts w:ascii="Arial" w:hAnsi="Arial" w:cs="Arial"/>
              </w:rPr>
              <w:t>Limits / restrictions</w:t>
            </w:r>
          </w:p>
        </w:tc>
        <w:tc>
          <w:tcPr>
            <w:tcW w:w="992" w:type="dxa"/>
            <w:hideMark/>
          </w:tcPr>
          <w:p w14:paraId="07CD1A1E" w14:textId="77777777" w:rsidR="008B0723" w:rsidRPr="008340F1" w:rsidRDefault="008B0723" w:rsidP="008B0723">
            <w:pPr>
              <w:spacing w:after="160" w:line="259" w:lineRule="auto"/>
              <w:rPr>
                <w:rFonts w:ascii="Arial" w:hAnsi="Arial" w:cs="Arial"/>
              </w:rPr>
            </w:pPr>
            <w:r w:rsidRPr="008340F1">
              <w:rPr>
                <w:rFonts w:ascii="Arial" w:hAnsi="Arial" w:cs="Arial"/>
              </w:rPr>
              <w:t>Search results</w:t>
            </w:r>
          </w:p>
        </w:tc>
        <w:tc>
          <w:tcPr>
            <w:tcW w:w="4201" w:type="dxa"/>
            <w:hideMark/>
          </w:tcPr>
          <w:p w14:paraId="626F9649" w14:textId="77777777" w:rsidR="008B0723" w:rsidRPr="008340F1" w:rsidRDefault="008B0723" w:rsidP="008B0723">
            <w:pPr>
              <w:spacing w:after="160" w:line="259" w:lineRule="auto"/>
              <w:rPr>
                <w:rFonts w:ascii="Arial" w:hAnsi="Arial" w:cs="Arial"/>
              </w:rPr>
            </w:pPr>
            <w:r w:rsidRPr="008340F1">
              <w:rPr>
                <w:rFonts w:ascii="Arial" w:hAnsi="Arial" w:cs="Arial"/>
              </w:rPr>
              <w:t>Search strategy</w:t>
            </w:r>
          </w:p>
        </w:tc>
      </w:tr>
      <w:tr w:rsidR="008B0723" w:rsidRPr="008340F1" w14:paraId="57F0231B" w14:textId="77777777" w:rsidTr="008B2F47">
        <w:tc>
          <w:tcPr>
            <w:tcW w:w="1271" w:type="dxa"/>
            <w:hideMark/>
          </w:tcPr>
          <w:p w14:paraId="13C1B8CF" w14:textId="77777777" w:rsidR="008B0723" w:rsidRPr="008340F1" w:rsidRDefault="008B0723" w:rsidP="008B0723">
            <w:pPr>
              <w:spacing w:after="160" w:line="259" w:lineRule="auto"/>
              <w:rPr>
                <w:rFonts w:ascii="Arial" w:hAnsi="Arial" w:cs="Arial"/>
              </w:rPr>
            </w:pPr>
            <w:r w:rsidRPr="008340F1">
              <w:rPr>
                <w:rFonts w:ascii="Arial" w:hAnsi="Arial" w:cs="Arial"/>
              </w:rPr>
              <w:t>MEDLINE, EMBASE, APA PsycInfo (via Ovid)</w:t>
            </w:r>
          </w:p>
        </w:tc>
        <w:tc>
          <w:tcPr>
            <w:tcW w:w="1134" w:type="dxa"/>
            <w:hideMark/>
          </w:tcPr>
          <w:p w14:paraId="09DB8B6F" w14:textId="77777777" w:rsidR="008B0723" w:rsidRPr="008340F1" w:rsidRDefault="008B0723" w:rsidP="008B0723">
            <w:pPr>
              <w:spacing w:after="160" w:line="259" w:lineRule="auto"/>
              <w:rPr>
                <w:rFonts w:ascii="Arial" w:hAnsi="Arial" w:cs="Arial"/>
              </w:rPr>
            </w:pPr>
            <w:r w:rsidRPr="008340F1">
              <w:rPr>
                <w:rFonts w:ascii="Arial" w:hAnsi="Arial" w:cs="Arial"/>
              </w:rPr>
              <w:t>6 March 2026</w:t>
            </w:r>
          </w:p>
        </w:tc>
        <w:tc>
          <w:tcPr>
            <w:tcW w:w="1418" w:type="dxa"/>
            <w:hideMark/>
          </w:tcPr>
          <w:p w14:paraId="4680D792" w14:textId="26E48347" w:rsidR="008B0723" w:rsidRPr="008340F1" w:rsidRDefault="008B0723" w:rsidP="008B0723">
            <w:pPr>
              <w:spacing w:after="160" w:line="259" w:lineRule="auto"/>
              <w:rPr>
                <w:rFonts w:ascii="Arial" w:hAnsi="Arial" w:cs="Arial"/>
              </w:rPr>
            </w:pPr>
            <w:r w:rsidRPr="008340F1">
              <w:rPr>
                <w:rFonts w:ascii="Arial" w:hAnsi="Arial" w:cs="Arial"/>
              </w:rPr>
              <w:t>No limits</w:t>
            </w:r>
            <w:r w:rsidRPr="008340F1">
              <w:rPr>
                <w:rFonts w:ascii="Arial" w:hAnsi="Arial" w:cs="Arial"/>
              </w:rPr>
              <w:t xml:space="preserve"> </w:t>
            </w:r>
            <w:r w:rsidRPr="008340F1">
              <w:rPr>
                <w:rFonts w:ascii="Arial" w:hAnsi="Arial" w:cs="Arial"/>
              </w:rPr>
              <w:t>/</w:t>
            </w:r>
            <w:r w:rsidRPr="008340F1">
              <w:rPr>
                <w:rFonts w:ascii="Arial" w:hAnsi="Arial" w:cs="Arial"/>
              </w:rPr>
              <w:t xml:space="preserve"> </w:t>
            </w:r>
            <w:r w:rsidRPr="008340F1">
              <w:rPr>
                <w:rFonts w:ascii="Arial" w:hAnsi="Arial" w:cs="Arial"/>
              </w:rPr>
              <w:t>restrictions</w:t>
            </w:r>
          </w:p>
        </w:tc>
        <w:tc>
          <w:tcPr>
            <w:tcW w:w="992" w:type="dxa"/>
            <w:hideMark/>
          </w:tcPr>
          <w:p w14:paraId="57DAE95C" w14:textId="77777777" w:rsidR="008B0723" w:rsidRPr="008340F1" w:rsidRDefault="008B0723" w:rsidP="008B0723">
            <w:pPr>
              <w:spacing w:after="160" w:line="259" w:lineRule="auto"/>
              <w:rPr>
                <w:rFonts w:ascii="Arial" w:hAnsi="Arial" w:cs="Arial"/>
              </w:rPr>
            </w:pPr>
            <w:r w:rsidRPr="008340F1">
              <w:rPr>
                <w:rFonts w:ascii="Arial" w:hAnsi="Arial" w:cs="Arial"/>
              </w:rPr>
              <w:t>251</w:t>
            </w:r>
          </w:p>
        </w:tc>
        <w:tc>
          <w:tcPr>
            <w:tcW w:w="4201" w:type="dxa"/>
            <w:hideMark/>
          </w:tcPr>
          <w:p w14:paraId="043748CA" w14:textId="77777777" w:rsidR="008B0723" w:rsidRPr="008340F1" w:rsidRDefault="008B0723" w:rsidP="008B0723">
            <w:pPr>
              <w:spacing w:after="160" w:line="259" w:lineRule="auto"/>
              <w:rPr>
                <w:rFonts w:ascii="Arial" w:hAnsi="Arial" w:cs="Arial"/>
              </w:rPr>
            </w:pPr>
            <w:r w:rsidRPr="008340F1">
              <w:rPr>
                <w:rFonts w:ascii="Arial" w:hAnsi="Arial" w:cs="Arial"/>
              </w:rPr>
              <w:t>Concept 1: Post-infection conditions (long-covid* or post-covid* or PASC or myalgic encephalomyelitis or chronic fatigue syndrome or "ME/CFS" or CFS or post-viral or post viral or post-viral syndrome* or post-infect* or post infectious syndrome* or post-acute infect* or post-acute covid*) AND Concept 2: General practice / primary care (primary care or primary health care or primary healthcare or general practitioner* or general practic* or GP or general medical practice or family practi* or family physician or family practitioner or family medicine or primary care network* or PCN or community health cent*) AND Concept 3: Management and support approaches (self-management or self-manag* or self-care or self-regulation or self-monitoring or health coaching or social prescrib* or personalised care or personalized care or care coordination or care model or service model or service delivery or rehabilitation or treatment or intervention*) AND Concept 4: UK setting (United Kingdom or UK or England or Scotland or Wales or Northern Ireland or NHS)</w:t>
            </w:r>
          </w:p>
        </w:tc>
      </w:tr>
      <w:tr w:rsidR="008B0723" w:rsidRPr="008340F1" w14:paraId="2BB66250" w14:textId="77777777" w:rsidTr="008B2F47">
        <w:tc>
          <w:tcPr>
            <w:tcW w:w="1271" w:type="dxa"/>
            <w:hideMark/>
          </w:tcPr>
          <w:p w14:paraId="327FA5B7" w14:textId="77777777" w:rsidR="008B0723" w:rsidRPr="008340F1" w:rsidRDefault="008B0723" w:rsidP="008B0723">
            <w:pPr>
              <w:spacing w:after="160" w:line="259" w:lineRule="auto"/>
              <w:rPr>
                <w:rFonts w:ascii="Arial" w:hAnsi="Arial" w:cs="Arial"/>
              </w:rPr>
            </w:pPr>
            <w:r w:rsidRPr="008340F1">
              <w:rPr>
                <w:rFonts w:ascii="Arial" w:hAnsi="Arial" w:cs="Arial"/>
              </w:rPr>
              <w:t>CINAHL (via EBSCOhost)</w:t>
            </w:r>
          </w:p>
        </w:tc>
        <w:tc>
          <w:tcPr>
            <w:tcW w:w="1134" w:type="dxa"/>
            <w:hideMark/>
          </w:tcPr>
          <w:p w14:paraId="66052E53" w14:textId="77777777" w:rsidR="008B0723" w:rsidRPr="008340F1" w:rsidRDefault="008B0723" w:rsidP="008B0723">
            <w:pPr>
              <w:spacing w:after="160" w:line="259" w:lineRule="auto"/>
              <w:rPr>
                <w:rFonts w:ascii="Arial" w:hAnsi="Arial" w:cs="Arial"/>
              </w:rPr>
            </w:pPr>
            <w:r w:rsidRPr="008340F1">
              <w:rPr>
                <w:rFonts w:ascii="Arial" w:hAnsi="Arial" w:cs="Arial"/>
              </w:rPr>
              <w:t>6 March 2026</w:t>
            </w:r>
          </w:p>
        </w:tc>
        <w:tc>
          <w:tcPr>
            <w:tcW w:w="1418" w:type="dxa"/>
            <w:hideMark/>
          </w:tcPr>
          <w:p w14:paraId="6FCF25FA" w14:textId="57854BEF" w:rsidR="008B0723" w:rsidRPr="008340F1" w:rsidRDefault="008B0723" w:rsidP="008B0723">
            <w:pPr>
              <w:spacing w:after="160" w:line="259" w:lineRule="auto"/>
              <w:rPr>
                <w:rFonts w:ascii="Arial" w:hAnsi="Arial" w:cs="Arial"/>
              </w:rPr>
            </w:pPr>
            <w:r w:rsidRPr="008340F1">
              <w:rPr>
                <w:rFonts w:ascii="Arial" w:hAnsi="Arial" w:cs="Arial"/>
              </w:rPr>
              <w:t>No limits</w:t>
            </w:r>
            <w:r w:rsidR="008B2F47" w:rsidRPr="008340F1">
              <w:rPr>
                <w:rFonts w:ascii="Arial" w:hAnsi="Arial" w:cs="Arial"/>
              </w:rPr>
              <w:t xml:space="preserve"> </w:t>
            </w:r>
            <w:r w:rsidRPr="008340F1">
              <w:rPr>
                <w:rFonts w:ascii="Arial" w:hAnsi="Arial" w:cs="Arial"/>
              </w:rPr>
              <w:t>/</w:t>
            </w:r>
            <w:r w:rsidR="008B2F47" w:rsidRPr="008340F1">
              <w:rPr>
                <w:rFonts w:ascii="Arial" w:hAnsi="Arial" w:cs="Arial"/>
              </w:rPr>
              <w:t xml:space="preserve"> </w:t>
            </w:r>
            <w:r w:rsidRPr="008340F1">
              <w:rPr>
                <w:rFonts w:ascii="Arial" w:hAnsi="Arial" w:cs="Arial"/>
              </w:rPr>
              <w:t>restrictions</w:t>
            </w:r>
          </w:p>
        </w:tc>
        <w:tc>
          <w:tcPr>
            <w:tcW w:w="992" w:type="dxa"/>
            <w:hideMark/>
          </w:tcPr>
          <w:p w14:paraId="78F0E360" w14:textId="77777777" w:rsidR="008B0723" w:rsidRPr="008340F1" w:rsidRDefault="008B0723" w:rsidP="008B0723">
            <w:pPr>
              <w:spacing w:after="160" w:line="259" w:lineRule="auto"/>
              <w:rPr>
                <w:rFonts w:ascii="Arial" w:hAnsi="Arial" w:cs="Arial"/>
              </w:rPr>
            </w:pPr>
            <w:r w:rsidRPr="008340F1">
              <w:rPr>
                <w:rFonts w:ascii="Arial" w:hAnsi="Arial" w:cs="Arial"/>
              </w:rPr>
              <w:t>48</w:t>
            </w:r>
          </w:p>
        </w:tc>
        <w:tc>
          <w:tcPr>
            <w:tcW w:w="4201" w:type="dxa"/>
            <w:hideMark/>
          </w:tcPr>
          <w:p w14:paraId="4C4FC7F2" w14:textId="77777777" w:rsidR="008B0723" w:rsidRPr="008340F1" w:rsidRDefault="008B0723" w:rsidP="008B0723">
            <w:pPr>
              <w:spacing w:after="160" w:line="259" w:lineRule="auto"/>
              <w:rPr>
                <w:rFonts w:ascii="Arial" w:hAnsi="Arial" w:cs="Arial"/>
              </w:rPr>
            </w:pPr>
            <w:r w:rsidRPr="008340F1">
              <w:rPr>
                <w:rFonts w:ascii="Arial" w:hAnsi="Arial" w:cs="Arial"/>
              </w:rPr>
              <w:t xml:space="preserve">(long-covid* or post-covid* or PASC or myalgic encephalomyelitis or chronic fatigue syndrome or "ME/CFS" or CFS or post-viral or post viral or post-viral syndrome* or post-infect* or post infectious syndrome* or post-acute infect* or post-acute covid*) AND (primary care or primary health care or primary healthcare or general practitioner* or general practic* or GP or general medical practice or family practi* or family physician or family practitioner or family medicine or primary care network* or PCN or community health </w:t>
            </w:r>
            <w:r w:rsidRPr="008340F1">
              <w:rPr>
                <w:rFonts w:ascii="Arial" w:hAnsi="Arial" w:cs="Arial"/>
              </w:rPr>
              <w:lastRenderedPageBreak/>
              <w:t>cent*) AND (self-management or self-manag* or self-care or self-regulation or self-monitoring or health coaching or social prescrib* or personalised care or personalized care or care coordination or care model or service model or service delivery or rehabilitation or treatment or intervention*) AND (United Kingdom or UK or England or Scotland or Wales or Northern Ireland or NHS)</w:t>
            </w:r>
          </w:p>
        </w:tc>
      </w:tr>
      <w:tr w:rsidR="008B0723" w:rsidRPr="008340F1" w14:paraId="050F65AF" w14:textId="77777777" w:rsidTr="008B2F47">
        <w:tc>
          <w:tcPr>
            <w:tcW w:w="1271" w:type="dxa"/>
            <w:hideMark/>
          </w:tcPr>
          <w:p w14:paraId="0EE650E9" w14:textId="77777777" w:rsidR="008B0723" w:rsidRPr="008340F1" w:rsidRDefault="008B0723" w:rsidP="008B0723">
            <w:pPr>
              <w:spacing w:after="160" w:line="259" w:lineRule="auto"/>
              <w:rPr>
                <w:rFonts w:ascii="Arial" w:hAnsi="Arial" w:cs="Arial"/>
              </w:rPr>
            </w:pPr>
            <w:r w:rsidRPr="008340F1">
              <w:rPr>
                <w:rFonts w:ascii="Arial" w:hAnsi="Arial" w:cs="Arial"/>
              </w:rPr>
              <w:lastRenderedPageBreak/>
              <w:t>Cochrane Library</w:t>
            </w:r>
          </w:p>
        </w:tc>
        <w:tc>
          <w:tcPr>
            <w:tcW w:w="1134" w:type="dxa"/>
            <w:hideMark/>
          </w:tcPr>
          <w:p w14:paraId="34BAB6D0" w14:textId="77777777" w:rsidR="008B0723" w:rsidRPr="008340F1" w:rsidRDefault="008B0723" w:rsidP="008B0723">
            <w:pPr>
              <w:spacing w:after="160" w:line="259" w:lineRule="auto"/>
              <w:rPr>
                <w:rFonts w:ascii="Arial" w:hAnsi="Arial" w:cs="Arial"/>
              </w:rPr>
            </w:pPr>
            <w:r w:rsidRPr="008340F1">
              <w:rPr>
                <w:rFonts w:ascii="Arial" w:hAnsi="Arial" w:cs="Arial"/>
              </w:rPr>
              <w:t>6 March 2026</w:t>
            </w:r>
          </w:p>
        </w:tc>
        <w:tc>
          <w:tcPr>
            <w:tcW w:w="1418" w:type="dxa"/>
            <w:hideMark/>
          </w:tcPr>
          <w:p w14:paraId="7A041DEE" w14:textId="4C9AD376" w:rsidR="008B0723" w:rsidRPr="008340F1" w:rsidRDefault="008B0723" w:rsidP="008B0723">
            <w:pPr>
              <w:spacing w:after="160" w:line="259" w:lineRule="auto"/>
              <w:rPr>
                <w:rFonts w:ascii="Arial" w:hAnsi="Arial" w:cs="Arial"/>
              </w:rPr>
            </w:pPr>
            <w:r w:rsidRPr="008340F1">
              <w:rPr>
                <w:rFonts w:ascii="Arial" w:hAnsi="Arial" w:cs="Arial"/>
              </w:rPr>
              <w:t>No limits</w:t>
            </w:r>
            <w:r w:rsidR="008B2F47" w:rsidRPr="008340F1">
              <w:rPr>
                <w:rFonts w:ascii="Arial" w:hAnsi="Arial" w:cs="Arial"/>
              </w:rPr>
              <w:t xml:space="preserve"> </w:t>
            </w:r>
            <w:r w:rsidRPr="008340F1">
              <w:rPr>
                <w:rFonts w:ascii="Arial" w:hAnsi="Arial" w:cs="Arial"/>
              </w:rPr>
              <w:t>/</w:t>
            </w:r>
            <w:r w:rsidR="008B2F47" w:rsidRPr="008340F1">
              <w:rPr>
                <w:rFonts w:ascii="Arial" w:hAnsi="Arial" w:cs="Arial"/>
              </w:rPr>
              <w:t xml:space="preserve"> </w:t>
            </w:r>
            <w:r w:rsidRPr="008340F1">
              <w:rPr>
                <w:rFonts w:ascii="Arial" w:hAnsi="Arial" w:cs="Arial"/>
              </w:rPr>
              <w:t>restrictions</w:t>
            </w:r>
          </w:p>
        </w:tc>
        <w:tc>
          <w:tcPr>
            <w:tcW w:w="992" w:type="dxa"/>
            <w:hideMark/>
          </w:tcPr>
          <w:p w14:paraId="0AFD2189" w14:textId="1ACBA645" w:rsidR="008B0723" w:rsidRPr="008340F1" w:rsidRDefault="008B0723" w:rsidP="008B0723">
            <w:pPr>
              <w:spacing w:after="160" w:line="259" w:lineRule="auto"/>
              <w:rPr>
                <w:rFonts w:ascii="Arial" w:hAnsi="Arial" w:cs="Arial"/>
              </w:rPr>
            </w:pPr>
            <w:r w:rsidRPr="008340F1">
              <w:rPr>
                <w:rFonts w:ascii="Arial" w:hAnsi="Arial" w:cs="Arial"/>
              </w:rPr>
              <w:t>125</w:t>
            </w:r>
          </w:p>
        </w:tc>
        <w:tc>
          <w:tcPr>
            <w:tcW w:w="4201" w:type="dxa"/>
            <w:hideMark/>
          </w:tcPr>
          <w:p w14:paraId="2BFC31CE" w14:textId="77777777" w:rsidR="008B0723" w:rsidRPr="008340F1" w:rsidRDefault="008B0723" w:rsidP="008B0723">
            <w:pPr>
              <w:spacing w:after="160" w:line="259" w:lineRule="auto"/>
              <w:rPr>
                <w:rFonts w:ascii="Arial" w:hAnsi="Arial" w:cs="Arial"/>
              </w:rPr>
            </w:pPr>
            <w:r w:rsidRPr="008340F1">
              <w:rPr>
                <w:rFonts w:ascii="Arial" w:hAnsi="Arial" w:cs="Arial"/>
              </w:rPr>
              <w:t>(long-covid* or post-covid* or PASC or myalgic encephalomyelitis or chronic fatigue syndrome or "ME/CFS" or CFS or post-viral or post viral or post-viral syndrome* or post-infect* or post infectious syndrome* or post-acute infect* or post-acute covid*) AND (primary care or primary health care or primary healthcare or general practitioner* or general practic* or GP or general medical practice or family practi* or family physician or family practitioner or family medicine or primary care network* or PCN or community health cent*) AND (self-management or self-manag* or self-care or self-regulation or self-monitoring or health coaching or social prescrib* or personalised care or personalized care or care coordination or care model or service model or service delivery or rehabilitation or treatment or intervention*) AND (United Kingdom or UK or England or Scotland or Wales or Northern Ireland or NHS)</w:t>
            </w:r>
          </w:p>
        </w:tc>
      </w:tr>
      <w:tr w:rsidR="008B0723" w:rsidRPr="008340F1" w14:paraId="387E8E14" w14:textId="77777777" w:rsidTr="008B2F47">
        <w:tc>
          <w:tcPr>
            <w:tcW w:w="1271" w:type="dxa"/>
            <w:hideMark/>
          </w:tcPr>
          <w:p w14:paraId="3ABCA6BE" w14:textId="77777777" w:rsidR="008B0723" w:rsidRPr="008340F1" w:rsidRDefault="008B0723" w:rsidP="008B0723">
            <w:pPr>
              <w:spacing w:after="160" w:line="259" w:lineRule="auto"/>
              <w:rPr>
                <w:rFonts w:ascii="Arial" w:hAnsi="Arial" w:cs="Arial"/>
              </w:rPr>
            </w:pPr>
            <w:r w:rsidRPr="008340F1">
              <w:rPr>
                <w:rFonts w:ascii="Arial" w:hAnsi="Arial" w:cs="Arial"/>
              </w:rPr>
              <w:t>The King's Fund Library Database</w:t>
            </w:r>
          </w:p>
        </w:tc>
        <w:tc>
          <w:tcPr>
            <w:tcW w:w="1134" w:type="dxa"/>
            <w:hideMark/>
          </w:tcPr>
          <w:p w14:paraId="72559B64" w14:textId="77777777" w:rsidR="008B0723" w:rsidRPr="008340F1" w:rsidRDefault="008B0723" w:rsidP="008B0723">
            <w:pPr>
              <w:spacing w:after="160" w:line="259" w:lineRule="auto"/>
              <w:rPr>
                <w:rFonts w:ascii="Arial" w:hAnsi="Arial" w:cs="Arial"/>
              </w:rPr>
            </w:pPr>
            <w:r w:rsidRPr="008340F1">
              <w:rPr>
                <w:rFonts w:ascii="Arial" w:hAnsi="Arial" w:cs="Arial"/>
              </w:rPr>
              <w:t>6 March 2026</w:t>
            </w:r>
          </w:p>
        </w:tc>
        <w:tc>
          <w:tcPr>
            <w:tcW w:w="1418" w:type="dxa"/>
            <w:hideMark/>
          </w:tcPr>
          <w:p w14:paraId="59373966" w14:textId="5D58C957" w:rsidR="008B0723" w:rsidRPr="008340F1" w:rsidRDefault="008B0723" w:rsidP="008B0723">
            <w:pPr>
              <w:spacing w:after="160" w:line="259" w:lineRule="auto"/>
              <w:rPr>
                <w:rFonts w:ascii="Arial" w:hAnsi="Arial" w:cs="Arial"/>
              </w:rPr>
            </w:pPr>
            <w:r w:rsidRPr="008340F1">
              <w:rPr>
                <w:rFonts w:ascii="Arial" w:hAnsi="Arial" w:cs="Arial"/>
              </w:rPr>
              <w:t>No limits</w:t>
            </w:r>
            <w:r w:rsidR="008B2F47" w:rsidRPr="008340F1">
              <w:rPr>
                <w:rFonts w:ascii="Arial" w:hAnsi="Arial" w:cs="Arial"/>
              </w:rPr>
              <w:t xml:space="preserve"> </w:t>
            </w:r>
            <w:r w:rsidRPr="008340F1">
              <w:rPr>
                <w:rFonts w:ascii="Arial" w:hAnsi="Arial" w:cs="Arial"/>
              </w:rPr>
              <w:t>/</w:t>
            </w:r>
            <w:r w:rsidR="008B2F47" w:rsidRPr="008340F1">
              <w:rPr>
                <w:rFonts w:ascii="Arial" w:hAnsi="Arial" w:cs="Arial"/>
              </w:rPr>
              <w:t xml:space="preserve"> </w:t>
            </w:r>
            <w:r w:rsidRPr="008340F1">
              <w:rPr>
                <w:rFonts w:ascii="Arial" w:hAnsi="Arial" w:cs="Arial"/>
              </w:rPr>
              <w:t>restrictions</w:t>
            </w:r>
          </w:p>
        </w:tc>
        <w:tc>
          <w:tcPr>
            <w:tcW w:w="992" w:type="dxa"/>
            <w:hideMark/>
          </w:tcPr>
          <w:p w14:paraId="36A1D173" w14:textId="77777777" w:rsidR="008B0723" w:rsidRPr="008340F1" w:rsidRDefault="008B0723" w:rsidP="008B0723">
            <w:pPr>
              <w:spacing w:after="160" w:line="259" w:lineRule="auto"/>
              <w:rPr>
                <w:rFonts w:ascii="Arial" w:hAnsi="Arial" w:cs="Arial"/>
              </w:rPr>
            </w:pPr>
            <w:r w:rsidRPr="008340F1">
              <w:rPr>
                <w:rFonts w:ascii="Arial" w:hAnsi="Arial" w:cs="Arial"/>
              </w:rPr>
              <w:t>6</w:t>
            </w:r>
          </w:p>
        </w:tc>
        <w:tc>
          <w:tcPr>
            <w:tcW w:w="4201" w:type="dxa"/>
            <w:hideMark/>
          </w:tcPr>
          <w:p w14:paraId="78ED08FB" w14:textId="77777777" w:rsidR="008B0723" w:rsidRPr="008340F1" w:rsidRDefault="008B0723" w:rsidP="008B0723">
            <w:pPr>
              <w:spacing w:after="160" w:line="259" w:lineRule="auto"/>
              <w:rPr>
                <w:rFonts w:ascii="Arial" w:hAnsi="Arial" w:cs="Arial"/>
              </w:rPr>
            </w:pPr>
            <w:r w:rsidRPr="008340F1">
              <w:rPr>
                <w:rFonts w:ascii="Arial" w:hAnsi="Arial" w:cs="Arial"/>
              </w:rPr>
              <w:t xml:space="preserve">("long covid" OR "post covid" OR "post viral fatigue" OR "chronic fatigue syndrome" OR "myalgic encephalomyelitis" OR "post viral" OR "post infection" OR "post infectious" OR "following infection" OR "after infection") AND ("primary care" OR "primary health care" OR "general practice" OR GP OR "general practitioner" OR "general medical practice" OR "family practice" OR "family practitioner" OR "family medicine" OR "primary care network" OR PCN OR "community health centre" OR "community health center") AND ("self management" OR "self care" OR </w:t>
            </w:r>
            <w:r w:rsidRPr="008340F1">
              <w:rPr>
                <w:rFonts w:ascii="Arial" w:hAnsi="Arial" w:cs="Arial"/>
              </w:rPr>
              <w:lastRenderedPageBreak/>
              <w:t>"self regulation" OR "self monitor" OR "self monitoring" OR "health coaching" OR "social prescribing" OR "personalised care" OR "personalized care" OR "care coordination" OR "care model" OR "service model" OR "service delivery" OR rehabilitation OR treatment OR intervention) AND ("United Kingdom" OR UK OR England OR Scotland OR Wales OR "Northern Ireland" OR NHS)</w:t>
            </w:r>
          </w:p>
        </w:tc>
      </w:tr>
    </w:tbl>
    <w:p w14:paraId="30BFC6DB" w14:textId="77777777" w:rsidR="008B2F47" w:rsidRPr="008340F1" w:rsidRDefault="008B2F47" w:rsidP="008B2F47">
      <w:pPr>
        <w:rPr>
          <w:rFonts w:ascii="Arial" w:hAnsi="Arial" w:cs="Arial"/>
          <w:b/>
          <w:bCs/>
        </w:rPr>
      </w:pPr>
    </w:p>
    <w:p w14:paraId="7D42A1E0" w14:textId="77777777" w:rsidR="005F77CC" w:rsidRPr="008340F1" w:rsidRDefault="005F77CC">
      <w:pPr>
        <w:rPr>
          <w:rFonts w:ascii="Arial" w:hAnsi="Arial" w:cs="Arial"/>
          <w:b/>
          <w:bCs/>
        </w:rPr>
      </w:pPr>
    </w:p>
    <w:p w14:paraId="0F9E400C" w14:textId="77777777" w:rsidR="005F77CC" w:rsidRPr="008340F1" w:rsidRDefault="005F77CC">
      <w:pPr>
        <w:rPr>
          <w:rFonts w:ascii="Arial" w:hAnsi="Arial" w:cs="Arial"/>
          <w:b/>
          <w:bCs/>
        </w:rPr>
      </w:pPr>
    </w:p>
    <w:p w14:paraId="70BC9E68" w14:textId="77777777" w:rsidR="005F77CC" w:rsidRPr="008340F1" w:rsidRDefault="005F77CC">
      <w:pPr>
        <w:rPr>
          <w:rFonts w:ascii="Arial" w:hAnsi="Arial" w:cs="Arial"/>
          <w:b/>
          <w:bCs/>
        </w:rPr>
      </w:pPr>
    </w:p>
    <w:p w14:paraId="5679E66F" w14:textId="77777777" w:rsidR="005F77CC" w:rsidRPr="008340F1" w:rsidRDefault="005F77CC">
      <w:pPr>
        <w:rPr>
          <w:rFonts w:ascii="Arial" w:hAnsi="Arial" w:cs="Arial"/>
          <w:b/>
          <w:bCs/>
        </w:rPr>
      </w:pPr>
    </w:p>
    <w:p w14:paraId="56BFBBE2" w14:textId="77777777" w:rsidR="005F77CC" w:rsidRPr="008340F1" w:rsidRDefault="005F77CC">
      <w:pPr>
        <w:rPr>
          <w:rFonts w:ascii="Arial" w:hAnsi="Arial" w:cs="Arial"/>
          <w:b/>
          <w:bCs/>
        </w:rPr>
      </w:pPr>
    </w:p>
    <w:p w14:paraId="1837255F" w14:textId="77777777" w:rsidR="005F77CC" w:rsidRPr="008340F1" w:rsidRDefault="005F77CC">
      <w:pPr>
        <w:rPr>
          <w:rFonts w:ascii="Arial" w:hAnsi="Arial" w:cs="Arial"/>
          <w:b/>
          <w:bCs/>
        </w:rPr>
      </w:pPr>
    </w:p>
    <w:p w14:paraId="4C6B0988" w14:textId="77777777" w:rsidR="005F77CC" w:rsidRPr="008340F1" w:rsidRDefault="005F77CC">
      <w:pPr>
        <w:rPr>
          <w:rFonts w:ascii="Arial" w:hAnsi="Arial" w:cs="Arial"/>
          <w:b/>
          <w:bCs/>
        </w:rPr>
      </w:pPr>
    </w:p>
    <w:p w14:paraId="23FE0704" w14:textId="77777777" w:rsidR="005F77CC" w:rsidRPr="008340F1" w:rsidRDefault="005F77CC">
      <w:pPr>
        <w:rPr>
          <w:rFonts w:ascii="Arial" w:hAnsi="Arial" w:cs="Arial"/>
          <w:b/>
          <w:bCs/>
        </w:rPr>
      </w:pPr>
    </w:p>
    <w:p w14:paraId="6F89B004" w14:textId="77777777" w:rsidR="005F77CC" w:rsidRPr="008340F1" w:rsidRDefault="005F77CC">
      <w:pPr>
        <w:rPr>
          <w:rFonts w:ascii="Arial" w:hAnsi="Arial" w:cs="Arial"/>
          <w:b/>
          <w:bCs/>
        </w:rPr>
      </w:pPr>
    </w:p>
    <w:p w14:paraId="7E4D9E66" w14:textId="77777777" w:rsidR="005F77CC" w:rsidRPr="008340F1" w:rsidRDefault="005F77CC">
      <w:pPr>
        <w:rPr>
          <w:rFonts w:ascii="Arial" w:hAnsi="Arial" w:cs="Arial"/>
          <w:b/>
          <w:bCs/>
        </w:rPr>
      </w:pPr>
    </w:p>
    <w:p w14:paraId="7F660457" w14:textId="77777777" w:rsidR="005F77CC" w:rsidRPr="008340F1" w:rsidRDefault="005F77CC">
      <w:pPr>
        <w:rPr>
          <w:rFonts w:ascii="Arial" w:hAnsi="Arial" w:cs="Arial"/>
          <w:b/>
          <w:bCs/>
        </w:rPr>
      </w:pPr>
    </w:p>
    <w:p w14:paraId="265A6790" w14:textId="77777777" w:rsidR="005F77CC" w:rsidRPr="008340F1" w:rsidRDefault="005F77CC">
      <w:pPr>
        <w:rPr>
          <w:rFonts w:ascii="Arial" w:hAnsi="Arial" w:cs="Arial"/>
          <w:b/>
          <w:bCs/>
        </w:rPr>
      </w:pPr>
    </w:p>
    <w:p w14:paraId="420C1719" w14:textId="77777777" w:rsidR="005F77CC" w:rsidRPr="008340F1" w:rsidRDefault="005F77CC">
      <w:pPr>
        <w:rPr>
          <w:rFonts w:ascii="Arial" w:hAnsi="Arial" w:cs="Arial"/>
          <w:b/>
          <w:bCs/>
        </w:rPr>
      </w:pPr>
    </w:p>
    <w:p w14:paraId="56A28907" w14:textId="77777777" w:rsidR="005F77CC" w:rsidRPr="008340F1" w:rsidRDefault="005F77CC">
      <w:pPr>
        <w:rPr>
          <w:rFonts w:ascii="Arial" w:hAnsi="Arial" w:cs="Arial"/>
          <w:b/>
          <w:bCs/>
        </w:rPr>
      </w:pPr>
    </w:p>
    <w:p w14:paraId="3DAF4203" w14:textId="77777777" w:rsidR="005F77CC" w:rsidRPr="008340F1" w:rsidRDefault="005F77CC">
      <w:pPr>
        <w:rPr>
          <w:rFonts w:ascii="Arial" w:hAnsi="Arial" w:cs="Arial"/>
          <w:b/>
          <w:bCs/>
        </w:rPr>
      </w:pPr>
    </w:p>
    <w:p w14:paraId="77C773F5" w14:textId="77777777" w:rsidR="005F77CC" w:rsidRPr="008340F1" w:rsidRDefault="005F77CC">
      <w:pPr>
        <w:rPr>
          <w:rFonts w:ascii="Arial" w:hAnsi="Arial" w:cs="Arial"/>
          <w:b/>
          <w:bCs/>
        </w:rPr>
      </w:pPr>
    </w:p>
    <w:p w14:paraId="76AEBEE9" w14:textId="77777777" w:rsidR="005F77CC" w:rsidRPr="008340F1" w:rsidRDefault="005F77CC">
      <w:pPr>
        <w:rPr>
          <w:rFonts w:ascii="Arial" w:hAnsi="Arial" w:cs="Arial"/>
          <w:b/>
          <w:bCs/>
        </w:rPr>
      </w:pPr>
    </w:p>
    <w:p w14:paraId="0A96F458" w14:textId="77777777" w:rsidR="005F77CC" w:rsidRPr="008340F1" w:rsidRDefault="005F77CC">
      <w:pPr>
        <w:rPr>
          <w:rFonts w:ascii="Arial" w:hAnsi="Arial" w:cs="Arial"/>
          <w:b/>
          <w:bCs/>
        </w:rPr>
      </w:pPr>
    </w:p>
    <w:p w14:paraId="1CA6F225" w14:textId="77777777" w:rsidR="005F77CC" w:rsidRPr="008340F1" w:rsidRDefault="005F77CC">
      <w:pPr>
        <w:rPr>
          <w:rFonts w:ascii="Arial" w:hAnsi="Arial" w:cs="Arial"/>
          <w:b/>
          <w:bCs/>
        </w:rPr>
      </w:pPr>
    </w:p>
    <w:p w14:paraId="766052E8" w14:textId="77777777" w:rsidR="005F77CC" w:rsidRPr="008340F1" w:rsidRDefault="005F77CC">
      <w:pPr>
        <w:rPr>
          <w:rFonts w:ascii="Arial" w:hAnsi="Arial" w:cs="Arial"/>
          <w:b/>
          <w:bCs/>
        </w:rPr>
      </w:pPr>
    </w:p>
    <w:p w14:paraId="4E7F9F95" w14:textId="77777777" w:rsidR="005F77CC" w:rsidRPr="008340F1" w:rsidRDefault="005F77CC">
      <w:pPr>
        <w:rPr>
          <w:rFonts w:ascii="Arial" w:hAnsi="Arial" w:cs="Arial"/>
          <w:b/>
          <w:bCs/>
        </w:rPr>
      </w:pPr>
    </w:p>
    <w:p w14:paraId="2EBC238C" w14:textId="77777777" w:rsidR="005F77CC" w:rsidRPr="008340F1" w:rsidRDefault="005F77CC">
      <w:pPr>
        <w:rPr>
          <w:rFonts w:ascii="Arial" w:hAnsi="Arial" w:cs="Arial"/>
          <w:b/>
          <w:bCs/>
        </w:rPr>
      </w:pPr>
    </w:p>
    <w:p w14:paraId="2E0E1F81" w14:textId="77777777" w:rsidR="005F77CC" w:rsidRPr="008340F1" w:rsidRDefault="005F77CC">
      <w:pPr>
        <w:rPr>
          <w:rFonts w:ascii="Arial" w:hAnsi="Arial" w:cs="Arial"/>
          <w:b/>
          <w:bCs/>
        </w:rPr>
      </w:pPr>
    </w:p>
    <w:p w14:paraId="2CB255CC" w14:textId="77777777" w:rsidR="005F77CC" w:rsidRPr="008340F1" w:rsidRDefault="005F77CC">
      <w:pPr>
        <w:rPr>
          <w:rFonts w:ascii="Arial" w:hAnsi="Arial" w:cs="Arial"/>
          <w:b/>
          <w:bCs/>
        </w:rPr>
      </w:pPr>
    </w:p>
    <w:p w14:paraId="2CB58888" w14:textId="69F48B3D" w:rsidR="008E0883" w:rsidRPr="008340F1" w:rsidRDefault="00FC5CCB">
      <w:pPr>
        <w:rPr>
          <w:rFonts w:ascii="Arial" w:hAnsi="Arial" w:cs="Arial"/>
          <w:b/>
          <w:bCs/>
        </w:rPr>
      </w:pPr>
      <w:r w:rsidRPr="008340F1">
        <w:rPr>
          <w:rFonts w:ascii="Arial" w:hAnsi="Arial" w:cs="Arial"/>
          <w:b/>
          <w:bCs/>
        </w:rPr>
        <w:lastRenderedPageBreak/>
        <w:t xml:space="preserve">Supplementary </w:t>
      </w:r>
      <w:r w:rsidR="002B1D2A" w:rsidRPr="008340F1">
        <w:rPr>
          <w:rFonts w:ascii="Arial" w:hAnsi="Arial" w:cs="Arial"/>
          <w:b/>
          <w:bCs/>
        </w:rPr>
        <w:t>Box</w:t>
      </w:r>
      <w:r w:rsidRPr="008340F1">
        <w:rPr>
          <w:rFonts w:ascii="Arial" w:hAnsi="Arial" w:cs="Arial"/>
          <w:b/>
          <w:bCs/>
        </w:rPr>
        <w:t xml:space="preserve"> S2. </w:t>
      </w:r>
      <w:r w:rsidR="002D7FB0" w:rsidRPr="008340F1">
        <w:rPr>
          <w:rFonts w:ascii="Arial" w:hAnsi="Arial" w:cs="Arial"/>
          <w:b/>
          <w:bCs/>
        </w:rPr>
        <w:t>Full GP and other healthcare practitioner s</w:t>
      </w:r>
      <w:r w:rsidR="002D7FB0" w:rsidRPr="008340F1">
        <w:rPr>
          <w:rFonts w:ascii="Arial" w:hAnsi="Arial" w:cs="Arial"/>
          <w:b/>
          <w:bCs/>
        </w:rPr>
        <w:t>urvey</w:t>
      </w:r>
      <w:r w:rsidR="00134438">
        <w:rPr>
          <w:rFonts w:ascii="Arial" w:hAnsi="Arial" w:cs="Arial"/>
          <w:b/>
          <w:bCs/>
        </w:rPr>
        <w:t>.</w:t>
      </w:r>
    </w:p>
    <w:p w14:paraId="1CBD287F" w14:textId="04991807" w:rsidR="007B2CC0" w:rsidRPr="008340F1" w:rsidRDefault="007B2CC0" w:rsidP="007B2CC0">
      <w:pPr>
        <w:rPr>
          <w:rFonts w:ascii="Arial" w:hAnsi="Arial" w:cs="Arial"/>
        </w:rPr>
      </w:pPr>
      <w:r w:rsidRPr="008340F1">
        <w:rPr>
          <w:rFonts w:ascii="Arial" w:hAnsi="Arial" w:cs="Arial"/>
        </w:rPr>
        <w:t>Survey 1: General Practitioner (GP) Survey</w:t>
      </w:r>
    </w:p>
    <w:p w14:paraId="3AA7ADA3" w14:textId="77777777" w:rsidR="007B2CC0" w:rsidRPr="008340F1" w:rsidRDefault="007B2CC0" w:rsidP="007B2CC0">
      <w:pPr>
        <w:rPr>
          <w:rFonts w:ascii="Arial" w:hAnsi="Arial" w:cs="Arial"/>
        </w:rPr>
      </w:pPr>
      <w:r w:rsidRPr="008340F1">
        <w:rPr>
          <w:rFonts w:ascii="Arial" w:hAnsi="Arial" w:cs="Arial"/>
        </w:rPr>
        <w:t>Practice name: _______________________</w:t>
      </w:r>
    </w:p>
    <w:p w14:paraId="4DBD2A65" w14:textId="77777777" w:rsidR="007B2CC0" w:rsidRPr="008340F1" w:rsidRDefault="007B2CC0" w:rsidP="007B2CC0">
      <w:pPr>
        <w:rPr>
          <w:rFonts w:ascii="Arial" w:hAnsi="Arial" w:cs="Arial"/>
        </w:rPr>
      </w:pPr>
      <w:r w:rsidRPr="008340F1">
        <w:rPr>
          <w:rFonts w:ascii="Arial" w:hAnsi="Arial" w:cs="Arial"/>
        </w:rPr>
        <w:t>Practice postcode: _______________________</w:t>
      </w:r>
    </w:p>
    <w:p w14:paraId="6D1038E9" w14:textId="77777777" w:rsidR="007B2CC0" w:rsidRPr="008340F1" w:rsidRDefault="007B2CC0" w:rsidP="007B2CC0">
      <w:pPr>
        <w:rPr>
          <w:rFonts w:ascii="Arial" w:hAnsi="Arial" w:cs="Arial"/>
        </w:rPr>
      </w:pPr>
      <w:r w:rsidRPr="008340F1">
        <w:rPr>
          <w:rFonts w:ascii="Arial" w:hAnsi="Arial" w:cs="Arial"/>
        </w:rPr>
        <w:t>Role</w:t>
      </w:r>
    </w:p>
    <w:p w14:paraId="226422C8" w14:textId="1F34C7DC" w:rsidR="007B2CC0" w:rsidRPr="008340F1" w:rsidRDefault="00847501" w:rsidP="00847501">
      <w:pPr>
        <w:rPr>
          <w:rFonts w:ascii="Arial" w:hAnsi="Arial" w:cs="Arial"/>
        </w:rPr>
      </w:pPr>
      <w:r w:rsidRPr="008340F1">
        <w:rPr>
          <w:rFonts w:ascii="Segoe UI Symbol" w:hAnsi="Segoe UI Symbol" w:cs="Segoe UI Symbol"/>
        </w:rPr>
        <w:t>☐</w:t>
      </w:r>
      <w:r w:rsidRPr="008340F1">
        <w:rPr>
          <w:rFonts w:ascii="Arial" w:hAnsi="Arial" w:cs="Arial"/>
        </w:rPr>
        <w:t xml:space="preserve"> </w:t>
      </w:r>
      <w:r w:rsidR="007B2CC0" w:rsidRPr="008340F1">
        <w:rPr>
          <w:rFonts w:ascii="Arial" w:hAnsi="Arial" w:cs="Arial"/>
        </w:rPr>
        <w:t xml:space="preserve">GP Partner </w:t>
      </w:r>
    </w:p>
    <w:p w14:paraId="769707ED" w14:textId="33FD26E1" w:rsidR="007B2CC0" w:rsidRPr="008340F1" w:rsidRDefault="00847501" w:rsidP="00847501">
      <w:pPr>
        <w:rPr>
          <w:rFonts w:ascii="Arial" w:hAnsi="Arial" w:cs="Arial"/>
        </w:rPr>
      </w:pPr>
      <w:r w:rsidRPr="008340F1">
        <w:rPr>
          <w:rFonts w:ascii="Segoe UI Symbol" w:hAnsi="Segoe UI Symbol" w:cs="Segoe UI Symbol"/>
        </w:rPr>
        <w:t>☐</w:t>
      </w:r>
      <w:r w:rsidRPr="008340F1">
        <w:rPr>
          <w:rFonts w:ascii="Arial" w:hAnsi="Arial" w:cs="Arial"/>
        </w:rPr>
        <w:t xml:space="preserve"> </w:t>
      </w:r>
      <w:r w:rsidR="007B2CC0" w:rsidRPr="008340F1">
        <w:rPr>
          <w:rFonts w:ascii="Arial" w:hAnsi="Arial" w:cs="Arial"/>
        </w:rPr>
        <w:t xml:space="preserve">Salaried GP </w:t>
      </w:r>
    </w:p>
    <w:p w14:paraId="7B48B0AE" w14:textId="77777777" w:rsidR="00847501" w:rsidRPr="008340F1" w:rsidRDefault="00847501" w:rsidP="00847501">
      <w:pPr>
        <w:rPr>
          <w:rFonts w:ascii="Arial" w:hAnsi="Arial" w:cs="Arial"/>
        </w:rPr>
      </w:pPr>
      <w:r w:rsidRPr="008340F1">
        <w:rPr>
          <w:rFonts w:ascii="Segoe UI Symbol" w:hAnsi="Segoe UI Symbol" w:cs="Segoe UI Symbol"/>
        </w:rPr>
        <w:t>☐</w:t>
      </w:r>
      <w:r w:rsidRPr="008340F1">
        <w:rPr>
          <w:rFonts w:ascii="Arial" w:hAnsi="Arial" w:cs="Arial"/>
        </w:rPr>
        <w:t xml:space="preserve"> </w:t>
      </w:r>
      <w:r w:rsidR="007B2CC0" w:rsidRPr="008340F1">
        <w:rPr>
          <w:rFonts w:ascii="Arial" w:hAnsi="Arial" w:cs="Arial"/>
        </w:rPr>
        <w:t>Locum GP</w:t>
      </w:r>
    </w:p>
    <w:p w14:paraId="05E76519" w14:textId="0C731C0D" w:rsidR="007B2CC0" w:rsidRPr="008340F1" w:rsidRDefault="00847501" w:rsidP="00847501">
      <w:pPr>
        <w:rPr>
          <w:rFonts w:ascii="Arial" w:hAnsi="Arial" w:cs="Arial"/>
        </w:rPr>
      </w:pPr>
      <w:r w:rsidRPr="008340F1">
        <w:rPr>
          <w:rFonts w:ascii="Segoe UI Symbol" w:hAnsi="Segoe UI Symbol" w:cs="Segoe UI Symbol"/>
        </w:rPr>
        <w:t>☐</w:t>
      </w:r>
      <w:r w:rsidRPr="008340F1">
        <w:rPr>
          <w:rFonts w:ascii="Arial" w:hAnsi="Arial" w:cs="Arial"/>
        </w:rPr>
        <w:t xml:space="preserve"> </w:t>
      </w:r>
      <w:r w:rsidR="007B2CC0" w:rsidRPr="008340F1">
        <w:rPr>
          <w:rFonts w:ascii="Arial" w:hAnsi="Arial" w:cs="Arial"/>
        </w:rPr>
        <w:t xml:space="preserve">GP Registrar </w:t>
      </w:r>
    </w:p>
    <w:p w14:paraId="191E2EE0" w14:textId="77777777" w:rsidR="007B2CC0" w:rsidRPr="008340F1" w:rsidRDefault="007B2CC0" w:rsidP="007B2CC0">
      <w:pPr>
        <w:rPr>
          <w:rFonts w:ascii="Arial" w:hAnsi="Arial" w:cs="Arial"/>
        </w:rPr>
      </w:pPr>
      <w:r w:rsidRPr="008340F1">
        <w:rPr>
          <w:rFonts w:ascii="Arial" w:hAnsi="Arial" w:cs="Arial"/>
        </w:rPr>
        <w:t>Number of patient-facing sessions per week</w:t>
      </w:r>
    </w:p>
    <w:p w14:paraId="35F90318" w14:textId="4481C465" w:rsidR="007B2CC0" w:rsidRPr="008340F1" w:rsidRDefault="00847501" w:rsidP="00847501">
      <w:pPr>
        <w:rPr>
          <w:rFonts w:ascii="Arial" w:hAnsi="Arial" w:cs="Arial"/>
        </w:rPr>
      </w:pPr>
      <w:r w:rsidRPr="008340F1">
        <w:rPr>
          <w:rFonts w:ascii="Segoe UI Symbol" w:hAnsi="Segoe UI Symbol" w:cs="Segoe UI Symbol"/>
        </w:rPr>
        <w:t>☐</w:t>
      </w:r>
      <w:r w:rsidRPr="008340F1">
        <w:rPr>
          <w:rFonts w:ascii="Arial" w:hAnsi="Arial" w:cs="Arial"/>
        </w:rPr>
        <w:t xml:space="preserve"> </w:t>
      </w:r>
      <w:r w:rsidR="007B2CC0" w:rsidRPr="008340F1">
        <w:rPr>
          <w:rFonts w:ascii="Arial" w:hAnsi="Arial" w:cs="Arial"/>
        </w:rPr>
        <w:t xml:space="preserve">&lt;2 sessions </w:t>
      </w:r>
    </w:p>
    <w:p w14:paraId="2CF880A5" w14:textId="45AB40E1" w:rsidR="007B2CC0" w:rsidRPr="008340F1" w:rsidRDefault="00847501" w:rsidP="00847501">
      <w:pPr>
        <w:rPr>
          <w:rFonts w:ascii="Arial" w:hAnsi="Arial" w:cs="Arial"/>
        </w:rPr>
      </w:pPr>
      <w:r w:rsidRPr="008340F1">
        <w:rPr>
          <w:rFonts w:ascii="Segoe UI Symbol" w:hAnsi="Segoe UI Symbol" w:cs="Segoe UI Symbol"/>
        </w:rPr>
        <w:t>☐</w:t>
      </w:r>
      <w:r w:rsidRPr="008340F1">
        <w:rPr>
          <w:rFonts w:ascii="Arial" w:hAnsi="Arial" w:cs="Arial"/>
        </w:rPr>
        <w:t xml:space="preserve"> </w:t>
      </w:r>
      <w:r w:rsidR="007B2CC0" w:rsidRPr="008340F1">
        <w:rPr>
          <w:rFonts w:ascii="Arial" w:hAnsi="Arial" w:cs="Arial"/>
        </w:rPr>
        <w:t>2</w:t>
      </w:r>
      <w:r w:rsidR="00EA02EA" w:rsidRPr="008340F1">
        <w:rPr>
          <w:rFonts w:ascii="Arial" w:hAnsi="Arial" w:cs="Arial"/>
        </w:rPr>
        <w:t>-</w:t>
      </w:r>
      <w:r w:rsidR="007B2CC0" w:rsidRPr="008340F1">
        <w:rPr>
          <w:rFonts w:ascii="Arial" w:hAnsi="Arial" w:cs="Arial"/>
        </w:rPr>
        <w:t xml:space="preserve">4 sessions </w:t>
      </w:r>
    </w:p>
    <w:p w14:paraId="546BF403" w14:textId="462F0D9A" w:rsidR="007B2CC0" w:rsidRPr="008340F1" w:rsidRDefault="00847501" w:rsidP="00847501">
      <w:pPr>
        <w:rPr>
          <w:rFonts w:ascii="Arial" w:hAnsi="Arial" w:cs="Arial"/>
        </w:rPr>
      </w:pPr>
      <w:r w:rsidRPr="008340F1">
        <w:rPr>
          <w:rFonts w:ascii="Segoe UI Symbol" w:hAnsi="Segoe UI Symbol" w:cs="Segoe UI Symbol"/>
        </w:rPr>
        <w:t>☐</w:t>
      </w:r>
      <w:r w:rsidRPr="008340F1">
        <w:rPr>
          <w:rFonts w:ascii="Arial" w:hAnsi="Arial" w:cs="Arial"/>
        </w:rPr>
        <w:t xml:space="preserve"> </w:t>
      </w:r>
      <w:r w:rsidR="007B2CC0" w:rsidRPr="008340F1">
        <w:rPr>
          <w:rFonts w:ascii="Arial" w:hAnsi="Arial" w:cs="Arial"/>
        </w:rPr>
        <w:t>5</w:t>
      </w:r>
      <w:r w:rsidR="00EA02EA" w:rsidRPr="008340F1">
        <w:rPr>
          <w:rFonts w:ascii="Arial" w:hAnsi="Arial" w:cs="Arial"/>
        </w:rPr>
        <w:t>-</w:t>
      </w:r>
      <w:r w:rsidR="007B2CC0" w:rsidRPr="008340F1">
        <w:rPr>
          <w:rFonts w:ascii="Arial" w:hAnsi="Arial" w:cs="Arial"/>
        </w:rPr>
        <w:t xml:space="preserve">7 sessions </w:t>
      </w:r>
    </w:p>
    <w:p w14:paraId="4C7CE829" w14:textId="56AE21AA" w:rsidR="007B2CC0" w:rsidRPr="008340F1" w:rsidRDefault="00847501" w:rsidP="00847501">
      <w:pPr>
        <w:rPr>
          <w:rFonts w:ascii="Arial" w:hAnsi="Arial" w:cs="Arial"/>
        </w:rPr>
      </w:pPr>
      <w:r w:rsidRPr="008340F1">
        <w:rPr>
          <w:rFonts w:ascii="Segoe UI Symbol" w:hAnsi="Segoe UI Symbol" w:cs="Segoe UI Symbol"/>
        </w:rPr>
        <w:t>☐</w:t>
      </w:r>
      <w:r w:rsidRPr="008340F1">
        <w:rPr>
          <w:rFonts w:ascii="Arial" w:hAnsi="Arial" w:cs="Arial"/>
        </w:rPr>
        <w:t xml:space="preserve"> </w:t>
      </w:r>
      <w:r w:rsidR="007B2CC0" w:rsidRPr="008340F1">
        <w:rPr>
          <w:rFonts w:ascii="Arial" w:hAnsi="Arial" w:cs="Arial"/>
        </w:rPr>
        <w:t>8</w:t>
      </w:r>
      <w:r w:rsidR="00EA02EA" w:rsidRPr="008340F1">
        <w:rPr>
          <w:rFonts w:ascii="Arial" w:hAnsi="Arial" w:cs="Arial"/>
        </w:rPr>
        <w:t xml:space="preserve"> </w:t>
      </w:r>
      <w:r w:rsidR="007B2CC0" w:rsidRPr="008340F1">
        <w:rPr>
          <w:rFonts w:ascii="Arial" w:hAnsi="Arial" w:cs="Arial"/>
        </w:rPr>
        <w:t>sessions</w:t>
      </w:r>
    </w:p>
    <w:p w14:paraId="6EE35B43" w14:textId="77777777" w:rsidR="007B2CC0" w:rsidRPr="008340F1" w:rsidRDefault="007B2CC0" w:rsidP="007B2CC0">
      <w:pPr>
        <w:rPr>
          <w:rFonts w:ascii="Arial" w:hAnsi="Arial" w:cs="Arial"/>
        </w:rPr>
      </w:pPr>
      <w:r w:rsidRPr="008340F1">
        <w:rPr>
          <w:rFonts w:ascii="Arial" w:hAnsi="Arial" w:cs="Arial"/>
        </w:rPr>
        <w:pict w14:anchorId="0D65905C">
          <v:rect id="_x0000_i1127" style="width:0;height:1.5pt" o:hralign="center" o:hrstd="t" o:hr="t" fillcolor="#a0a0a0" stroked="f"/>
        </w:pict>
      </w:r>
    </w:p>
    <w:p w14:paraId="23310889" w14:textId="77777777" w:rsidR="007B2CC0" w:rsidRPr="008340F1" w:rsidRDefault="007B2CC0" w:rsidP="007B2CC0">
      <w:pPr>
        <w:rPr>
          <w:rFonts w:ascii="Arial" w:hAnsi="Arial" w:cs="Arial"/>
        </w:rPr>
      </w:pPr>
      <w:r w:rsidRPr="008340F1">
        <w:rPr>
          <w:rFonts w:ascii="Arial" w:hAnsi="Arial" w:cs="Arial"/>
        </w:rPr>
        <w:t>Main survey</w:t>
      </w:r>
    </w:p>
    <w:p w14:paraId="2B213887" w14:textId="671A50DC" w:rsidR="007B2CC0" w:rsidRPr="008340F1" w:rsidRDefault="007B2CC0" w:rsidP="007B2CC0">
      <w:pPr>
        <w:rPr>
          <w:rFonts w:ascii="Arial" w:hAnsi="Arial" w:cs="Arial"/>
        </w:rPr>
      </w:pPr>
      <w:r w:rsidRPr="008340F1">
        <w:rPr>
          <w:rFonts w:ascii="Arial" w:hAnsi="Arial" w:cs="Arial"/>
        </w:rPr>
        <w:t>This survey includes 15 questions and takes approximately 10</w:t>
      </w:r>
      <w:r w:rsidR="00EA02EA" w:rsidRPr="008340F1">
        <w:rPr>
          <w:rFonts w:ascii="Arial" w:hAnsi="Arial" w:cs="Arial"/>
        </w:rPr>
        <w:t>-</w:t>
      </w:r>
      <w:r w:rsidRPr="008340F1">
        <w:rPr>
          <w:rFonts w:ascii="Arial" w:hAnsi="Arial" w:cs="Arial"/>
        </w:rPr>
        <w:t>15 minutes to complete.</w:t>
      </w:r>
    </w:p>
    <w:p w14:paraId="348254D5" w14:textId="77777777" w:rsidR="007B2CC0" w:rsidRPr="008340F1" w:rsidRDefault="007B2CC0" w:rsidP="007B2CC0">
      <w:pPr>
        <w:rPr>
          <w:rFonts w:ascii="Arial" w:hAnsi="Arial" w:cs="Arial"/>
        </w:rPr>
      </w:pPr>
      <w:r w:rsidRPr="008340F1">
        <w:rPr>
          <w:rFonts w:ascii="Arial" w:hAnsi="Arial" w:cs="Arial"/>
        </w:rPr>
        <w:t>Definition: Post-infection conditions (PICs) describe persistent, episodic, or recurrent multi-system symptoms following an acute infection. PICs include, but are not limited to, Long Covid.</w:t>
      </w:r>
    </w:p>
    <w:p w14:paraId="06FD354A" w14:textId="77777777" w:rsidR="007B2CC0" w:rsidRPr="008340F1" w:rsidRDefault="007B2CC0" w:rsidP="007B2CC0">
      <w:pPr>
        <w:rPr>
          <w:rFonts w:ascii="Arial" w:hAnsi="Arial" w:cs="Arial"/>
        </w:rPr>
      </w:pPr>
      <w:r w:rsidRPr="008340F1">
        <w:rPr>
          <w:rFonts w:ascii="Arial" w:hAnsi="Arial" w:cs="Arial"/>
        </w:rPr>
        <w:t>1. In the last month, how many patients have you seen with persistent, episodic, or recurrent multi-system symptoms that you and/or the patient attributed to a prior infection?</w:t>
      </w:r>
    </w:p>
    <w:p w14:paraId="3AF21D6B"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None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1–5</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6–10</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11–20</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&gt;20</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sure</w:t>
      </w:r>
    </w:p>
    <w:p w14:paraId="755F5AEC" w14:textId="77777777" w:rsidR="007B2CC0" w:rsidRPr="008340F1" w:rsidRDefault="007B2CC0" w:rsidP="007B2CC0">
      <w:pPr>
        <w:rPr>
          <w:rFonts w:ascii="Arial" w:hAnsi="Arial" w:cs="Arial"/>
        </w:rPr>
      </w:pPr>
      <w:r w:rsidRPr="008340F1">
        <w:rPr>
          <w:rFonts w:ascii="Arial" w:hAnsi="Arial" w:cs="Arial"/>
        </w:rPr>
        <w:pict w14:anchorId="0C5FD6B7">
          <v:rect id="_x0000_i1128" style="width:0;height:1.5pt" o:hralign="center" o:hrstd="t" o:hr="t" fillcolor="#a0a0a0" stroked="f"/>
        </w:pict>
      </w:r>
    </w:p>
    <w:p w14:paraId="663013C2" w14:textId="77777777" w:rsidR="007B2CC0" w:rsidRPr="008340F1" w:rsidRDefault="007B2CC0" w:rsidP="007B2CC0">
      <w:pPr>
        <w:rPr>
          <w:rFonts w:ascii="Arial" w:hAnsi="Arial" w:cs="Arial"/>
        </w:rPr>
      </w:pPr>
      <w:r w:rsidRPr="008340F1">
        <w:rPr>
          <w:rFonts w:ascii="Arial" w:hAnsi="Arial" w:cs="Arial"/>
        </w:rPr>
        <w:t>2. How often would you attribute the following symptoms to a post-infection condition in your patients?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61"/>
        <w:gridCol w:w="757"/>
        <w:gridCol w:w="1192"/>
        <w:gridCol w:w="1393"/>
        <w:gridCol w:w="1161"/>
        <w:gridCol w:w="662"/>
      </w:tblGrid>
      <w:tr w:rsidR="007B2CC0" w:rsidRPr="008340F1" w14:paraId="63157F7B" w14:textId="77777777">
        <w:trPr>
          <w:tblHeader/>
          <w:tblCellSpacing w:w="15" w:type="dxa"/>
        </w:trPr>
        <w:tc>
          <w:tcPr>
            <w:tcW w:w="0" w:type="auto"/>
            <w:vAlign w:val="center"/>
            <w:hideMark/>
          </w:tcPr>
          <w:p w14:paraId="5D72D569" w14:textId="77777777" w:rsidR="007B2CC0" w:rsidRPr="008340F1" w:rsidRDefault="007B2CC0" w:rsidP="007B2CC0">
            <w:pPr>
              <w:rPr>
                <w:rFonts w:ascii="Arial" w:hAnsi="Arial" w:cs="Arial"/>
              </w:rPr>
            </w:pPr>
            <w:r w:rsidRPr="008340F1">
              <w:rPr>
                <w:rFonts w:ascii="Arial" w:hAnsi="Arial" w:cs="Arial"/>
              </w:rPr>
              <w:t>Symptom</w:t>
            </w:r>
          </w:p>
        </w:tc>
        <w:tc>
          <w:tcPr>
            <w:tcW w:w="0" w:type="auto"/>
            <w:vAlign w:val="center"/>
            <w:hideMark/>
          </w:tcPr>
          <w:p w14:paraId="1972187B" w14:textId="77777777" w:rsidR="007B2CC0" w:rsidRPr="008340F1" w:rsidRDefault="007B2CC0" w:rsidP="007B2CC0">
            <w:pPr>
              <w:rPr>
                <w:rFonts w:ascii="Arial" w:hAnsi="Arial" w:cs="Arial"/>
              </w:rPr>
            </w:pPr>
            <w:r w:rsidRPr="008340F1">
              <w:rPr>
                <w:rFonts w:ascii="Arial" w:hAnsi="Arial" w:cs="Arial"/>
              </w:rPr>
              <w:t>Always</w:t>
            </w:r>
          </w:p>
        </w:tc>
        <w:tc>
          <w:tcPr>
            <w:tcW w:w="0" w:type="auto"/>
            <w:vAlign w:val="center"/>
            <w:hideMark/>
          </w:tcPr>
          <w:p w14:paraId="4921D969" w14:textId="77777777" w:rsidR="007B2CC0" w:rsidRPr="008340F1" w:rsidRDefault="007B2CC0" w:rsidP="007B2CC0">
            <w:pPr>
              <w:rPr>
                <w:rFonts w:ascii="Arial" w:hAnsi="Arial" w:cs="Arial"/>
              </w:rPr>
            </w:pPr>
            <w:r w:rsidRPr="008340F1">
              <w:rPr>
                <w:rFonts w:ascii="Arial" w:hAnsi="Arial" w:cs="Arial"/>
              </w:rPr>
              <w:t>Most of the time</w:t>
            </w:r>
          </w:p>
        </w:tc>
        <w:tc>
          <w:tcPr>
            <w:tcW w:w="0" w:type="auto"/>
            <w:vAlign w:val="center"/>
            <w:hideMark/>
          </w:tcPr>
          <w:p w14:paraId="329E69DC" w14:textId="77777777" w:rsidR="007B2CC0" w:rsidRPr="008340F1" w:rsidRDefault="007B2CC0" w:rsidP="007B2CC0">
            <w:pPr>
              <w:rPr>
                <w:rFonts w:ascii="Arial" w:hAnsi="Arial" w:cs="Arial"/>
              </w:rPr>
            </w:pPr>
            <w:r w:rsidRPr="008340F1">
              <w:rPr>
                <w:rFonts w:ascii="Arial" w:hAnsi="Arial" w:cs="Arial"/>
              </w:rPr>
              <w:t>About half the time</w:t>
            </w:r>
          </w:p>
        </w:tc>
        <w:tc>
          <w:tcPr>
            <w:tcW w:w="0" w:type="auto"/>
            <w:vAlign w:val="center"/>
            <w:hideMark/>
          </w:tcPr>
          <w:p w14:paraId="024FF92A" w14:textId="77777777" w:rsidR="007B2CC0" w:rsidRPr="008340F1" w:rsidRDefault="007B2CC0" w:rsidP="007B2CC0">
            <w:pPr>
              <w:rPr>
                <w:rFonts w:ascii="Arial" w:hAnsi="Arial" w:cs="Arial"/>
              </w:rPr>
            </w:pPr>
            <w:r w:rsidRPr="008340F1">
              <w:rPr>
                <w:rFonts w:ascii="Arial" w:hAnsi="Arial" w:cs="Arial"/>
              </w:rPr>
              <w:t>Sometimes</w:t>
            </w:r>
          </w:p>
        </w:tc>
        <w:tc>
          <w:tcPr>
            <w:tcW w:w="0" w:type="auto"/>
            <w:vAlign w:val="center"/>
            <w:hideMark/>
          </w:tcPr>
          <w:p w14:paraId="5116645F" w14:textId="77777777" w:rsidR="007B2CC0" w:rsidRPr="008340F1" w:rsidRDefault="007B2CC0" w:rsidP="007B2CC0">
            <w:pPr>
              <w:rPr>
                <w:rFonts w:ascii="Arial" w:hAnsi="Arial" w:cs="Arial"/>
              </w:rPr>
            </w:pPr>
            <w:r w:rsidRPr="008340F1">
              <w:rPr>
                <w:rFonts w:ascii="Arial" w:hAnsi="Arial" w:cs="Arial"/>
              </w:rPr>
              <w:t>Never</w:t>
            </w:r>
          </w:p>
        </w:tc>
      </w:tr>
      <w:tr w:rsidR="007B2CC0" w:rsidRPr="008340F1" w14:paraId="76AA9885" w14:textId="77777777">
        <w:trPr>
          <w:tblCellSpacing w:w="15" w:type="dxa"/>
        </w:trPr>
        <w:tc>
          <w:tcPr>
            <w:tcW w:w="0" w:type="auto"/>
            <w:vAlign w:val="center"/>
            <w:hideMark/>
          </w:tcPr>
          <w:p w14:paraId="4AC882E6" w14:textId="77777777" w:rsidR="007B2CC0" w:rsidRPr="008340F1" w:rsidRDefault="007B2CC0" w:rsidP="007B2CC0">
            <w:pPr>
              <w:rPr>
                <w:rFonts w:ascii="Arial" w:hAnsi="Arial" w:cs="Arial"/>
              </w:rPr>
            </w:pPr>
            <w:r w:rsidRPr="008340F1">
              <w:rPr>
                <w:rFonts w:ascii="Arial" w:hAnsi="Arial" w:cs="Arial"/>
              </w:rPr>
              <w:t>Ongoing fatigue and low energy</w:t>
            </w:r>
          </w:p>
        </w:tc>
        <w:tc>
          <w:tcPr>
            <w:tcW w:w="0" w:type="auto"/>
            <w:vAlign w:val="center"/>
            <w:hideMark/>
          </w:tcPr>
          <w:p w14:paraId="09529D01"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415DF4F9"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4C8BC47B"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28FD7C3A"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1F9372DF"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26ECEA19" w14:textId="77777777">
        <w:trPr>
          <w:tblCellSpacing w:w="15" w:type="dxa"/>
        </w:trPr>
        <w:tc>
          <w:tcPr>
            <w:tcW w:w="0" w:type="auto"/>
            <w:vAlign w:val="center"/>
            <w:hideMark/>
          </w:tcPr>
          <w:p w14:paraId="09AA1969" w14:textId="77777777" w:rsidR="007B2CC0" w:rsidRPr="008340F1" w:rsidRDefault="007B2CC0" w:rsidP="007B2CC0">
            <w:pPr>
              <w:rPr>
                <w:rFonts w:ascii="Arial" w:hAnsi="Arial" w:cs="Arial"/>
              </w:rPr>
            </w:pPr>
            <w:r w:rsidRPr="008340F1">
              <w:rPr>
                <w:rFonts w:ascii="Arial" w:hAnsi="Arial" w:cs="Arial"/>
              </w:rPr>
              <w:lastRenderedPageBreak/>
              <w:t>Brain fog, memory problems, or difficulty concentrating</w:t>
            </w:r>
          </w:p>
        </w:tc>
        <w:tc>
          <w:tcPr>
            <w:tcW w:w="0" w:type="auto"/>
            <w:vAlign w:val="center"/>
            <w:hideMark/>
          </w:tcPr>
          <w:p w14:paraId="5D9D849E"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EF5996E"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2F0C10B7"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CEA0AC7"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39AC6D61"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0C7EA952" w14:textId="77777777">
        <w:trPr>
          <w:tblCellSpacing w:w="15" w:type="dxa"/>
        </w:trPr>
        <w:tc>
          <w:tcPr>
            <w:tcW w:w="0" w:type="auto"/>
            <w:vAlign w:val="center"/>
            <w:hideMark/>
          </w:tcPr>
          <w:p w14:paraId="69DD7BF9" w14:textId="77777777" w:rsidR="007B2CC0" w:rsidRPr="008340F1" w:rsidRDefault="007B2CC0" w:rsidP="007B2CC0">
            <w:pPr>
              <w:rPr>
                <w:rFonts w:ascii="Arial" w:hAnsi="Arial" w:cs="Arial"/>
              </w:rPr>
            </w:pPr>
            <w:r w:rsidRPr="008340F1">
              <w:rPr>
                <w:rFonts w:ascii="Arial" w:hAnsi="Arial" w:cs="Arial"/>
              </w:rPr>
              <w:t>Chest pain on exertion</w:t>
            </w:r>
          </w:p>
        </w:tc>
        <w:tc>
          <w:tcPr>
            <w:tcW w:w="0" w:type="auto"/>
            <w:vAlign w:val="center"/>
            <w:hideMark/>
          </w:tcPr>
          <w:p w14:paraId="70E9F6D1"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5AAE9753"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6F03E77"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99949F9"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08B7C148"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33AC16FF" w14:textId="77777777">
        <w:trPr>
          <w:tblCellSpacing w:w="15" w:type="dxa"/>
        </w:trPr>
        <w:tc>
          <w:tcPr>
            <w:tcW w:w="0" w:type="auto"/>
            <w:vAlign w:val="center"/>
            <w:hideMark/>
          </w:tcPr>
          <w:p w14:paraId="7232712C" w14:textId="77777777" w:rsidR="007B2CC0" w:rsidRPr="008340F1" w:rsidRDefault="007B2CC0" w:rsidP="007B2CC0">
            <w:pPr>
              <w:rPr>
                <w:rFonts w:ascii="Arial" w:hAnsi="Arial" w:cs="Arial"/>
              </w:rPr>
            </w:pPr>
            <w:r w:rsidRPr="008340F1">
              <w:rPr>
                <w:rFonts w:ascii="Arial" w:hAnsi="Arial" w:cs="Arial"/>
              </w:rPr>
              <w:t>Chest pain at rest</w:t>
            </w:r>
          </w:p>
        </w:tc>
        <w:tc>
          <w:tcPr>
            <w:tcW w:w="0" w:type="auto"/>
            <w:vAlign w:val="center"/>
            <w:hideMark/>
          </w:tcPr>
          <w:p w14:paraId="142CA2A4"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0F683896"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2C4F7F27"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00CDB88A"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6F2D308A"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7C3D08AC" w14:textId="77777777">
        <w:trPr>
          <w:tblCellSpacing w:w="15" w:type="dxa"/>
        </w:trPr>
        <w:tc>
          <w:tcPr>
            <w:tcW w:w="0" w:type="auto"/>
            <w:vAlign w:val="center"/>
            <w:hideMark/>
          </w:tcPr>
          <w:p w14:paraId="6BFAF333" w14:textId="77777777" w:rsidR="007B2CC0" w:rsidRPr="008340F1" w:rsidRDefault="007B2CC0" w:rsidP="007B2CC0">
            <w:pPr>
              <w:rPr>
                <w:rFonts w:ascii="Arial" w:hAnsi="Arial" w:cs="Arial"/>
              </w:rPr>
            </w:pPr>
            <w:r w:rsidRPr="008340F1">
              <w:rPr>
                <w:rFonts w:ascii="Arial" w:hAnsi="Arial" w:cs="Arial"/>
              </w:rPr>
              <w:t>Anxiety or emotional distress</w:t>
            </w:r>
          </w:p>
        </w:tc>
        <w:tc>
          <w:tcPr>
            <w:tcW w:w="0" w:type="auto"/>
            <w:vAlign w:val="center"/>
            <w:hideMark/>
          </w:tcPr>
          <w:p w14:paraId="1550DF12"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5A8A6C9C"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0B7589EC"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3738CFC4"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1987726A"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4BD6D20C" w14:textId="77777777">
        <w:trPr>
          <w:tblCellSpacing w:w="15" w:type="dxa"/>
        </w:trPr>
        <w:tc>
          <w:tcPr>
            <w:tcW w:w="0" w:type="auto"/>
            <w:vAlign w:val="center"/>
            <w:hideMark/>
          </w:tcPr>
          <w:p w14:paraId="4C82A937" w14:textId="77777777" w:rsidR="007B2CC0" w:rsidRPr="008340F1" w:rsidRDefault="007B2CC0" w:rsidP="007B2CC0">
            <w:pPr>
              <w:rPr>
                <w:rFonts w:ascii="Arial" w:hAnsi="Arial" w:cs="Arial"/>
              </w:rPr>
            </w:pPr>
            <w:r w:rsidRPr="008340F1">
              <w:rPr>
                <w:rFonts w:ascii="Arial" w:hAnsi="Arial" w:cs="Arial"/>
              </w:rPr>
              <w:t>Headaches or migraines</w:t>
            </w:r>
          </w:p>
        </w:tc>
        <w:tc>
          <w:tcPr>
            <w:tcW w:w="0" w:type="auto"/>
            <w:vAlign w:val="center"/>
            <w:hideMark/>
          </w:tcPr>
          <w:p w14:paraId="4BA29133"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36A932C9"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140E1A05"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C08F2DA"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E598882"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2FEC21A1" w14:textId="77777777">
        <w:trPr>
          <w:tblCellSpacing w:w="15" w:type="dxa"/>
        </w:trPr>
        <w:tc>
          <w:tcPr>
            <w:tcW w:w="0" w:type="auto"/>
            <w:vAlign w:val="center"/>
            <w:hideMark/>
          </w:tcPr>
          <w:p w14:paraId="0B44E2B7" w14:textId="77777777" w:rsidR="007B2CC0" w:rsidRPr="008340F1" w:rsidRDefault="007B2CC0" w:rsidP="007B2CC0">
            <w:pPr>
              <w:rPr>
                <w:rFonts w:ascii="Arial" w:hAnsi="Arial" w:cs="Arial"/>
              </w:rPr>
            </w:pPr>
            <w:r w:rsidRPr="008340F1">
              <w:rPr>
                <w:rFonts w:ascii="Arial" w:hAnsi="Arial" w:cs="Arial"/>
              </w:rPr>
              <w:t>Joint or muscle pain</w:t>
            </w:r>
          </w:p>
        </w:tc>
        <w:tc>
          <w:tcPr>
            <w:tcW w:w="0" w:type="auto"/>
            <w:vAlign w:val="center"/>
            <w:hideMark/>
          </w:tcPr>
          <w:p w14:paraId="6CBA3D7A"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3FD55799"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68E602C"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4F0C5EC9"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289D26F4"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3091BEF3" w14:textId="77777777">
        <w:trPr>
          <w:tblCellSpacing w:w="15" w:type="dxa"/>
        </w:trPr>
        <w:tc>
          <w:tcPr>
            <w:tcW w:w="0" w:type="auto"/>
            <w:vAlign w:val="center"/>
            <w:hideMark/>
          </w:tcPr>
          <w:p w14:paraId="10D2DFCE" w14:textId="77777777" w:rsidR="007B2CC0" w:rsidRPr="008340F1" w:rsidRDefault="007B2CC0" w:rsidP="007B2CC0">
            <w:pPr>
              <w:rPr>
                <w:rFonts w:ascii="Arial" w:hAnsi="Arial" w:cs="Arial"/>
              </w:rPr>
            </w:pPr>
            <w:r w:rsidRPr="008340F1">
              <w:rPr>
                <w:rFonts w:ascii="Arial" w:hAnsi="Arial" w:cs="Arial"/>
              </w:rPr>
              <w:t>Changes in mobility</w:t>
            </w:r>
          </w:p>
        </w:tc>
        <w:tc>
          <w:tcPr>
            <w:tcW w:w="0" w:type="auto"/>
            <w:vAlign w:val="center"/>
            <w:hideMark/>
          </w:tcPr>
          <w:p w14:paraId="04E08BCD"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355FE029"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3A275093"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114ADC6A"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FF68D25"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4381A417" w14:textId="77777777">
        <w:trPr>
          <w:tblCellSpacing w:w="15" w:type="dxa"/>
        </w:trPr>
        <w:tc>
          <w:tcPr>
            <w:tcW w:w="0" w:type="auto"/>
            <w:vAlign w:val="center"/>
            <w:hideMark/>
          </w:tcPr>
          <w:p w14:paraId="62574984" w14:textId="77777777" w:rsidR="007B2CC0" w:rsidRPr="008340F1" w:rsidRDefault="007B2CC0" w:rsidP="007B2CC0">
            <w:pPr>
              <w:rPr>
                <w:rFonts w:ascii="Arial" w:hAnsi="Arial" w:cs="Arial"/>
              </w:rPr>
            </w:pPr>
            <w:r w:rsidRPr="008340F1">
              <w:rPr>
                <w:rFonts w:ascii="Arial" w:hAnsi="Arial" w:cs="Arial"/>
              </w:rPr>
              <w:t>Changes in ability to complete usual activities</w:t>
            </w:r>
          </w:p>
        </w:tc>
        <w:tc>
          <w:tcPr>
            <w:tcW w:w="0" w:type="auto"/>
            <w:vAlign w:val="center"/>
            <w:hideMark/>
          </w:tcPr>
          <w:p w14:paraId="49AC339B"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6E44954D"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58209C90"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7623283C"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3DCB8387"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0C3FC4F2" w14:textId="77777777">
        <w:trPr>
          <w:tblCellSpacing w:w="15" w:type="dxa"/>
        </w:trPr>
        <w:tc>
          <w:tcPr>
            <w:tcW w:w="0" w:type="auto"/>
            <w:vAlign w:val="center"/>
            <w:hideMark/>
          </w:tcPr>
          <w:p w14:paraId="5F80DC39" w14:textId="77777777" w:rsidR="007B2CC0" w:rsidRPr="008340F1" w:rsidRDefault="007B2CC0" w:rsidP="007B2CC0">
            <w:pPr>
              <w:rPr>
                <w:rFonts w:ascii="Arial" w:hAnsi="Arial" w:cs="Arial"/>
              </w:rPr>
            </w:pPr>
            <w:r w:rsidRPr="008340F1">
              <w:rPr>
                <w:rFonts w:ascii="Arial" w:hAnsi="Arial" w:cs="Arial"/>
              </w:rPr>
              <w:t>Changes in appetite or digestive function</w:t>
            </w:r>
          </w:p>
        </w:tc>
        <w:tc>
          <w:tcPr>
            <w:tcW w:w="0" w:type="auto"/>
            <w:vAlign w:val="center"/>
            <w:hideMark/>
          </w:tcPr>
          <w:p w14:paraId="6D8D56B0"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624391ED"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554211D4"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62B2DEF6"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03206142" w14:textId="77777777" w:rsidR="007B2CC0" w:rsidRPr="008340F1" w:rsidRDefault="007B2CC0" w:rsidP="007B2CC0">
            <w:pPr>
              <w:rPr>
                <w:rFonts w:ascii="Arial" w:hAnsi="Arial" w:cs="Arial"/>
              </w:rPr>
            </w:pPr>
            <w:r w:rsidRPr="008340F1">
              <w:rPr>
                <w:rFonts w:ascii="Segoe UI Symbol" w:hAnsi="Segoe UI Symbol" w:cs="Segoe UI Symbol"/>
              </w:rPr>
              <w:t>☐</w:t>
            </w:r>
          </w:p>
        </w:tc>
      </w:tr>
      <w:tr w:rsidR="007B2CC0" w:rsidRPr="008340F1" w14:paraId="240E91C8" w14:textId="77777777">
        <w:trPr>
          <w:tblCellSpacing w:w="15" w:type="dxa"/>
        </w:trPr>
        <w:tc>
          <w:tcPr>
            <w:tcW w:w="0" w:type="auto"/>
            <w:vAlign w:val="center"/>
            <w:hideMark/>
          </w:tcPr>
          <w:p w14:paraId="05733297" w14:textId="77777777" w:rsidR="007B2CC0" w:rsidRPr="008340F1" w:rsidRDefault="007B2CC0" w:rsidP="007B2CC0">
            <w:pPr>
              <w:rPr>
                <w:rFonts w:ascii="Arial" w:hAnsi="Arial" w:cs="Arial"/>
              </w:rPr>
            </w:pPr>
            <w:r w:rsidRPr="008340F1">
              <w:rPr>
                <w:rFonts w:ascii="Arial" w:hAnsi="Arial" w:cs="Arial"/>
              </w:rPr>
              <w:t>Palpitations, dizziness, or light-headedness on standing</w:t>
            </w:r>
          </w:p>
        </w:tc>
        <w:tc>
          <w:tcPr>
            <w:tcW w:w="0" w:type="auto"/>
            <w:vAlign w:val="center"/>
            <w:hideMark/>
          </w:tcPr>
          <w:p w14:paraId="2F687794"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55C04435"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4C05773A"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08BBBAF9" w14:textId="77777777" w:rsidR="007B2CC0" w:rsidRPr="008340F1" w:rsidRDefault="007B2CC0" w:rsidP="007B2CC0">
            <w:pPr>
              <w:rPr>
                <w:rFonts w:ascii="Arial" w:hAnsi="Arial" w:cs="Arial"/>
              </w:rPr>
            </w:pPr>
            <w:r w:rsidRPr="008340F1">
              <w:rPr>
                <w:rFonts w:ascii="Segoe UI Symbol" w:hAnsi="Segoe UI Symbol" w:cs="Segoe UI Symbol"/>
              </w:rPr>
              <w:t>☐</w:t>
            </w:r>
          </w:p>
        </w:tc>
        <w:tc>
          <w:tcPr>
            <w:tcW w:w="0" w:type="auto"/>
            <w:vAlign w:val="center"/>
            <w:hideMark/>
          </w:tcPr>
          <w:p w14:paraId="2500A033" w14:textId="77777777" w:rsidR="007B2CC0" w:rsidRPr="008340F1" w:rsidRDefault="007B2CC0" w:rsidP="007B2CC0">
            <w:pPr>
              <w:rPr>
                <w:rFonts w:ascii="Arial" w:hAnsi="Arial" w:cs="Arial"/>
              </w:rPr>
            </w:pPr>
            <w:r w:rsidRPr="008340F1">
              <w:rPr>
                <w:rFonts w:ascii="Segoe UI Symbol" w:hAnsi="Segoe UI Symbol" w:cs="Segoe UI Symbol"/>
              </w:rPr>
              <w:t>☐</w:t>
            </w:r>
          </w:p>
        </w:tc>
      </w:tr>
    </w:tbl>
    <w:p w14:paraId="5DFB638C" w14:textId="77777777" w:rsidR="007B2CC0" w:rsidRPr="008340F1" w:rsidRDefault="007B2CC0" w:rsidP="007B2CC0">
      <w:pPr>
        <w:rPr>
          <w:rFonts w:ascii="Arial" w:hAnsi="Arial" w:cs="Arial"/>
        </w:rPr>
      </w:pPr>
      <w:r w:rsidRPr="008340F1">
        <w:rPr>
          <w:rFonts w:ascii="Arial" w:hAnsi="Arial" w:cs="Arial"/>
        </w:rPr>
        <w:pict w14:anchorId="53BCF449">
          <v:rect id="_x0000_i1283" style="width:0;height:1.5pt" o:hralign="center" o:hrstd="t" o:hr="t" fillcolor="#a0a0a0" stroked="f"/>
        </w:pict>
      </w:r>
    </w:p>
    <w:p w14:paraId="1026CD0D" w14:textId="77777777" w:rsidR="007B2CC0" w:rsidRPr="008340F1" w:rsidRDefault="007B2CC0" w:rsidP="007B2CC0">
      <w:pPr>
        <w:rPr>
          <w:rFonts w:ascii="Arial" w:hAnsi="Arial" w:cs="Arial"/>
        </w:rPr>
      </w:pPr>
      <w:r w:rsidRPr="008340F1">
        <w:rPr>
          <w:rFonts w:ascii="Arial" w:hAnsi="Arial" w:cs="Arial"/>
        </w:rPr>
        <w:t>3. Would you attribute any other symptoms not listed above to a PIC?</w:t>
      </w:r>
    </w:p>
    <w:p w14:paraId="3B95215F"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Yes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w:t>
      </w:r>
    </w:p>
    <w:p w14:paraId="632E1572" w14:textId="77777777" w:rsidR="007B2CC0" w:rsidRPr="008340F1" w:rsidRDefault="007B2CC0" w:rsidP="007B2CC0">
      <w:pPr>
        <w:rPr>
          <w:rFonts w:ascii="Arial" w:hAnsi="Arial" w:cs="Arial"/>
        </w:rPr>
      </w:pPr>
      <w:r w:rsidRPr="008340F1">
        <w:rPr>
          <w:rFonts w:ascii="Arial" w:hAnsi="Arial" w:cs="Arial"/>
        </w:rPr>
        <w:t>If yes, please specify: _______________________</w:t>
      </w:r>
    </w:p>
    <w:p w14:paraId="79F9B1BE" w14:textId="77777777" w:rsidR="007B2CC0" w:rsidRPr="008340F1" w:rsidRDefault="007B2CC0" w:rsidP="007B2CC0">
      <w:pPr>
        <w:rPr>
          <w:rFonts w:ascii="Arial" w:hAnsi="Arial" w:cs="Arial"/>
        </w:rPr>
      </w:pPr>
      <w:r w:rsidRPr="008340F1">
        <w:rPr>
          <w:rFonts w:ascii="Arial" w:hAnsi="Arial" w:cs="Arial"/>
        </w:rPr>
        <w:pict w14:anchorId="12F46B24">
          <v:rect id="_x0000_i1284" style="width:0;height:1.5pt" o:hralign="center" o:hrstd="t" o:hr="t" fillcolor="#a0a0a0" stroked="f"/>
        </w:pict>
      </w:r>
    </w:p>
    <w:p w14:paraId="7B24C579" w14:textId="77777777" w:rsidR="007B2CC0" w:rsidRPr="008340F1" w:rsidRDefault="007B2CC0" w:rsidP="007B2CC0">
      <w:pPr>
        <w:rPr>
          <w:rFonts w:ascii="Arial" w:hAnsi="Arial" w:cs="Arial"/>
        </w:rPr>
      </w:pPr>
      <w:r w:rsidRPr="008340F1">
        <w:rPr>
          <w:rFonts w:ascii="Arial" w:hAnsi="Arial" w:cs="Arial"/>
        </w:rPr>
        <w:t>4. What factors might make you more likely to attribute symptoms to a PIC? (Select all that apply)</w:t>
      </w:r>
    </w:p>
    <w:p w14:paraId="4CB8B21C"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Women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Older adults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Smoking</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Overweight/obesity</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Pre-existing chronic health conditions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Disability</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Repeated infections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Previous hospitalisation/ICU admission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__________</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None of the above</w:t>
      </w:r>
    </w:p>
    <w:p w14:paraId="6495BF73" w14:textId="77777777" w:rsidR="007B2CC0" w:rsidRPr="008340F1" w:rsidRDefault="007B2CC0" w:rsidP="007B2CC0">
      <w:pPr>
        <w:rPr>
          <w:rFonts w:ascii="Arial" w:hAnsi="Arial" w:cs="Arial"/>
        </w:rPr>
      </w:pPr>
      <w:r w:rsidRPr="008340F1">
        <w:rPr>
          <w:rFonts w:ascii="Arial" w:hAnsi="Arial" w:cs="Arial"/>
        </w:rPr>
        <w:pict w14:anchorId="45BEF6A8">
          <v:rect id="_x0000_i1285" style="width:0;height:1.5pt" o:hralign="center" o:hrstd="t" o:hr="t" fillcolor="#a0a0a0" stroked="f"/>
        </w:pict>
      </w:r>
    </w:p>
    <w:p w14:paraId="5FDE9277" w14:textId="77777777" w:rsidR="007B2CC0" w:rsidRPr="008340F1" w:rsidRDefault="007B2CC0" w:rsidP="007B2CC0">
      <w:pPr>
        <w:rPr>
          <w:rFonts w:ascii="Arial" w:hAnsi="Arial" w:cs="Arial"/>
        </w:rPr>
      </w:pPr>
      <w:r w:rsidRPr="008340F1">
        <w:rPr>
          <w:rFonts w:ascii="Arial" w:hAnsi="Arial" w:cs="Arial"/>
        </w:rPr>
        <w:lastRenderedPageBreak/>
        <w:t>5. Which infections do you associate with persistent, episodic, or recurrent multi-system symptoms?</w:t>
      </w:r>
    </w:p>
    <w:p w14:paraId="78A5CA73"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COVID-19</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Influenza/flu-like illness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Epstein–Barr virus (glandular fever)</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Lyme disease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Respiratory infections (e.g., pneumonia, pertussis)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bacterial infections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Streptococcal infections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Hepatitis B/C</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HIV</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Cytomegalovirus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I do not routinely attribute symptoms to a specific infection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__________</w:t>
      </w:r>
    </w:p>
    <w:p w14:paraId="0B549B36" w14:textId="77777777" w:rsidR="007B2CC0" w:rsidRPr="008340F1" w:rsidRDefault="007B2CC0" w:rsidP="007B2CC0">
      <w:pPr>
        <w:rPr>
          <w:rFonts w:ascii="Arial" w:hAnsi="Arial" w:cs="Arial"/>
        </w:rPr>
      </w:pPr>
      <w:r w:rsidRPr="008340F1">
        <w:rPr>
          <w:rFonts w:ascii="Arial" w:hAnsi="Arial" w:cs="Arial"/>
        </w:rPr>
        <w:pict w14:anchorId="4A0955CF">
          <v:rect id="_x0000_i1286" style="width:0;height:1.5pt" o:hralign="center" o:hrstd="t" o:hr="t" fillcolor="#a0a0a0" stroked="f"/>
        </w:pict>
      </w:r>
    </w:p>
    <w:p w14:paraId="47D31CCA" w14:textId="5CD7D61C" w:rsidR="007B2CC0" w:rsidRPr="008340F1" w:rsidRDefault="007B2CC0" w:rsidP="007B2CC0">
      <w:pPr>
        <w:rPr>
          <w:rFonts w:ascii="Arial" w:hAnsi="Arial" w:cs="Arial"/>
        </w:rPr>
      </w:pPr>
      <w:r w:rsidRPr="008340F1">
        <w:rPr>
          <w:rFonts w:ascii="Arial" w:hAnsi="Arial" w:cs="Arial"/>
        </w:rPr>
        <w:t>6</w:t>
      </w:r>
      <w:r w:rsidR="00EA02EA" w:rsidRPr="008340F1">
        <w:rPr>
          <w:rFonts w:ascii="Arial" w:hAnsi="Arial" w:cs="Arial"/>
        </w:rPr>
        <w:t>-</w:t>
      </w:r>
      <w:r w:rsidRPr="008340F1">
        <w:rPr>
          <w:rFonts w:ascii="Arial" w:hAnsi="Arial" w:cs="Arial"/>
        </w:rPr>
        <w:t>7. When adults present with the following symptoms, which actions are you most likely to take?</w:t>
      </w:r>
    </w:p>
    <w:p w14:paraId="090457BD" w14:textId="77777777" w:rsidR="007B2CC0" w:rsidRPr="008340F1" w:rsidRDefault="007B2CC0" w:rsidP="007B2CC0">
      <w:pPr>
        <w:rPr>
          <w:rFonts w:ascii="Arial" w:hAnsi="Arial" w:cs="Arial"/>
        </w:rPr>
      </w:pPr>
      <w:r w:rsidRPr="008340F1">
        <w:rPr>
          <w:rFonts w:ascii="Arial" w:hAnsi="Arial" w:cs="Arial"/>
        </w:rPr>
        <w:t>(Asked separately for first presentation and repeat attendance with ongoing symptoms)</w:t>
      </w:r>
    </w:p>
    <w:p w14:paraId="06A6A5C9" w14:textId="77777777" w:rsidR="007B2CC0" w:rsidRPr="008340F1" w:rsidRDefault="007B2CC0" w:rsidP="007B2CC0">
      <w:pPr>
        <w:rPr>
          <w:rFonts w:ascii="Arial" w:hAnsi="Arial" w:cs="Arial"/>
        </w:rPr>
      </w:pPr>
      <w:r w:rsidRPr="008340F1">
        <w:rPr>
          <w:rFonts w:ascii="Arial" w:hAnsi="Arial" w:cs="Arial"/>
        </w:rPr>
        <w:t>Select all that apply:</w:t>
      </w:r>
    </w:p>
    <w:p w14:paraId="4232C55E"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Full history</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Physical examination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Assessment of mood</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Routine blood tests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Infection-related blood tests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blood testing</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Referral to another service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Self-management advice without referral</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Social prescribing</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NHS Talking Therapies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Watchful waiting/no active management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Safety-netting advice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Rehabilitation services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Medication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_________</w:t>
      </w:r>
    </w:p>
    <w:p w14:paraId="30CA8D94" w14:textId="77777777" w:rsidR="007B2CC0" w:rsidRPr="008340F1" w:rsidRDefault="007B2CC0" w:rsidP="007B2CC0">
      <w:pPr>
        <w:rPr>
          <w:rFonts w:ascii="Arial" w:hAnsi="Arial" w:cs="Arial"/>
        </w:rPr>
      </w:pPr>
      <w:r w:rsidRPr="008340F1">
        <w:rPr>
          <w:rFonts w:ascii="Arial" w:hAnsi="Arial" w:cs="Arial"/>
        </w:rPr>
        <w:pict w14:anchorId="632DCAAD">
          <v:rect id="_x0000_i1287" style="width:0;height:1.5pt" o:hralign="center" o:hrstd="t" o:hr="t" fillcolor="#a0a0a0" stroked="f"/>
        </w:pict>
      </w:r>
    </w:p>
    <w:p w14:paraId="65A625DA" w14:textId="77777777" w:rsidR="007B2CC0" w:rsidRPr="008340F1" w:rsidRDefault="007B2CC0" w:rsidP="007B2CC0">
      <w:pPr>
        <w:rPr>
          <w:rFonts w:ascii="Arial" w:hAnsi="Arial" w:cs="Arial"/>
        </w:rPr>
      </w:pPr>
      <w:r w:rsidRPr="008340F1">
        <w:rPr>
          <w:rFonts w:ascii="Arial" w:hAnsi="Arial" w:cs="Arial"/>
        </w:rPr>
        <w:t>8. When considering whether symptoms may represent a PIC, which best describes your approach?</w:t>
      </w:r>
    </w:p>
    <w:p w14:paraId="32071A27"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I generally use a fixed timeframe as a guide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I do not use a fixed timeframe but consider duration alongside other clinical features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I have not considered this before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_________</w:t>
      </w:r>
    </w:p>
    <w:p w14:paraId="55830A9B" w14:textId="77777777" w:rsidR="007B2CC0" w:rsidRPr="008340F1" w:rsidRDefault="007B2CC0" w:rsidP="007B2CC0">
      <w:pPr>
        <w:rPr>
          <w:rFonts w:ascii="Arial" w:hAnsi="Arial" w:cs="Arial"/>
        </w:rPr>
      </w:pPr>
      <w:r w:rsidRPr="008340F1">
        <w:rPr>
          <w:rFonts w:ascii="Arial" w:hAnsi="Arial" w:cs="Arial"/>
        </w:rPr>
        <w:lastRenderedPageBreak/>
        <w:t>If fixed timeframe:</w:t>
      </w:r>
    </w:p>
    <w:p w14:paraId="1F3ABE3E"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4–8 weeks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8–12 weeks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≥12 weeks</w:t>
      </w:r>
    </w:p>
    <w:p w14:paraId="2BA11383" w14:textId="77777777" w:rsidR="007B2CC0" w:rsidRPr="008340F1" w:rsidRDefault="007B2CC0" w:rsidP="007B2CC0">
      <w:pPr>
        <w:rPr>
          <w:rFonts w:ascii="Arial" w:hAnsi="Arial" w:cs="Arial"/>
        </w:rPr>
      </w:pPr>
      <w:r w:rsidRPr="008340F1">
        <w:rPr>
          <w:rFonts w:ascii="Arial" w:hAnsi="Arial" w:cs="Arial"/>
        </w:rPr>
        <w:t>If no fixed timeframe, factors influencing judgement:</w:t>
      </w:r>
    </w:p>
    <w:p w14:paraId="5D764AE6"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Duration of symptoms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Severity/functional impact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Symptom pattern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Absence of alternative diagnosis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Type of initial infection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Patient concerns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_________</w:t>
      </w:r>
    </w:p>
    <w:p w14:paraId="1E24503E" w14:textId="77777777" w:rsidR="007B2CC0" w:rsidRPr="008340F1" w:rsidRDefault="007B2CC0" w:rsidP="007B2CC0">
      <w:pPr>
        <w:rPr>
          <w:rFonts w:ascii="Arial" w:hAnsi="Arial" w:cs="Arial"/>
        </w:rPr>
      </w:pPr>
      <w:r w:rsidRPr="008340F1">
        <w:rPr>
          <w:rFonts w:ascii="Arial" w:hAnsi="Arial" w:cs="Arial"/>
        </w:rPr>
        <w:pict w14:anchorId="6EC53EF0">
          <v:rect id="_x0000_i1288" style="width:0;height:1.5pt" o:hralign="center" o:hrstd="t" o:hr="t" fillcolor="#a0a0a0" stroked="f"/>
        </w:pict>
      </w:r>
    </w:p>
    <w:p w14:paraId="72272992" w14:textId="77777777" w:rsidR="007B2CC0" w:rsidRPr="008340F1" w:rsidRDefault="007B2CC0" w:rsidP="007B2CC0">
      <w:pPr>
        <w:rPr>
          <w:rFonts w:ascii="Arial" w:hAnsi="Arial" w:cs="Arial"/>
        </w:rPr>
      </w:pPr>
      <w:r w:rsidRPr="008340F1">
        <w:rPr>
          <w:rFonts w:ascii="Arial" w:hAnsi="Arial" w:cs="Arial"/>
        </w:rPr>
        <w:t>9. Coding practices</w:t>
      </w:r>
    </w:p>
    <w:p w14:paraId="6372B814" w14:textId="77777777" w:rsidR="007B2CC0" w:rsidRPr="008340F1" w:rsidRDefault="007B2CC0" w:rsidP="007B2CC0">
      <w:pPr>
        <w:rPr>
          <w:rFonts w:ascii="Arial" w:hAnsi="Arial" w:cs="Arial"/>
        </w:rPr>
      </w:pPr>
      <w:r w:rsidRPr="008340F1">
        <w:rPr>
          <w:rFonts w:ascii="Arial" w:hAnsi="Arial" w:cs="Arial"/>
        </w:rPr>
        <w:t>Which codes may you use for PIC consultations?</w:t>
      </w:r>
    </w:p>
    <w:p w14:paraId="430CC2CA"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I do not code these consultations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Tired all the time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Malaise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Fatigue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Chronic fatigue syndrome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Chronic pain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Post-viral fatigue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Medically unexplained symptoms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POTS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Myalgic encephalomyelitis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Post-infectious syndrome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Post-COVID-19 syndrome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_________</w:t>
      </w:r>
    </w:p>
    <w:p w14:paraId="5B998BF5" w14:textId="77777777" w:rsidR="007B2CC0" w:rsidRPr="008340F1" w:rsidRDefault="007B2CC0" w:rsidP="007B2CC0">
      <w:pPr>
        <w:rPr>
          <w:rFonts w:ascii="Arial" w:hAnsi="Arial" w:cs="Arial"/>
        </w:rPr>
      </w:pPr>
      <w:r w:rsidRPr="008340F1">
        <w:rPr>
          <w:rFonts w:ascii="Arial" w:hAnsi="Arial" w:cs="Arial"/>
        </w:rPr>
        <w:pict w14:anchorId="200C7334">
          <v:rect id="_x0000_i1289" style="width:0;height:1.5pt" o:hralign="center" o:hrstd="t" o:hr="t" fillcolor="#a0a0a0" stroked="f"/>
        </w:pict>
      </w:r>
    </w:p>
    <w:p w14:paraId="2C9B2845" w14:textId="77777777" w:rsidR="007B2CC0" w:rsidRPr="008340F1" w:rsidRDefault="007B2CC0" w:rsidP="007B2CC0">
      <w:pPr>
        <w:rPr>
          <w:rFonts w:ascii="Arial" w:hAnsi="Arial" w:cs="Arial"/>
        </w:rPr>
      </w:pPr>
      <w:r w:rsidRPr="008340F1">
        <w:rPr>
          <w:rFonts w:ascii="Arial" w:hAnsi="Arial" w:cs="Arial"/>
        </w:rPr>
        <w:t>10. Does your practice refer/signpost patients with PICs to community or external services?</w:t>
      </w:r>
    </w:p>
    <w:p w14:paraId="5764B8FB"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Yes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sure</w:t>
      </w:r>
    </w:p>
    <w:p w14:paraId="4E194DD3" w14:textId="77777777" w:rsidR="007B2CC0" w:rsidRPr="008340F1" w:rsidRDefault="007B2CC0" w:rsidP="007B2CC0">
      <w:pPr>
        <w:rPr>
          <w:rFonts w:ascii="Arial" w:hAnsi="Arial" w:cs="Arial"/>
        </w:rPr>
      </w:pPr>
      <w:r w:rsidRPr="008340F1">
        <w:rPr>
          <w:rFonts w:ascii="Arial" w:hAnsi="Arial" w:cs="Arial"/>
        </w:rPr>
        <w:t>If yes, services:</w:t>
      </w:r>
    </w:p>
    <w:p w14:paraId="3BCB6CEC"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Community rehabilitation services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Community mental health services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Health coaching/lifestyle support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NHS self-referral or online self-help services</w:t>
      </w:r>
      <w:r w:rsidRPr="008340F1">
        <w:rPr>
          <w:rFonts w:ascii="Arial" w:hAnsi="Arial" w:cs="Arial"/>
        </w:rPr>
        <w:br/>
      </w:r>
      <w:r w:rsidRPr="008340F1">
        <w:rPr>
          <w:rFonts w:ascii="Segoe UI Symbol" w:hAnsi="Segoe UI Symbol" w:cs="Segoe UI Symbol"/>
        </w:rPr>
        <w:lastRenderedPageBreak/>
        <w:t>☐</w:t>
      </w:r>
      <w:r w:rsidRPr="008340F1">
        <w:rPr>
          <w:rFonts w:ascii="Arial" w:hAnsi="Arial" w:cs="Arial"/>
        </w:rPr>
        <w:t xml:space="preserve"> Voluntary/third-sector services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_________</w:t>
      </w:r>
    </w:p>
    <w:p w14:paraId="061E6857" w14:textId="77777777" w:rsidR="007B2CC0" w:rsidRPr="008340F1" w:rsidRDefault="007B2CC0" w:rsidP="007B2CC0">
      <w:pPr>
        <w:rPr>
          <w:rFonts w:ascii="Arial" w:hAnsi="Arial" w:cs="Arial"/>
        </w:rPr>
      </w:pPr>
      <w:r w:rsidRPr="008340F1">
        <w:rPr>
          <w:rFonts w:ascii="Arial" w:hAnsi="Arial" w:cs="Arial"/>
        </w:rPr>
        <w:pict w14:anchorId="18AC48AA">
          <v:rect id="_x0000_i1290" style="width:0;height:1.5pt" o:hralign="center" o:hrstd="t" o:hr="t" fillcolor="#a0a0a0" stroked="f"/>
        </w:pict>
      </w:r>
    </w:p>
    <w:p w14:paraId="57957379" w14:textId="77777777" w:rsidR="007B2CC0" w:rsidRPr="008340F1" w:rsidRDefault="007B2CC0" w:rsidP="007B2CC0">
      <w:pPr>
        <w:rPr>
          <w:rFonts w:ascii="Arial" w:hAnsi="Arial" w:cs="Arial"/>
        </w:rPr>
      </w:pPr>
      <w:r w:rsidRPr="008340F1">
        <w:rPr>
          <w:rFonts w:ascii="Arial" w:hAnsi="Arial" w:cs="Arial"/>
        </w:rPr>
        <w:t>11. How confident do you feel managing patients with PICs?</w:t>
      </w:r>
    </w:p>
    <w:p w14:paraId="1B7BC6B2"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Very confident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Fairly confident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very confident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at all confident</w:t>
      </w:r>
    </w:p>
    <w:p w14:paraId="7682570E" w14:textId="77777777" w:rsidR="007B2CC0" w:rsidRPr="008340F1" w:rsidRDefault="007B2CC0" w:rsidP="007B2CC0">
      <w:pPr>
        <w:rPr>
          <w:rFonts w:ascii="Arial" w:hAnsi="Arial" w:cs="Arial"/>
        </w:rPr>
      </w:pPr>
      <w:r w:rsidRPr="008340F1">
        <w:rPr>
          <w:rFonts w:ascii="Arial" w:hAnsi="Arial" w:cs="Arial"/>
        </w:rPr>
        <w:pict w14:anchorId="246C7322">
          <v:rect id="_x0000_i1291" style="width:0;height:1.5pt" o:hralign="center" o:hrstd="t" o:hr="t" fillcolor="#a0a0a0" stroked="f"/>
        </w:pict>
      </w:r>
    </w:p>
    <w:p w14:paraId="01529D5D" w14:textId="77777777" w:rsidR="007B2CC0" w:rsidRPr="008340F1" w:rsidRDefault="007B2CC0" w:rsidP="007B2CC0">
      <w:pPr>
        <w:rPr>
          <w:rFonts w:ascii="Arial" w:hAnsi="Arial" w:cs="Arial"/>
        </w:rPr>
      </w:pPr>
      <w:r w:rsidRPr="008340F1">
        <w:rPr>
          <w:rFonts w:ascii="Arial" w:hAnsi="Arial" w:cs="Arial"/>
        </w:rPr>
        <w:t>12a. To what extent do existing primary and community care services meet the needs of people living with PICs?</w:t>
      </w:r>
    </w:p>
    <w:p w14:paraId="596BB434"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Great extent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Some extent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Limited extent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at all</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sure</w:t>
      </w:r>
    </w:p>
    <w:p w14:paraId="13ED0A4F" w14:textId="77777777" w:rsidR="007B2CC0" w:rsidRPr="008340F1" w:rsidRDefault="007B2CC0" w:rsidP="007B2CC0">
      <w:pPr>
        <w:rPr>
          <w:rFonts w:ascii="Arial" w:hAnsi="Arial" w:cs="Arial"/>
        </w:rPr>
      </w:pPr>
      <w:r w:rsidRPr="008340F1">
        <w:rPr>
          <w:rFonts w:ascii="Arial" w:hAnsi="Arial" w:cs="Arial"/>
        </w:rPr>
        <w:t>12b. Please explain: _______________________</w:t>
      </w:r>
    </w:p>
    <w:p w14:paraId="07B1285B" w14:textId="77777777" w:rsidR="007B2CC0" w:rsidRPr="008340F1" w:rsidRDefault="007B2CC0" w:rsidP="007B2CC0">
      <w:pPr>
        <w:rPr>
          <w:rFonts w:ascii="Arial" w:hAnsi="Arial" w:cs="Arial"/>
        </w:rPr>
      </w:pPr>
      <w:r w:rsidRPr="008340F1">
        <w:rPr>
          <w:rFonts w:ascii="Arial" w:hAnsi="Arial" w:cs="Arial"/>
        </w:rPr>
        <w:pict w14:anchorId="6F899CDD">
          <v:rect id="_x0000_i1292" style="width:0;height:1.5pt" o:hralign="center" o:hrstd="t" o:hr="t" fillcolor="#a0a0a0" stroked="f"/>
        </w:pict>
      </w:r>
    </w:p>
    <w:p w14:paraId="3265F29E" w14:textId="77777777" w:rsidR="007B2CC0" w:rsidRPr="008340F1" w:rsidRDefault="007B2CC0" w:rsidP="007B2CC0">
      <w:pPr>
        <w:rPr>
          <w:rFonts w:ascii="Arial" w:hAnsi="Arial" w:cs="Arial"/>
        </w:rPr>
      </w:pPr>
      <w:r w:rsidRPr="008340F1">
        <w:rPr>
          <w:rFonts w:ascii="Arial" w:hAnsi="Arial" w:cs="Arial"/>
        </w:rPr>
        <w:t>13a. To what extent could a personalised PIC management service delivered by a skilled primary care workforce meet patient needs?</w:t>
      </w:r>
    </w:p>
    <w:p w14:paraId="0C195CC9"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Great extent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Some extent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Limited extent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at all</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sure</w:t>
      </w:r>
    </w:p>
    <w:p w14:paraId="44094623" w14:textId="77777777" w:rsidR="007B2CC0" w:rsidRPr="008340F1" w:rsidRDefault="007B2CC0" w:rsidP="007B2CC0">
      <w:pPr>
        <w:rPr>
          <w:rFonts w:ascii="Arial" w:hAnsi="Arial" w:cs="Arial"/>
        </w:rPr>
      </w:pPr>
      <w:r w:rsidRPr="008340F1">
        <w:rPr>
          <w:rFonts w:ascii="Arial" w:hAnsi="Arial" w:cs="Arial"/>
        </w:rPr>
        <w:t>13b. Please explain: _______________________</w:t>
      </w:r>
    </w:p>
    <w:p w14:paraId="32D4929E" w14:textId="77777777" w:rsidR="007B2CC0" w:rsidRPr="008340F1" w:rsidRDefault="007B2CC0" w:rsidP="007B2CC0">
      <w:pPr>
        <w:rPr>
          <w:rFonts w:ascii="Arial" w:hAnsi="Arial" w:cs="Arial"/>
        </w:rPr>
      </w:pPr>
      <w:r w:rsidRPr="008340F1">
        <w:rPr>
          <w:rFonts w:ascii="Arial" w:hAnsi="Arial" w:cs="Arial"/>
        </w:rPr>
        <w:pict w14:anchorId="0D53CF5C">
          <v:rect id="_x0000_i1293" style="width:0;height:1.5pt" o:hralign="center" o:hrstd="t" o:hr="t" fillcolor="#a0a0a0" stroked="f"/>
        </w:pict>
      </w:r>
    </w:p>
    <w:p w14:paraId="20099270" w14:textId="77777777" w:rsidR="007B2CC0" w:rsidRPr="008340F1" w:rsidRDefault="007B2CC0" w:rsidP="007B2CC0">
      <w:pPr>
        <w:rPr>
          <w:rFonts w:ascii="Arial" w:hAnsi="Arial" w:cs="Arial"/>
        </w:rPr>
      </w:pPr>
      <w:r w:rsidRPr="008340F1">
        <w:rPr>
          <w:rFonts w:ascii="Arial" w:hAnsi="Arial" w:cs="Arial"/>
        </w:rPr>
        <w:t>14. Who would be best placed to deliver this service?</w:t>
      </w:r>
    </w:p>
    <w:p w14:paraId="2A43A0C4"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GP</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Practice nurse/nurse practitioner</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Practice pharmacist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Allied health professional</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Social prescriber/health and wellbeing coach</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Mental health practitioner</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Community rehabilitation team</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_________</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Do not know</w:t>
      </w:r>
    </w:p>
    <w:p w14:paraId="7F7B3D04" w14:textId="77777777" w:rsidR="007B2CC0" w:rsidRPr="008340F1" w:rsidRDefault="007B2CC0" w:rsidP="007B2CC0">
      <w:pPr>
        <w:rPr>
          <w:rFonts w:ascii="Arial" w:hAnsi="Arial" w:cs="Arial"/>
        </w:rPr>
      </w:pPr>
      <w:r w:rsidRPr="008340F1">
        <w:rPr>
          <w:rFonts w:ascii="Arial" w:hAnsi="Arial" w:cs="Arial"/>
        </w:rPr>
        <w:pict w14:anchorId="6346C6AD">
          <v:rect id="_x0000_i1294" style="width:0;height:1.5pt" o:hralign="center" o:hrstd="t" o:hr="t" fillcolor="#a0a0a0" stroked="f"/>
        </w:pict>
      </w:r>
    </w:p>
    <w:p w14:paraId="35E0BD09" w14:textId="77777777" w:rsidR="007B2CC0" w:rsidRPr="008340F1" w:rsidRDefault="007B2CC0" w:rsidP="007B2CC0">
      <w:pPr>
        <w:rPr>
          <w:rFonts w:ascii="Arial" w:hAnsi="Arial" w:cs="Arial"/>
        </w:rPr>
      </w:pPr>
      <w:r w:rsidRPr="008340F1">
        <w:rPr>
          <w:rFonts w:ascii="Arial" w:hAnsi="Arial" w:cs="Arial"/>
        </w:rPr>
        <w:lastRenderedPageBreak/>
        <w:t>15. At what level would this service be best organised?</w:t>
      </w:r>
    </w:p>
    <w:p w14:paraId="09C0E268"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Individual practice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Primary Care Network/collaborative/federation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Community services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Integrated Care Board/System</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Hospital trust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sure</w:t>
      </w:r>
    </w:p>
    <w:p w14:paraId="47BA64FB" w14:textId="77777777" w:rsidR="007B2CC0" w:rsidRPr="008340F1" w:rsidRDefault="007B2CC0" w:rsidP="007B2CC0">
      <w:pPr>
        <w:rPr>
          <w:rFonts w:ascii="Arial" w:hAnsi="Arial" w:cs="Arial"/>
        </w:rPr>
      </w:pPr>
      <w:r w:rsidRPr="008340F1">
        <w:rPr>
          <w:rFonts w:ascii="Arial" w:hAnsi="Arial" w:cs="Arial"/>
        </w:rPr>
        <w:t>15b. Please explain: _______________________</w:t>
      </w:r>
    </w:p>
    <w:p w14:paraId="54C0C9AC" w14:textId="77777777" w:rsidR="007B2CC0" w:rsidRPr="008340F1" w:rsidRDefault="007B2CC0" w:rsidP="007B2CC0">
      <w:pPr>
        <w:rPr>
          <w:rFonts w:ascii="Arial" w:hAnsi="Arial" w:cs="Arial"/>
        </w:rPr>
      </w:pPr>
      <w:r w:rsidRPr="008340F1">
        <w:rPr>
          <w:rFonts w:ascii="Arial" w:hAnsi="Arial" w:cs="Arial"/>
        </w:rPr>
        <w:pict w14:anchorId="2D40B4EA">
          <v:rect id="_x0000_i1295" style="width:0;height:1.5pt" o:hralign="center" o:hrstd="t" o:hr="t" fillcolor="#a0a0a0" stroked="f"/>
        </w:pict>
      </w:r>
    </w:p>
    <w:p w14:paraId="0305B92F" w14:textId="77777777" w:rsidR="007B2CC0" w:rsidRPr="008340F1" w:rsidRDefault="007B2CC0" w:rsidP="007B2CC0">
      <w:pPr>
        <w:rPr>
          <w:rFonts w:ascii="Arial" w:hAnsi="Arial" w:cs="Arial"/>
        </w:rPr>
      </w:pPr>
      <w:r w:rsidRPr="008340F1">
        <w:rPr>
          <w:rFonts w:ascii="Arial" w:hAnsi="Arial" w:cs="Arial"/>
        </w:rPr>
        <w:t>Survey 2: Other General Practice Healthcare Practitioner Survey</w:t>
      </w:r>
    </w:p>
    <w:p w14:paraId="0D9DF08E" w14:textId="77777777" w:rsidR="007B2CC0" w:rsidRPr="008340F1" w:rsidRDefault="007B2CC0" w:rsidP="007B2CC0">
      <w:pPr>
        <w:rPr>
          <w:rFonts w:ascii="Arial" w:hAnsi="Arial" w:cs="Arial"/>
        </w:rPr>
      </w:pPr>
      <w:r w:rsidRPr="008340F1">
        <w:rPr>
          <w:rFonts w:ascii="Arial" w:hAnsi="Arial" w:cs="Arial"/>
          <w:i/>
          <w:iCs/>
        </w:rPr>
        <w:t>(Practice nurses, advanced nurse practitioners, physiotherapists, pharmacists, physician associates, mental health practitioners, paramedics, allied health professionals etc.)</w:t>
      </w:r>
    </w:p>
    <w:p w14:paraId="7F223F11" w14:textId="77777777" w:rsidR="007B2CC0" w:rsidRPr="008340F1" w:rsidRDefault="007B2CC0" w:rsidP="007B2CC0">
      <w:pPr>
        <w:rPr>
          <w:rFonts w:ascii="Arial" w:hAnsi="Arial" w:cs="Arial"/>
        </w:rPr>
      </w:pPr>
      <w:r w:rsidRPr="008340F1">
        <w:rPr>
          <w:rFonts w:ascii="Arial" w:hAnsi="Arial" w:cs="Arial"/>
        </w:rPr>
        <w:t>Demographics</w:t>
      </w:r>
    </w:p>
    <w:p w14:paraId="5FDA6AF5" w14:textId="77777777" w:rsidR="007B2CC0" w:rsidRPr="008340F1" w:rsidRDefault="007B2CC0" w:rsidP="007B2CC0">
      <w:pPr>
        <w:rPr>
          <w:rFonts w:ascii="Arial" w:hAnsi="Arial" w:cs="Arial"/>
        </w:rPr>
      </w:pPr>
      <w:r w:rsidRPr="008340F1">
        <w:rPr>
          <w:rFonts w:ascii="Arial" w:hAnsi="Arial" w:cs="Arial"/>
        </w:rPr>
        <w:t>Practice name: ___________</w:t>
      </w:r>
    </w:p>
    <w:p w14:paraId="5946158A" w14:textId="77777777" w:rsidR="007B2CC0" w:rsidRPr="008340F1" w:rsidRDefault="007B2CC0" w:rsidP="007B2CC0">
      <w:pPr>
        <w:rPr>
          <w:rFonts w:ascii="Arial" w:hAnsi="Arial" w:cs="Arial"/>
        </w:rPr>
      </w:pPr>
      <w:r w:rsidRPr="008340F1">
        <w:rPr>
          <w:rFonts w:ascii="Arial" w:hAnsi="Arial" w:cs="Arial"/>
        </w:rPr>
        <w:t>Practice postcode: ___________</w:t>
      </w:r>
    </w:p>
    <w:p w14:paraId="70B5357B" w14:textId="77777777" w:rsidR="007B2CC0" w:rsidRPr="008340F1" w:rsidRDefault="007B2CC0" w:rsidP="007B2CC0">
      <w:pPr>
        <w:rPr>
          <w:rFonts w:ascii="Arial" w:hAnsi="Arial" w:cs="Arial"/>
        </w:rPr>
      </w:pPr>
      <w:r w:rsidRPr="008340F1">
        <w:rPr>
          <w:rFonts w:ascii="Arial" w:hAnsi="Arial" w:cs="Arial"/>
        </w:rPr>
        <w:t>Role: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Practice pharmacist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First contact physiotherapist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Practice nurse</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Advanced nurse practitioner</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Advanced clinical practitioner</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Practice mental health practitioner</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Physician associate/assistant</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Practice paramedic</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 allied health professional</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Other</w:t>
      </w:r>
    </w:p>
    <w:p w14:paraId="72D1B487" w14:textId="621A52E7" w:rsidR="007B2CC0" w:rsidRPr="008340F1" w:rsidRDefault="00EA02EA" w:rsidP="007B2CC0">
      <w:pPr>
        <w:rPr>
          <w:rFonts w:ascii="Arial" w:hAnsi="Arial" w:cs="Arial"/>
        </w:rPr>
      </w:pPr>
      <w:r w:rsidRPr="008340F1">
        <w:rPr>
          <w:rFonts w:ascii="Arial" w:hAnsi="Arial" w:cs="Arial"/>
        </w:rPr>
        <w:t>Number of p</w:t>
      </w:r>
      <w:r w:rsidR="007B2CC0" w:rsidRPr="008340F1">
        <w:rPr>
          <w:rFonts w:ascii="Arial" w:hAnsi="Arial" w:cs="Arial"/>
        </w:rPr>
        <w:t>atient-facing sessions per week</w:t>
      </w:r>
      <w:r w:rsidR="007B2CC0" w:rsidRPr="008340F1">
        <w:rPr>
          <w:rFonts w:ascii="Arial" w:hAnsi="Arial" w:cs="Arial"/>
        </w:rPr>
        <w:br/>
      </w:r>
      <w:r w:rsidR="007B2CC0" w:rsidRPr="008340F1">
        <w:rPr>
          <w:rFonts w:ascii="Segoe UI Symbol" w:hAnsi="Segoe UI Symbol" w:cs="Segoe UI Symbol"/>
        </w:rPr>
        <w:t>☐</w:t>
      </w:r>
      <w:r w:rsidR="007B2CC0" w:rsidRPr="008340F1">
        <w:rPr>
          <w:rFonts w:ascii="Arial" w:hAnsi="Arial" w:cs="Arial"/>
        </w:rPr>
        <w:t xml:space="preserve"> &lt;2</w:t>
      </w:r>
      <w:r w:rsidRPr="008340F1">
        <w:rPr>
          <w:rFonts w:ascii="Arial" w:hAnsi="Arial" w:cs="Arial"/>
        </w:rPr>
        <w:t xml:space="preserve"> sessions</w:t>
      </w:r>
      <w:r w:rsidR="007B2CC0" w:rsidRPr="008340F1">
        <w:rPr>
          <w:rFonts w:ascii="Arial" w:hAnsi="Arial" w:cs="Arial"/>
        </w:rPr>
        <w:br/>
      </w:r>
      <w:r w:rsidR="007B2CC0" w:rsidRPr="008340F1">
        <w:rPr>
          <w:rFonts w:ascii="Segoe UI Symbol" w:hAnsi="Segoe UI Symbol" w:cs="Segoe UI Symbol"/>
        </w:rPr>
        <w:t>☐</w:t>
      </w:r>
      <w:r w:rsidR="007B2CC0" w:rsidRPr="008340F1">
        <w:rPr>
          <w:rFonts w:ascii="Arial" w:hAnsi="Arial" w:cs="Arial"/>
        </w:rPr>
        <w:t xml:space="preserve"> 2</w:t>
      </w:r>
      <w:r w:rsidRPr="008340F1">
        <w:rPr>
          <w:rFonts w:ascii="Arial" w:hAnsi="Arial" w:cs="Arial"/>
        </w:rPr>
        <w:t>-</w:t>
      </w:r>
      <w:r w:rsidR="007B2CC0" w:rsidRPr="008340F1">
        <w:rPr>
          <w:rFonts w:ascii="Arial" w:hAnsi="Arial" w:cs="Arial"/>
        </w:rPr>
        <w:t>4</w:t>
      </w:r>
      <w:r w:rsidRPr="008340F1">
        <w:rPr>
          <w:rFonts w:ascii="Arial" w:hAnsi="Arial" w:cs="Arial"/>
        </w:rPr>
        <w:t xml:space="preserve"> sessions</w:t>
      </w:r>
      <w:r w:rsidR="007B2CC0" w:rsidRPr="008340F1">
        <w:rPr>
          <w:rFonts w:ascii="Arial" w:hAnsi="Arial" w:cs="Arial"/>
        </w:rPr>
        <w:br/>
      </w:r>
      <w:r w:rsidR="007B2CC0" w:rsidRPr="008340F1">
        <w:rPr>
          <w:rFonts w:ascii="Segoe UI Symbol" w:hAnsi="Segoe UI Symbol" w:cs="Segoe UI Symbol"/>
        </w:rPr>
        <w:t>☐</w:t>
      </w:r>
      <w:r w:rsidR="007B2CC0" w:rsidRPr="008340F1">
        <w:rPr>
          <w:rFonts w:ascii="Arial" w:hAnsi="Arial" w:cs="Arial"/>
        </w:rPr>
        <w:t xml:space="preserve"> 5</w:t>
      </w:r>
      <w:r w:rsidRPr="008340F1">
        <w:rPr>
          <w:rFonts w:ascii="Arial" w:hAnsi="Arial" w:cs="Arial"/>
        </w:rPr>
        <w:t>-</w:t>
      </w:r>
      <w:r w:rsidR="007B2CC0" w:rsidRPr="008340F1">
        <w:rPr>
          <w:rFonts w:ascii="Arial" w:hAnsi="Arial" w:cs="Arial"/>
        </w:rPr>
        <w:t>7</w:t>
      </w:r>
      <w:r w:rsidRPr="008340F1">
        <w:rPr>
          <w:rFonts w:ascii="Arial" w:hAnsi="Arial" w:cs="Arial"/>
        </w:rPr>
        <w:t xml:space="preserve"> sessions</w:t>
      </w:r>
      <w:r w:rsidR="007B2CC0" w:rsidRPr="008340F1">
        <w:rPr>
          <w:rFonts w:ascii="Arial" w:hAnsi="Arial" w:cs="Arial"/>
        </w:rPr>
        <w:br/>
      </w:r>
      <w:r w:rsidR="007B2CC0" w:rsidRPr="008340F1">
        <w:rPr>
          <w:rFonts w:ascii="Segoe UI Symbol" w:hAnsi="Segoe UI Symbol" w:cs="Segoe UI Symbol"/>
        </w:rPr>
        <w:t>☐</w:t>
      </w:r>
      <w:r w:rsidR="007B2CC0" w:rsidRPr="008340F1">
        <w:rPr>
          <w:rFonts w:ascii="Arial" w:hAnsi="Arial" w:cs="Arial"/>
        </w:rPr>
        <w:t xml:space="preserve"> &gt;8</w:t>
      </w:r>
      <w:r w:rsidRPr="008340F1">
        <w:rPr>
          <w:rFonts w:ascii="Arial" w:hAnsi="Arial" w:cs="Arial"/>
        </w:rPr>
        <w:t xml:space="preserve"> sessions</w:t>
      </w:r>
    </w:p>
    <w:p w14:paraId="7207A131" w14:textId="77777777" w:rsidR="007B2CC0" w:rsidRPr="008340F1" w:rsidRDefault="007B2CC0" w:rsidP="007B2CC0">
      <w:pPr>
        <w:rPr>
          <w:rFonts w:ascii="Arial" w:hAnsi="Arial" w:cs="Arial"/>
        </w:rPr>
      </w:pPr>
      <w:r w:rsidRPr="008340F1">
        <w:rPr>
          <w:rFonts w:ascii="Arial" w:hAnsi="Arial" w:cs="Arial"/>
        </w:rPr>
        <w:pict w14:anchorId="26693539">
          <v:rect id="_x0000_i1296" style="width:0;height:1.5pt" o:hralign="center" o:hrstd="t" o:hr="t" fillcolor="#a0a0a0" stroked="f"/>
        </w:pict>
      </w:r>
    </w:p>
    <w:p w14:paraId="29BFC246" w14:textId="77777777" w:rsidR="007B2CC0" w:rsidRPr="008340F1" w:rsidRDefault="007B2CC0" w:rsidP="007B2CC0">
      <w:pPr>
        <w:rPr>
          <w:rFonts w:ascii="Arial" w:hAnsi="Arial" w:cs="Arial"/>
        </w:rPr>
      </w:pPr>
      <w:r w:rsidRPr="008340F1">
        <w:rPr>
          <w:rFonts w:ascii="Arial" w:hAnsi="Arial" w:cs="Arial"/>
        </w:rPr>
        <w:t>Main survey</w:t>
      </w:r>
    </w:p>
    <w:p w14:paraId="3C8CB971" w14:textId="77777777" w:rsidR="007B2CC0" w:rsidRPr="008340F1" w:rsidRDefault="007B2CC0" w:rsidP="007B2CC0">
      <w:pPr>
        <w:rPr>
          <w:rFonts w:ascii="Arial" w:hAnsi="Arial" w:cs="Arial"/>
        </w:rPr>
      </w:pPr>
      <w:r w:rsidRPr="008340F1">
        <w:rPr>
          <w:rFonts w:ascii="Arial" w:hAnsi="Arial" w:cs="Arial"/>
        </w:rPr>
        <w:t>Questions are equivalent to the GP survey but adapted for professional scope.</w:t>
      </w:r>
    </w:p>
    <w:p w14:paraId="7DB2FEDC" w14:textId="77777777" w:rsidR="007B2CC0" w:rsidRPr="008340F1" w:rsidRDefault="007B2CC0" w:rsidP="007B2CC0">
      <w:pPr>
        <w:rPr>
          <w:rFonts w:ascii="Arial" w:hAnsi="Arial" w:cs="Arial"/>
        </w:rPr>
      </w:pPr>
      <w:r w:rsidRPr="008340F1">
        <w:rPr>
          <w:rFonts w:ascii="Arial" w:hAnsi="Arial" w:cs="Arial"/>
        </w:rPr>
        <w:t>Key differences:</w:t>
      </w:r>
    </w:p>
    <w:p w14:paraId="56E843D1"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1: Number of patients seen with suspected PICs in previous month. </w:t>
      </w:r>
    </w:p>
    <w:p w14:paraId="277E998B"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2: Frequency of PIC-associated symptoms. </w:t>
      </w:r>
    </w:p>
    <w:p w14:paraId="3ED5438F"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4: Management approaches routinely suggested: </w:t>
      </w:r>
    </w:p>
    <w:p w14:paraId="168DAB87" w14:textId="77777777" w:rsidR="007B2CC0" w:rsidRPr="008340F1" w:rsidRDefault="007B2CC0" w:rsidP="007B2CC0">
      <w:pPr>
        <w:numPr>
          <w:ilvl w:val="1"/>
          <w:numId w:val="3"/>
        </w:numPr>
        <w:rPr>
          <w:rFonts w:ascii="Arial" w:hAnsi="Arial" w:cs="Arial"/>
        </w:rPr>
      </w:pPr>
      <w:r w:rsidRPr="008340F1">
        <w:rPr>
          <w:rFonts w:ascii="Arial" w:hAnsi="Arial" w:cs="Arial"/>
        </w:rPr>
        <w:lastRenderedPageBreak/>
        <w:t xml:space="preserve">Standardised assessment tools </w:t>
      </w:r>
    </w:p>
    <w:p w14:paraId="53FA2712" w14:textId="77777777" w:rsidR="007B2CC0" w:rsidRPr="008340F1" w:rsidRDefault="007B2CC0" w:rsidP="007B2CC0">
      <w:pPr>
        <w:numPr>
          <w:ilvl w:val="1"/>
          <w:numId w:val="3"/>
        </w:numPr>
        <w:rPr>
          <w:rFonts w:ascii="Arial" w:hAnsi="Arial" w:cs="Arial"/>
        </w:rPr>
      </w:pPr>
      <w:r w:rsidRPr="008340F1">
        <w:rPr>
          <w:rFonts w:ascii="Arial" w:hAnsi="Arial" w:cs="Arial"/>
        </w:rPr>
        <w:t xml:space="preserve">Individualised goal-setting </w:t>
      </w:r>
    </w:p>
    <w:p w14:paraId="3EB9ACE3" w14:textId="77777777" w:rsidR="007B2CC0" w:rsidRPr="008340F1" w:rsidRDefault="007B2CC0" w:rsidP="007B2CC0">
      <w:pPr>
        <w:numPr>
          <w:ilvl w:val="1"/>
          <w:numId w:val="3"/>
        </w:numPr>
        <w:rPr>
          <w:rFonts w:ascii="Arial" w:hAnsi="Arial" w:cs="Arial"/>
        </w:rPr>
      </w:pPr>
      <w:r w:rsidRPr="008340F1">
        <w:rPr>
          <w:rFonts w:ascii="Arial" w:hAnsi="Arial" w:cs="Arial"/>
        </w:rPr>
        <w:t xml:space="preserve">Pacing/energy management </w:t>
      </w:r>
    </w:p>
    <w:p w14:paraId="742A6803" w14:textId="77777777" w:rsidR="007B2CC0" w:rsidRPr="008340F1" w:rsidRDefault="007B2CC0" w:rsidP="007B2CC0">
      <w:pPr>
        <w:numPr>
          <w:ilvl w:val="1"/>
          <w:numId w:val="3"/>
        </w:numPr>
        <w:rPr>
          <w:rFonts w:ascii="Arial" w:hAnsi="Arial" w:cs="Arial"/>
        </w:rPr>
      </w:pPr>
      <w:r w:rsidRPr="008340F1">
        <w:rPr>
          <w:rFonts w:ascii="Arial" w:hAnsi="Arial" w:cs="Arial"/>
        </w:rPr>
        <w:t xml:space="preserve">Graded activity programmes </w:t>
      </w:r>
    </w:p>
    <w:p w14:paraId="19E53C58" w14:textId="77777777" w:rsidR="007B2CC0" w:rsidRPr="008340F1" w:rsidRDefault="007B2CC0" w:rsidP="007B2CC0">
      <w:pPr>
        <w:numPr>
          <w:ilvl w:val="1"/>
          <w:numId w:val="3"/>
        </w:numPr>
        <w:rPr>
          <w:rFonts w:ascii="Arial" w:hAnsi="Arial" w:cs="Arial"/>
        </w:rPr>
      </w:pPr>
      <w:r w:rsidRPr="008340F1">
        <w:rPr>
          <w:rFonts w:ascii="Arial" w:hAnsi="Arial" w:cs="Arial"/>
        </w:rPr>
        <w:t xml:space="preserve">Psychological support </w:t>
      </w:r>
    </w:p>
    <w:p w14:paraId="0A48BC30" w14:textId="77777777" w:rsidR="007B2CC0" w:rsidRPr="008340F1" w:rsidRDefault="007B2CC0" w:rsidP="007B2CC0">
      <w:pPr>
        <w:numPr>
          <w:ilvl w:val="1"/>
          <w:numId w:val="3"/>
        </w:numPr>
        <w:rPr>
          <w:rFonts w:ascii="Arial" w:hAnsi="Arial" w:cs="Arial"/>
        </w:rPr>
      </w:pPr>
      <w:r w:rsidRPr="008340F1">
        <w:rPr>
          <w:rFonts w:ascii="Arial" w:hAnsi="Arial" w:cs="Arial"/>
        </w:rPr>
        <w:t xml:space="preserve">Self-management education </w:t>
      </w:r>
    </w:p>
    <w:p w14:paraId="2368241A" w14:textId="77777777" w:rsidR="007B2CC0" w:rsidRPr="008340F1" w:rsidRDefault="007B2CC0" w:rsidP="007B2CC0">
      <w:pPr>
        <w:numPr>
          <w:ilvl w:val="1"/>
          <w:numId w:val="3"/>
        </w:numPr>
        <w:rPr>
          <w:rFonts w:ascii="Arial" w:hAnsi="Arial" w:cs="Arial"/>
        </w:rPr>
      </w:pPr>
      <w:r w:rsidRPr="008340F1">
        <w:rPr>
          <w:rFonts w:ascii="Arial" w:hAnsi="Arial" w:cs="Arial"/>
        </w:rPr>
        <w:t xml:space="preserve">Referrals </w:t>
      </w:r>
    </w:p>
    <w:p w14:paraId="6D3DC8CB" w14:textId="77777777" w:rsidR="007B2CC0" w:rsidRPr="008340F1" w:rsidRDefault="007B2CC0" w:rsidP="007B2CC0">
      <w:pPr>
        <w:numPr>
          <w:ilvl w:val="1"/>
          <w:numId w:val="3"/>
        </w:numPr>
        <w:rPr>
          <w:rFonts w:ascii="Arial" w:hAnsi="Arial" w:cs="Arial"/>
        </w:rPr>
      </w:pPr>
      <w:r w:rsidRPr="008340F1">
        <w:rPr>
          <w:rFonts w:ascii="Arial" w:hAnsi="Arial" w:cs="Arial"/>
        </w:rPr>
        <w:t xml:space="preserve">Communication with GP team </w:t>
      </w:r>
    </w:p>
    <w:p w14:paraId="764CFB4B" w14:textId="77777777" w:rsidR="007B2CC0" w:rsidRPr="008340F1" w:rsidRDefault="007B2CC0" w:rsidP="007B2CC0">
      <w:pPr>
        <w:numPr>
          <w:ilvl w:val="1"/>
          <w:numId w:val="3"/>
        </w:numPr>
        <w:rPr>
          <w:rFonts w:ascii="Arial" w:hAnsi="Arial" w:cs="Arial"/>
        </w:rPr>
      </w:pPr>
      <w:r w:rsidRPr="008340F1">
        <w:rPr>
          <w:rFonts w:ascii="Arial" w:hAnsi="Arial" w:cs="Arial"/>
        </w:rPr>
        <w:t xml:space="preserve">Peer/community support </w:t>
      </w:r>
    </w:p>
    <w:p w14:paraId="02516DA7"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5: Recording/coding practices. </w:t>
      </w:r>
    </w:p>
    <w:p w14:paraId="08E84775"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6: Referral/signposting pathways. </w:t>
      </w:r>
    </w:p>
    <w:p w14:paraId="520A184A"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7: Confidence managing PICs. </w:t>
      </w:r>
    </w:p>
    <w:p w14:paraId="6852B5F9"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8: Whether current services meet patient needs. </w:t>
      </w:r>
    </w:p>
    <w:p w14:paraId="481BFFFA"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9: Views on personalised PIC management service. </w:t>
      </w:r>
    </w:p>
    <w:p w14:paraId="7537F096"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10: Who should deliver service. </w:t>
      </w:r>
    </w:p>
    <w:p w14:paraId="7E15915E" w14:textId="77777777" w:rsidR="007B2CC0" w:rsidRPr="008340F1" w:rsidRDefault="007B2CC0" w:rsidP="007B2CC0">
      <w:pPr>
        <w:numPr>
          <w:ilvl w:val="0"/>
          <w:numId w:val="3"/>
        </w:numPr>
        <w:rPr>
          <w:rFonts w:ascii="Arial" w:hAnsi="Arial" w:cs="Arial"/>
        </w:rPr>
      </w:pPr>
      <w:r w:rsidRPr="008340F1">
        <w:rPr>
          <w:rFonts w:ascii="Arial" w:hAnsi="Arial" w:cs="Arial"/>
        </w:rPr>
        <w:t xml:space="preserve">Question 11: Best organisational level. </w:t>
      </w:r>
    </w:p>
    <w:p w14:paraId="1C76AC20" w14:textId="77777777" w:rsidR="007B2CC0" w:rsidRPr="008340F1" w:rsidRDefault="007B2CC0" w:rsidP="007B2CC0">
      <w:pPr>
        <w:rPr>
          <w:rFonts w:ascii="Arial" w:hAnsi="Arial" w:cs="Arial"/>
        </w:rPr>
      </w:pPr>
      <w:r w:rsidRPr="008340F1">
        <w:rPr>
          <w:rFonts w:ascii="Arial" w:hAnsi="Arial" w:cs="Arial"/>
        </w:rPr>
        <w:pict w14:anchorId="2D2B98BC">
          <v:rect id="_x0000_i1297" style="width:0;height:1.5pt" o:hralign="center" o:hrstd="t" o:hr="t" fillcolor="#a0a0a0" stroked="f"/>
        </w:pict>
      </w:r>
    </w:p>
    <w:p w14:paraId="0FB60D89" w14:textId="77777777" w:rsidR="007B2CC0" w:rsidRPr="008340F1" w:rsidRDefault="007B2CC0" w:rsidP="007B2CC0">
      <w:pPr>
        <w:rPr>
          <w:rFonts w:ascii="Arial" w:hAnsi="Arial" w:cs="Arial"/>
        </w:rPr>
      </w:pPr>
      <w:r w:rsidRPr="008340F1">
        <w:rPr>
          <w:rFonts w:ascii="Arial" w:hAnsi="Arial" w:cs="Arial"/>
        </w:rPr>
        <w:t>Exit questions (both surveys)</w:t>
      </w:r>
    </w:p>
    <w:p w14:paraId="5632064D" w14:textId="77777777" w:rsidR="007B2CC0" w:rsidRPr="008340F1" w:rsidRDefault="007B2CC0" w:rsidP="007B2CC0">
      <w:pPr>
        <w:rPr>
          <w:rFonts w:ascii="Arial" w:hAnsi="Arial" w:cs="Arial"/>
        </w:rPr>
      </w:pPr>
      <w:r w:rsidRPr="008340F1">
        <w:rPr>
          <w:rFonts w:ascii="Arial" w:hAnsi="Arial" w:cs="Arial"/>
        </w:rPr>
        <w:t>Would you be interested in your practice being involved as a trial site if funding was secured?</w:t>
      </w:r>
    </w:p>
    <w:p w14:paraId="5828A764"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Yes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Maybe / would like more information</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Not my role to agree to research</w:t>
      </w:r>
    </w:p>
    <w:p w14:paraId="2AAA84FD" w14:textId="77777777" w:rsidR="007B2CC0" w:rsidRPr="008340F1" w:rsidRDefault="007B2CC0" w:rsidP="007B2CC0">
      <w:pPr>
        <w:rPr>
          <w:rFonts w:ascii="Arial" w:hAnsi="Arial" w:cs="Arial"/>
        </w:rPr>
      </w:pPr>
      <w:r w:rsidRPr="008340F1">
        <w:rPr>
          <w:rFonts w:ascii="Arial" w:hAnsi="Arial" w:cs="Arial"/>
        </w:rPr>
        <w:t>Contact details (optional): ___________</w:t>
      </w:r>
    </w:p>
    <w:p w14:paraId="6ABCB9B2" w14:textId="77777777" w:rsidR="007B2CC0" w:rsidRPr="008340F1" w:rsidRDefault="007B2CC0" w:rsidP="007B2CC0">
      <w:pPr>
        <w:rPr>
          <w:rFonts w:ascii="Arial" w:hAnsi="Arial" w:cs="Arial"/>
        </w:rPr>
      </w:pPr>
      <w:r w:rsidRPr="008340F1">
        <w:rPr>
          <w:rFonts w:ascii="Arial" w:hAnsi="Arial" w:cs="Arial"/>
        </w:rPr>
        <w:t>Would you like your name acknowledged in publications/reports?</w:t>
      </w:r>
    </w:p>
    <w:p w14:paraId="652CCF0F"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Yes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w:t>
      </w:r>
    </w:p>
    <w:p w14:paraId="031053C9" w14:textId="77777777" w:rsidR="007B2CC0" w:rsidRPr="008340F1" w:rsidRDefault="007B2CC0" w:rsidP="007B2CC0">
      <w:pPr>
        <w:rPr>
          <w:rFonts w:ascii="Arial" w:hAnsi="Arial" w:cs="Arial"/>
        </w:rPr>
      </w:pPr>
      <w:r w:rsidRPr="008340F1">
        <w:rPr>
          <w:rFonts w:ascii="Arial" w:hAnsi="Arial" w:cs="Arial"/>
        </w:rPr>
        <w:t>If yes, name for acknowledgement: ___________</w:t>
      </w:r>
    </w:p>
    <w:p w14:paraId="246AF7A0" w14:textId="77777777" w:rsidR="007B2CC0" w:rsidRPr="008340F1" w:rsidRDefault="007B2CC0" w:rsidP="007B2CC0">
      <w:pPr>
        <w:rPr>
          <w:rFonts w:ascii="Arial" w:hAnsi="Arial" w:cs="Arial"/>
        </w:rPr>
      </w:pPr>
      <w:r w:rsidRPr="008340F1">
        <w:rPr>
          <w:rFonts w:ascii="Arial" w:hAnsi="Arial" w:cs="Arial"/>
        </w:rPr>
        <w:t>Prize draw (£100 shopping voucher):</w:t>
      </w:r>
    </w:p>
    <w:p w14:paraId="36AA720C" w14:textId="77777777" w:rsidR="007B2CC0" w:rsidRPr="008340F1" w:rsidRDefault="007B2CC0" w:rsidP="007B2CC0">
      <w:pPr>
        <w:rPr>
          <w:rFonts w:ascii="Arial" w:hAnsi="Arial" w:cs="Arial"/>
        </w:rPr>
      </w:pPr>
      <w:r w:rsidRPr="008340F1">
        <w:rPr>
          <w:rFonts w:ascii="Segoe UI Symbol" w:hAnsi="Segoe UI Symbol" w:cs="Segoe UI Symbol"/>
        </w:rPr>
        <w:t>☐</w:t>
      </w:r>
      <w:r w:rsidRPr="008340F1">
        <w:rPr>
          <w:rFonts w:ascii="Arial" w:hAnsi="Arial" w:cs="Arial"/>
        </w:rPr>
        <w:t xml:space="preserve"> Yes</w:t>
      </w:r>
      <w:r w:rsidRPr="008340F1">
        <w:rPr>
          <w:rFonts w:ascii="Arial" w:hAnsi="Arial" w:cs="Arial"/>
        </w:rPr>
        <w:br/>
      </w:r>
      <w:r w:rsidRPr="008340F1">
        <w:rPr>
          <w:rFonts w:ascii="Segoe UI Symbol" w:hAnsi="Segoe UI Symbol" w:cs="Segoe UI Symbol"/>
        </w:rPr>
        <w:t>☐</w:t>
      </w:r>
      <w:r w:rsidRPr="008340F1">
        <w:rPr>
          <w:rFonts w:ascii="Arial" w:hAnsi="Arial" w:cs="Arial"/>
        </w:rPr>
        <w:t xml:space="preserve"> No</w:t>
      </w:r>
    </w:p>
    <w:p w14:paraId="43E5F453" w14:textId="77777777" w:rsidR="007B2CC0" w:rsidRPr="008340F1" w:rsidRDefault="007B2CC0" w:rsidP="007B2CC0">
      <w:pPr>
        <w:rPr>
          <w:rFonts w:ascii="Arial" w:hAnsi="Arial" w:cs="Arial"/>
        </w:rPr>
      </w:pPr>
      <w:r w:rsidRPr="008340F1">
        <w:rPr>
          <w:rFonts w:ascii="Arial" w:hAnsi="Arial" w:cs="Arial"/>
        </w:rPr>
        <w:t>Email (if yes): ___________</w:t>
      </w:r>
    </w:p>
    <w:p w14:paraId="142F3F87" w14:textId="77777777" w:rsidR="005F77CC" w:rsidRPr="008340F1" w:rsidRDefault="005F77CC">
      <w:pPr>
        <w:rPr>
          <w:rFonts w:ascii="Arial" w:hAnsi="Arial" w:cs="Arial"/>
          <w:b/>
          <w:bCs/>
        </w:rPr>
      </w:pPr>
    </w:p>
    <w:p w14:paraId="12B1E1B5" w14:textId="77777777" w:rsidR="007B2EE6" w:rsidRPr="008340F1" w:rsidRDefault="007B2EE6">
      <w:pPr>
        <w:rPr>
          <w:rFonts w:ascii="Arial" w:hAnsi="Arial" w:cs="Arial"/>
          <w:b/>
          <w:bCs/>
        </w:rPr>
        <w:sectPr w:rsidR="007B2EE6" w:rsidRPr="008340F1">
          <w:pgSz w:w="11906" w:h="16838"/>
          <w:pgMar w:top="1440" w:right="1440" w:bottom="1440" w:left="1440" w:header="708" w:footer="708" w:gutter="0"/>
          <w:cols w:space="708"/>
          <w:docGrid w:linePitch="360"/>
        </w:sectPr>
      </w:pPr>
    </w:p>
    <w:p w14:paraId="5B436C57" w14:textId="46273A4E" w:rsidR="005F77CC" w:rsidRPr="008340F1" w:rsidRDefault="00793BCC">
      <w:pPr>
        <w:rPr>
          <w:rFonts w:ascii="Arial" w:hAnsi="Arial" w:cs="Arial"/>
          <w:b/>
          <w:bCs/>
        </w:rPr>
      </w:pPr>
      <w:r w:rsidRPr="008340F1">
        <w:rPr>
          <w:rFonts w:ascii="Arial" w:hAnsi="Arial" w:cs="Arial"/>
          <w:b/>
          <w:bCs/>
        </w:rPr>
        <w:lastRenderedPageBreak/>
        <w:t xml:space="preserve">Supplementary </w:t>
      </w:r>
      <w:r w:rsidR="000E2A34">
        <w:rPr>
          <w:rFonts w:ascii="Arial" w:hAnsi="Arial" w:cs="Arial"/>
          <w:b/>
          <w:bCs/>
        </w:rPr>
        <w:t>Table</w:t>
      </w:r>
      <w:r w:rsidRPr="008340F1">
        <w:rPr>
          <w:rFonts w:ascii="Arial" w:hAnsi="Arial" w:cs="Arial"/>
          <w:b/>
          <w:bCs/>
        </w:rPr>
        <w:t xml:space="preserve"> S</w:t>
      </w:r>
      <w:r w:rsidR="000E2A34">
        <w:rPr>
          <w:rFonts w:ascii="Arial" w:hAnsi="Arial" w:cs="Arial"/>
          <w:b/>
          <w:bCs/>
        </w:rPr>
        <w:t>3</w:t>
      </w:r>
      <w:r w:rsidRPr="008340F1">
        <w:rPr>
          <w:rFonts w:ascii="Arial" w:hAnsi="Arial" w:cs="Arial"/>
          <w:b/>
          <w:bCs/>
        </w:rPr>
        <w:t xml:space="preserve">. </w:t>
      </w:r>
      <w:r w:rsidR="00134438">
        <w:rPr>
          <w:rFonts w:ascii="Arial" w:hAnsi="Arial" w:cs="Arial"/>
          <w:b/>
          <w:bCs/>
        </w:rPr>
        <w:t>Data extraction table.</w:t>
      </w:r>
    </w:p>
    <w:tbl>
      <w:tblPr>
        <w:tblStyle w:val="TableGridLight"/>
        <w:tblpPr w:leftFromText="180" w:rightFromText="180" w:vertAnchor="text" w:horzAnchor="margin" w:tblpXSpec="center" w:tblpY="134"/>
        <w:tblW w:w="15740" w:type="dxa"/>
        <w:tblLayout w:type="fixed"/>
        <w:tblLook w:val="04A0" w:firstRow="1" w:lastRow="0" w:firstColumn="1" w:lastColumn="0" w:noHBand="0" w:noVBand="1"/>
      </w:tblPr>
      <w:tblGrid>
        <w:gridCol w:w="846"/>
        <w:gridCol w:w="1276"/>
        <w:gridCol w:w="708"/>
        <w:gridCol w:w="709"/>
        <w:gridCol w:w="992"/>
        <w:gridCol w:w="1134"/>
        <w:gridCol w:w="993"/>
        <w:gridCol w:w="1275"/>
        <w:gridCol w:w="993"/>
        <w:gridCol w:w="850"/>
        <w:gridCol w:w="851"/>
        <w:gridCol w:w="992"/>
        <w:gridCol w:w="1134"/>
        <w:gridCol w:w="992"/>
        <w:gridCol w:w="992"/>
        <w:gridCol w:w="1003"/>
      </w:tblGrid>
      <w:tr w:rsidR="00223353" w:rsidRPr="008340F1" w14:paraId="716BCAF3" w14:textId="77777777" w:rsidTr="000E2A34">
        <w:trPr>
          <w:trHeight w:val="560"/>
        </w:trPr>
        <w:tc>
          <w:tcPr>
            <w:tcW w:w="846" w:type="dxa"/>
            <w:hideMark/>
          </w:tcPr>
          <w:p w14:paraId="1BC6CD92"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Author &amp; Year</w:t>
            </w:r>
          </w:p>
        </w:tc>
        <w:tc>
          <w:tcPr>
            <w:tcW w:w="1276" w:type="dxa"/>
            <w:noWrap/>
            <w:hideMark/>
          </w:tcPr>
          <w:p w14:paraId="34C910E3" w14:textId="77777777" w:rsidR="00223353" w:rsidRPr="008340F1" w:rsidRDefault="00223353" w:rsidP="00223353">
            <w:pPr>
              <w:rPr>
                <w:rFonts w:ascii="Arial" w:eastAsia="Times New Roman" w:hAnsi="Arial" w:cs="Arial"/>
                <w:b/>
                <w:bCs/>
                <w:kern w:val="0"/>
                <w:sz w:val="12"/>
                <w:szCs w:val="12"/>
                <w:lang w:eastAsia="en-GB"/>
                <w14:ligatures w14:val="none"/>
              </w:rPr>
            </w:pPr>
            <w:r w:rsidRPr="008340F1">
              <w:rPr>
                <w:rFonts w:ascii="Arial" w:hAnsi="Arial" w:cs="Arial"/>
                <w:b/>
                <w:bCs/>
                <w:sz w:val="12"/>
                <w:szCs w:val="12"/>
              </w:rPr>
              <w:t>URL</w:t>
            </w:r>
          </w:p>
        </w:tc>
        <w:tc>
          <w:tcPr>
            <w:tcW w:w="708" w:type="dxa"/>
            <w:hideMark/>
          </w:tcPr>
          <w:p w14:paraId="2099ACCF"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Study Type</w:t>
            </w:r>
          </w:p>
        </w:tc>
        <w:tc>
          <w:tcPr>
            <w:tcW w:w="709" w:type="dxa"/>
            <w:hideMark/>
          </w:tcPr>
          <w:p w14:paraId="42873A98"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PIC(s)</w:t>
            </w:r>
          </w:p>
        </w:tc>
        <w:tc>
          <w:tcPr>
            <w:tcW w:w="992" w:type="dxa"/>
            <w:hideMark/>
          </w:tcPr>
          <w:p w14:paraId="58DFB84D"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Type of Primary Care Approach Studied</w:t>
            </w:r>
          </w:p>
        </w:tc>
        <w:tc>
          <w:tcPr>
            <w:tcW w:w="1134" w:type="dxa"/>
            <w:hideMark/>
          </w:tcPr>
          <w:p w14:paraId="19AE4F12"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Approach Description</w:t>
            </w:r>
          </w:p>
        </w:tc>
        <w:tc>
          <w:tcPr>
            <w:tcW w:w="993" w:type="dxa"/>
            <w:hideMark/>
          </w:tcPr>
          <w:p w14:paraId="4F1C2AFF"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Role of Primary Care in the Study</w:t>
            </w:r>
          </w:p>
        </w:tc>
        <w:tc>
          <w:tcPr>
            <w:tcW w:w="1275" w:type="dxa"/>
            <w:hideMark/>
          </w:tcPr>
          <w:p w14:paraId="06AA6117"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Self-Management Support Provided</w:t>
            </w:r>
          </w:p>
        </w:tc>
        <w:tc>
          <w:tcPr>
            <w:tcW w:w="993" w:type="dxa"/>
            <w:hideMark/>
          </w:tcPr>
          <w:p w14:paraId="515B6AC6"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Patient Self-Management Reported</w:t>
            </w:r>
          </w:p>
        </w:tc>
        <w:tc>
          <w:tcPr>
            <w:tcW w:w="850" w:type="dxa"/>
            <w:hideMark/>
          </w:tcPr>
          <w:p w14:paraId="3B1C0958"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Setting / Context</w:t>
            </w:r>
          </w:p>
        </w:tc>
        <w:tc>
          <w:tcPr>
            <w:tcW w:w="851" w:type="dxa"/>
            <w:hideMark/>
          </w:tcPr>
          <w:p w14:paraId="3D9F3F86"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Sample Size</w:t>
            </w:r>
          </w:p>
        </w:tc>
        <w:tc>
          <w:tcPr>
            <w:tcW w:w="992" w:type="dxa"/>
            <w:hideMark/>
          </w:tcPr>
          <w:p w14:paraId="2154C741"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Sample Characteristics</w:t>
            </w:r>
          </w:p>
        </w:tc>
        <w:tc>
          <w:tcPr>
            <w:tcW w:w="1134" w:type="dxa"/>
            <w:hideMark/>
          </w:tcPr>
          <w:p w14:paraId="4C6CDEB5" w14:textId="50885754"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Key Findings</w:t>
            </w:r>
          </w:p>
        </w:tc>
        <w:tc>
          <w:tcPr>
            <w:tcW w:w="992" w:type="dxa"/>
            <w:hideMark/>
          </w:tcPr>
          <w:p w14:paraId="07A89448"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Equity Findings</w:t>
            </w:r>
          </w:p>
        </w:tc>
        <w:tc>
          <w:tcPr>
            <w:tcW w:w="992" w:type="dxa"/>
            <w:hideMark/>
          </w:tcPr>
          <w:p w14:paraId="694D4F6B"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Barriers to Care</w:t>
            </w:r>
          </w:p>
        </w:tc>
        <w:tc>
          <w:tcPr>
            <w:tcW w:w="1003" w:type="dxa"/>
            <w:hideMark/>
          </w:tcPr>
          <w:p w14:paraId="55EC9DBA" w14:textId="77777777" w:rsidR="00223353" w:rsidRPr="008340F1" w:rsidRDefault="00223353" w:rsidP="00223353">
            <w:pPr>
              <w:jc w:val="cente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Enablers to Care</w:t>
            </w:r>
          </w:p>
        </w:tc>
      </w:tr>
      <w:tr w:rsidR="00223353" w:rsidRPr="008340F1" w14:paraId="6891E89C" w14:textId="77777777" w:rsidTr="000E2A34">
        <w:trPr>
          <w:trHeight w:val="1120"/>
        </w:trPr>
        <w:tc>
          <w:tcPr>
            <w:tcW w:w="846" w:type="dxa"/>
            <w:hideMark/>
          </w:tcPr>
          <w:p w14:paraId="4F55B913"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NHS England (2021)</w:t>
            </w:r>
          </w:p>
        </w:tc>
        <w:tc>
          <w:tcPr>
            <w:tcW w:w="1276" w:type="dxa"/>
            <w:hideMark/>
          </w:tcPr>
          <w:p w14:paraId="26A9DDDA" w14:textId="77777777" w:rsidR="00223353" w:rsidRPr="008340F1" w:rsidRDefault="00223353" w:rsidP="00223353">
            <w:pPr>
              <w:rPr>
                <w:rFonts w:ascii="Arial" w:eastAsia="Times New Roman" w:hAnsi="Arial" w:cs="Arial"/>
                <w:kern w:val="0"/>
                <w:sz w:val="12"/>
                <w:szCs w:val="12"/>
                <w:lang w:eastAsia="en-GB"/>
                <w14:ligatures w14:val="none"/>
              </w:rPr>
            </w:pPr>
            <w:hyperlink r:id="rId5" w:history="1">
              <w:r w:rsidRPr="008340F1">
                <w:rPr>
                  <w:rStyle w:val="Hyperlink"/>
                  <w:rFonts w:ascii="Arial" w:hAnsi="Arial" w:cs="Arial"/>
                  <w:color w:val="auto"/>
                  <w:sz w:val="12"/>
                  <w:szCs w:val="12"/>
                </w:rPr>
                <w:t xml:space="preserve">https://www.england.nhs.uk/coronavirus/wp-content/uploads/sites/52/2021/06/C1312-long-covid-plan-june-2021.pdf </w:t>
              </w:r>
            </w:hyperlink>
          </w:p>
        </w:tc>
        <w:tc>
          <w:tcPr>
            <w:tcW w:w="708" w:type="dxa"/>
            <w:hideMark/>
          </w:tcPr>
          <w:p w14:paraId="5DB0C6C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Policy report</w:t>
            </w:r>
          </w:p>
        </w:tc>
        <w:tc>
          <w:tcPr>
            <w:tcW w:w="709" w:type="dxa"/>
            <w:hideMark/>
          </w:tcPr>
          <w:p w14:paraId="61C62D7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0ACBD78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National service model</w:t>
            </w:r>
          </w:p>
        </w:tc>
        <w:tc>
          <w:tcPr>
            <w:tcW w:w="1134" w:type="dxa"/>
            <w:hideMark/>
          </w:tcPr>
          <w:p w14:paraId="4918E61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National primary care-led pathway; referral to LC clinics; integrated MDT care</w:t>
            </w:r>
          </w:p>
        </w:tc>
        <w:tc>
          <w:tcPr>
            <w:tcW w:w="993" w:type="dxa"/>
            <w:hideMark/>
          </w:tcPr>
          <w:p w14:paraId="5B40884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as first contact, assessor, coordinator, referrer</w:t>
            </w:r>
          </w:p>
        </w:tc>
        <w:tc>
          <w:tcPr>
            <w:tcW w:w="1275" w:type="dxa"/>
            <w:hideMark/>
          </w:tcPr>
          <w:p w14:paraId="55B7F56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recovery programme (Your COVID Recovery); clinician-supported self-management; education resources</w:t>
            </w:r>
          </w:p>
        </w:tc>
        <w:tc>
          <w:tcPr>
            <w:tcW w:w="993" w:type="dxa"/>
            <w:hideMark/>
          </w:tcPr>
          <w:p w14:paraId="0D4EA82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850" w:type="dxa"/>
            <w:hideMark/>
          </w:tcPr>
          <w:p w14:paraId="1D95559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UK primary care, PCNs, community, ICS pathways</w:t>
            </w:r>
          </w:p>
        </w:tc>
        <w:tc>
          <w:tcPr>
            <w:tcW w:w="851" w:type="dxa"/>
            <w:hideMark/>
          </w:tcPr>
          <w:p w14:paraId="0501DDB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33A2CCF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1134" w:type="dxa"/>
            <w:hideMark/>
          </w:tcPr>
          <w:p w14:paraId="079D9DF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Establishes structured pathways; emphasises GP coordination and self-management</w:t>
            </w:r>
          </w:p>
        </w:tc>
        <w:tc>
          <w:tcPr>
            <w:tcW w:w="992" w:type="dxa"/>
            <w:hideMark/>
          </w:tcPr>
          <w:p w14:paraId="44C0A5E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Recognises inequalities (ethnicity, deprivation); limited subgroup detail</w:t>
            </w:r>
          </w:p>
        </w:tc>
        <w:tc>
          <w:tcPr>
            <w:tcW w:w="992" w:type="dxa"/>
            <w:hideMark/>
          </w:tcPr>
          <w:p w14:paraId="2DA86A3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variation; access issues; GP workload; digital exclusion</w:t>
            </w:r>
          </w:p>
        </w:tc>
        <w:tc>
          <w:tcPr>
            <w:tcW w:w="1003" w:type="dxa"/>
            <w:hideMark/>
          </w:tcPr>
          <w:p w14:paraId="3100037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National funding; training; integrated pathways; digital tools</w:t>
            </w:r>
          </w:p>
        </w:tc>
      </w:tr>
      <w:tr w:rsidR="00223353" w:rsidRPr="008340F1" w14:paraId="7D5DC276" w14:textId="77777777" w:rsidTr="000E2A34">
        <w:trPr>
          <w:trHeight w:val="1400"/>
        </w:trPr>
        <w:tc>
          <w:tcPr>
            <w:tcW w:w="846" w:type="dxa"/>
            <w:hideMark/>
          </w:tcPr>
          <w:p w14:paraId="40959698"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Alwan et al. (2023)</w:t>
            </w:r>
          </w:p>
        </w:tc>
        <w:tc>
          <w:tcPr>
            <w:tcW w:w="1276" w:type="dxa"/>
            <w:hideMark/>
          </w:tcPr>
          <w:p w14:paraId="45BF0A9A" w14:textId="77777777" w:rsidR="00223353" w:rsidRPr="008340F1" w:rsidRDefault="00223353" w:rsidP="00223353">
            <w:pPr>
              <w:rPr>
                <w:rFonts w:ascii="Arial" w:eastAsia="Times New Roman" w:hAnsi="Arial" w:cs="Arial"/>
                <w:kern w:val="0"/>
                <w:sz w:val="12"/>
                <w:szCs w:val="12"/>
                <w:lang w:eastAsia="en-GB"/>
                <w14:ligatures w14:val="none"/>
              </w:rPr>
            </w:pPr>
            <w:hyperlink r:id="rId6" w:history="1">
              <w:r w:rsidRPr="008340F1">
                <w:rPr>
                  <w:rStyle w:val="Hyperlink"/>
                  <w:rFonts w:ascii="Arial" w:hAnsi="Arial" w:cs="Arial"/>
                  <w:sz w:val="12"/>
                  <w:szCs w:val="12"/>
                </w:rPr>
                <w:t xml:space="preserve">https://journals.plos.org/plosone/article?id=10.1371/journal.pone.0284297 </w:t>
              </w:r>
            </w:hyperlink>
          </w:p>
        </w:tc>
        <w:tc>
          <w:tcPr>
            <w:tcW w:w="708" w:type="dxa"/>
            <w:hideMark/>
          </w:tcPr>
          <w:p w14:paraId="4D06976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Mixed-methods protocol</w:t>
            </w:r>
          </w:p>
        </w:tc>
        <w:tc>
          <w:tcPr>
            <w:tcW w:w="709" w:type="dxa"/>
            <w:hideMark/>
          </w:tcPr>
          <w:p w14:paraId="10EC168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4C28078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 outreach intervention (planned)</w:t>
            </w:r>
          </w:p>
        </w:tc>
        <w:tc>
          <w:tcPr>
            <w:tcW w:w="1134" w:type="dxa"/>
            <w:hideMark/>
          </w:tcPr>
          <w:p w14:paraId="36B6073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Identify undiagnosed individuals; link to GP, social prescribing, services</w:t>
            </w:r>
          </w:p>
        </w:tc>
        <w:tc>
          <w:tcPr>
            <w:tcW w:w="993" w:type="dxa"/>
            <w:hideMark/>
          </w:tcPr>
          <w:p w14:paraId="003F607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as referral endpoint and care access point</w:t>
            </w:r>
          </w:p>
        </w:tc>
        <w:tc>
          <w:tcPr>
            <w:tcW w:w="1275" w:type="dxa"/>
            <w:hideMark/>
          </w:tcPr>
          <w:p w14:paraId="1A63568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Planned personalised support via social prescribing and education</w:t>
            </w:r>
          </w:p>
        </w:tc>
        <w:tc>
          <w:tcPr>
            <w:tcW w:w="993" w:type="dxa"/>
            <w:hideMark/>
          </w:tcPr>
          <w:p w14:paraId="6FFBF2A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850" w:type="dxa"/>
            <w:hideMark/>
          </w:tcPr>
          <w:p w14:paraId="2F97F46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Community-based outreach linked to primary care</w:t>
            </w:r>
          </w:p>
        </w:tc>
        <w:tc>
          <w:tcPr>
            <w:tcW w:w="851" w:type="dxa"/>
            <w:hideMark/>
          </w:tcPr>
          <w:p w14:paraId="7388888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n≈20-30 (planned)</w:t>
            </w:r>
          </w:p>
        </w:tc>
        <w:tc>
          <w:tcPr>
            <w:tcW w:w="992" w:type="dxa"/>
            <w:hideMark/>
          </w:tcPr>
          <w:p w14:paraId="57E9C2A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underserved groups targeted (planned)</w:t>
            </w:r>
          </w:p>
        </w:tc>
        <w:tc>
          <w:tcPr>
            <w:tcW w:w="1134" w:type="dxa"/>
            <w:hideMark/>
          </w:tcPr>
          <w:p w14:paraId="3DDE9D4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204551C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1E5E87E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stigma, access barriers, dismissal</w:t>
            </w:r>
          </w:p>
        </w:tc>
        <w:tc>
          <w:tcPr>
            <w:tcW w:w="1003" w:type="dxa"/>
            <w:hideMark/>
          </w:tcPr>
          <w:p w14:paraId="2B9139A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community partnerships; trusted organisations; tailored outreach</w:t>
            </w:r>
          </w:p>
        </w:tc>
      </w:tr>
      <w:tr w:rsidR="00223353" w:rsidRPr="008340F1" w14:paraId="6D38F85A" w14:textId="77777777" w:rsidTr="000E2A34">
        <w:trPr>
          <w:trHeight w:val="840"/>
        </w:trPr>
        <w:tc>
          <w:tcPr>
            <w:tcW w:w="846" w:type="dxa"/>
            <w:hideMark/>
          </w:tcPr>
          <w:p w14:paraId="10FA204E"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Sivan et al. (2022)</w:t>
            </w:r>
          </w:p>
        </w:tc>
        <w:tc>
          <w:tcPr>
            <w:tcW w:w="1276" w:type="dxa"/>
            <w:hideMark/>
          </w:tcPr>
          <w:p w14:paraId="66B6187D" w14:textId="77777777" w:rsidR="00223353" w:rsidRPr="008340F1" w:rsidRDefault="00223353" w:rsidP="00223353">
            <w:pPr>
              <w:rPr>
                <w:rFonts w:ascii="Arial" w:hAnsi="Arial" w:cs="Arial"/>
                <w:sz w:val="12"/>
                <w:szCs w:val="12"/>
              </w:rPr>
            </w:pPr>
            <w:r w:rsidRPr="008340F1">
              <w:rPr>
                <w:rFonts w:ascii="Arial" w:hAnsi="Arial" w:cs="Arial"/>
                <w:sz w:val="12"/>
                <w:szCs w:val="12"/>
              </w:rPr>
              <w:t>10.1136/ bmjopen-2022-063505</w:t>
            </w:r>
          </w:p>
        </w:tc>
        <w:tc>
          <w:tcPr>
            <w:tcW w:w="708" w:type="dxa"/>
            <w:hideMark/>
          </w:tcPr>
          <w:p w14:paraId="72D6708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Mixed-methods protocol</w:t>
            </w:r>
          </w:p>
        </w:tc>
        <w:tc>
          <w:tcPr>
            <w:tcW w:w="709" w:type="dxa"/>
            <w:hideMark/>
          </w:tcPr>
          <w:p w14:paraId="27A8450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7D6C46B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Integrated care pathway optimisation (planned)</w:t>
            </w:r>
          </w:p>
        </w:tc>
        <w:tc>
          <w:tcPr>
            <w:tcW w:w="1134" w:type="dxa"/>
            <w:hideMark/>
          </w:tcPr>
          <w:p w14:paraId="3DE12D3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QI collaborative; digital monitoring; pathway redesign; MDT care</w:t>
            </w:r>
          </w:p>
        </w:tc>
        <w:tc>
          <w:tcPr>
            <w:tcW w:w="993" w:type="dxa"/>
            <w:hideMark/>
          </w:tcPr>
          <w:p w14:paraId="0290C8A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involved in pathway redesign and data (GP cohort)</w:t>
            </w:r>
          </w:p>
        </w:tc>
        <w:tc>
          <w:tcPr>
            <w:tcW w:w="1275" w:type="dxa"/>
            <w:hideMark/>
          </w:tcPr>
          <w:p w14:paraId="076DE26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Planned digital monitoring; self-management tools; co-designed support</w:t>
            </w:r>
          </w:p>
        </w:tc>
        <w:tc>
          <w:tcPr>
            <w:tcW w:w="993" w:type="dxa"/>
            <w:hideMark/>
          </w:tcPr>
          <w:p w14:paraId="1D92F39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850" w:type="dxa"/>
            <w:hideMark/>
          </w:tcPr>
          <w:p w14:paraId="2998C45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 LC clinics + home monitoring</w:t>
            </w:r>
          </w:p>
        </w:tc>
        <w:tc>
          <w:tcPr>
            <w:tcW w:w="851" w:type="dxa"/>
            <w:hideMark/>
          </w:tcPr>
          <w:p w14:paraId="64B100E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n≈5100 (planned)</w:t>
            </w:r>
          </w:p>
        </w:tc>
        <w:tc>
          <w:tcPr>
            <w:tcW w:w="992" w:type="dxa"/>
            <w:hideMark/>
          </w:tcPr>
          <w:p w14:paraId="757D78F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clinic and GP populations (planned)</w:t>
            </w:r>
          </w:p>
        </w:tc>
        <w:tc>
          <w:tcPr>
            <w:tcW w:w="1134" w:type="dxa"/>
            <w:hideMark/>
          </w:tcPr>
          <w:p w14:paraId="6995D33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33D42BF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6DA74D7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variable access; long waits; GP uncertainty</w:t>
            </w:r>
          </w:p>
        </w:tc>
        <w:tc>
          <w:tcPr>
            <w:tcW w:w="1003" w:type="dxa"/>
            <w:hideMark/>
          </w:tcPr>
          <w:p w14:paraId="4652B00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patient co-design; tech-enabled monitoring; QI cycles</w:t>
            </w:r>
          </w:p>
        </w:tc>
      </w:tr>
      <w:tr w:rsidR="00223353" w:rsidRPr="008340F1" w14:paraId="10115770" w14:textId="77777777" w:rsidTr="000E2A34">
        <w:trPr>
          <w:trHeight w:val="840"/>
        </w:trPr>
        <w:tc>
          <w:tcPr>
            <w:tcW w:w="846" w:type="dxa"/>
            <w:hideMark/>
          </w:tcPr>
          <w:p w14:paraId="3D9C8AC8"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Brennan et al. (2022)</w:t>
            </w:r>
          </w:p>
        </w:tc>
        <w:tc>
          <w:tcPr>
            <w:tcW w:w="1276" w:type="dxa"/>
            <w:hideMark/>
          </w:tcPr>
          <w:p w14:paraId="3984FEB0" w14:textId="77777777" w:rsidR="00223353" w:rsidRPr="008340F1" w:rsidRDefault="00223353" w:rsidP="00223353">
            <w:pPr>
              <w:rPr>
                <w:rFonts w:ascii="Arial" w:eastAsia="Times New Roman" w:hAnsi="Arial" w:cs="Arial"/>
                <w:kern w:val="0"/>
                <w:sz w:val="12"/>
                <w:szCs w:val="12"/>
                <w:lang w:eastAsia="en-GB"/>
                <w14:ligatures w14:val="none"/>
              </w:rPr>
            </w:pPr>
            <w:hyperlink r:id="rId7" w:history="1">
              <w:r w:rsidRPr="008340F1">
                <w:rPr>
                  <w:rStyle w:val="Hyperlink"/>
                  <w:rFonts w:ascii="Arial" w:hAnsi="Arial" w:cs="Arial"/>
                  <w:color w:val="auto"/>
                  <w:sz w:val="12"/>
                  <w:szCs w:val="12"/>
                </w:rPr>
                <w:t>10.3399/BJGPO.2021.0178</w:t>
              </w:r>
            </w:hyperlink>
          </w:p>
        </w:tc>
        <w:tc>
          <w:tcPr>
            <w:tcW w:w="708" w:type="dxa"/>
            <w:hideMark/>
          </w:tcPr>
          <w:p w14:paraId="3E2B6C3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Scoping review</w:t>
            </w:r>
          </w:p>
        </w:tc>
        <w:tc>
          <w:tcPr>
            <w:tcW w:w="709" w:type="dxa"/>
            <w:hideMark/>
          </w:tcPr>
          <w:p w14:paraId="22E388B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0E00D5A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Synthesis of primary care approaches</w:t>
            </w:r>
          </w:p>
        </w:tc>
        <w:tc>
          <w:tcPr>
            <w:tcW w:w="1134" w:type="dxa"/>
            <w:hideMark/>
          </w:tcPr>
          <w:p w14:paraId="51116D9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Review of GP-led assessment, monitoring, referral, holistic care</w:t>
            </w:r>
          </w:p>
        </w:tc>
        <w:tc>
          <w:tcPr>
            <w:tcW w:w="993" w:type="dxa"/>
            <w:hideMark/>
          </w:tcPr>
          <w:p w14:paraId="24A51DD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central in assessment, coordination, referral</w:t>
            </w:r>
          </w:p>
        </w:tc>
        <w:tc>
          <w:tcPr>
            <w:tcW w:w="1275" w:type="dxa"/>
            <w:hideMark/>
          </w:tcPr>
          <w:p w14:paraId="6D772DA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Education, reassurance, symptom monitoring, community support</w:t>
            </w:r>
          </w:p>
        </w:tc>
        <w:tc>
          <w:tcPr>
            <w:tcW w:w="993" w:type="dxa"/>
            <w:hideMark/>
          </w:tcPr>
          <w:p w14:paraId="101F4A5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850" w:type="dxa"/>
            <w:hideMark/>
          </w:tcPr>
          <w:p w14:paraId="1B74C4C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UK primary care</w:t>
            </w:r>
          </w:p>
        </w:tc>
        <w:tc>
          <w:tcPr>
            <w:tcW w:w="851" w:type="dxa"/>
            <w:hideMark/>
          </w:tcPr>
          <w:p w14:paraId="69AEBF5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6FEF68C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w:t>
            </w:r>
          </w:p>
        </w:tc>
        <w:tc>
          <w:tcPr>
            <w:tcW w:w="1134" w:type="dxa"/>
            <w:hideMark/>
          </w:tcPr>
          <w:p w14:paraId="4E92D9D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Highlights need for holistic, continuous GP care and MDT access</w:t>
            </w:r>
          </w:p>
        </w:tc>
        <w:tc>
          <w:tcPr>
            <w:tcW w:w="992" w:type="dxa"/>
            <w:hideMark/>
          </w:tcPr>
          <w:p w14:paraId="72BC784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436028B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uncertainty; lack of guidance; service variation</w:t>
            </w:r>
          </w:p>
        </w:tc>
        <w:tc>
          <w:tcPr>
            <w:tcW w:w="1003" w:type="dxa"/>
            <w:hideMark/>
          </w:tcPr>
          <w:p w14:paraId="5B05FEE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Training; standardised tools; MDT collaboration</w:t>
            </w:r>
          </w:p>
        </w:tc>
      </w:tr>
      <w:tr w:rsidR="00223353" w:rsidRPr="008340F1" w14:paraId="1D97E3D3" w14:textId="77777777" w:rsidTr="000E2A34">
        <w:trPr>
          <w:trHeight w:val="840"/>
        </w:trPr>
        <w:tc>
          <w:tcPr>
            <w:tcW w:w="846" w:type="dxa"/>
            <w:hideMark/>
          </w:tcPr>
          <w:p w14:paraId="045423E8"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Bulley et al. (2022)</w:t>
            </w:r>
          </w:p>
        </w:tc>
        <w:tc>
          <w:tcPr>
            <w:tcW w:w="1276" w:type="dxa"/>
            <w:hideMark/>
          </w:tcPr>
          <w:p w14:paraId="2AF221F2" w14:textId="77777777" w:rsidR="00223353" w:rsidRPr="008340F1" w:rsidRDefault="00223353" w:rsidP="00223353">
            <w:pPr>
              <w:rPr>
                <w:rFonts w:ascii="Arial" w:eastAsia="Times New Roman" w:hAnsi="Arial" w:cs="Arial"/>
                <w:kern w:val="0"/>
                <w:sz w:val="12"/>
                <w:szCs w:val="12"/>
                <w:lang w:eastAsia="en-GB"/>
                <w14:ligatures w14:val="none"/>
              </w:rPr>
            </w:pPr>
            <w:hyperlink r:id="rId8" w:history="1">
              <w:r w:rsidRPr="008340F1">
                <w:rPr>
                  <w:rStyle w:val="Hyperlink"/>
                  <w:rFonts w:ascii="Arial" w:hAnsi="Arial" w:cs="Arial"/>
                  <w:color w:val="auto"/>
                  <w:sz w:val="12"/>
                  <w:szCs w:val="12"/>
                </w:rPr>
                <w:t>10.1136/bmjopen-2021-056568</w:t>
              </w:r>
            </w:hyperlink>
          </w:p>
        </w:tc>
        <w:tc>
          <w:tcPr>
            <w:tcW w:w="708" w:type="dxa"/>
            <w:hideMark/>
          </w:tcPr>
          <w:p w14:paraId="260D104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Mixed-methods study</w:t>
            </w:r>
          </w:p>
        </w:tc>
        <w:tc>
          <w:tcPr>
            <w:tcW w:w="709" w:type="dxa"/>
            <w:hideMark/>
          </w:tcPr>
          <w:p w14:paraId="5E35C1E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4F5C22B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experience informing service recommendations</w:t>
            </w:r>
          </w:p>
        </w:tc>
        <w:tc>
          <w:tcPr>
            <w:tcW w:w="1134" w:type="dxa"/>
            <w:hideMark/>
          </w:tcPr>
          <w:p w14:paraId="1CACACF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Co-produced recommendations for multidisciplinary, accessible support</w:t>
            </w:r>
          </w:p>
        </w:tc>
        <w:tc>
          <w:tcPr>
            <w:tcW w:w="993" w:type="dxa"/>
            <w:hideMark/>
          </w:tcPr>
          <w:p w14:paraId="2775059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as access point and coordinator</w:t>
            </w:r>
          </w:p>
        </w:tc>
        <w:tc>
          <w:tcPr>
            <w:tcW w:w="1275" w:type="dxa"/>
            <w:hideMark/>
          </w:tcPr>
          <w:p w14:paraId="4F64DEC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Education; peer support; rehabilitation advice; online/telephone support</w:t>
            </w:r>
          </w:p>
        </w:tc>
        <w:tc>
          <w:tcPr>
            <w:tcW w:w="993" w:type="dxa"/>
            <w:hideMark/>
          </w:tcPr>
          <w:p w14:paraId="6BC35F7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Engagement with peer support; seeking info; coping strategies</w:t>
            </w:r>
          </w:p>
        </w:tc>
        <w:tc>
          <w:tcPr>
            <w:tcW w:w="850" w:type="dxa"/>
            <w:hideMark/>
          </w:tcPr>
          <w:p w14:paraId="41325D0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 and primary care-linked</w:t>
            </w:r>
          </w:p>
        </w:tc>
        <w:tc>
          <w:tcPr>
            <w:tcW w:w="851" w:type="dxa"/>
            <w:hideMark/>
          </w:tcPr>
          <w:p w14:paraId="4426C41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n=675 survey; n=107+ qualitative subsamples</w:t>
            </w:r>
          </w:p>
        </w:tc>
        <w:tc>
          <w:tcPr>
            <w:tcW w:w="992" w:type="dxa"/>
            <w:hideMark/>
          </w:tcPr>
          <w:p w14:paraId="1E3E2A5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majority female; limited diversity</w:t>
            </w:r>
          </w:p>
        </w:tc>
        <w:tc>
          <w:tcPr>
            <w:tcW w:w="1134" w:type="dxa"/>
            <w:hideMark/>
          </w:tcPr>
          <w:p w14:paraId="51EBCA2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Identifies unmet needs; need for personalised, accessible support</w:t>
            </w:r>
          </w:p>
        </w:tc>
        <w:tc>
          <w:tcPr>
            <w:tcW w:w="992" w:type="dxa"/>
            <w:hideMark/>
          </w:tcPr>
          <w:p w14:paraId="5DB67BD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exclusion; low-income barriers</w:t>
            </w:r>
          </w:p>
        </w:tc>
        <w:tc>
          <w:tcPr>
            <w:tcW w:w="992" w:type="dxa"/>
            <w:hideMark/>
          </w:tcPr>
          <w:p w14:paraId="3CB9490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Limited services; funding; digital exclusion; access inequality</w:t>
            </w:r>
          </w:p>
        </w:tc>
        <w:tc>
          <w:tcPr>
            <w:tcW w:w="1003" w:type="dxa"/>
            <w:hideMark/>
          </w:tcPr>
          <w:p w14:paraId="2B34A48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Peer support; flexible delivery; stakeholder involvement</w:t>
            </w:r>
          </w:p>
        </w:tc>
      </w:tr>
      <w:tr w:rsidR="00223353" w:rsidRPr="008340F1" w14:paraId="4254D0D1" w14:textId="77777777" w:rsidTr="000E2A34">
        <w:trPr>
          <w:trHeight w:val="840"/>
        </w:trPr>
        <w:tc>
          <w:tcPr>
            <w:tcW w:w="846" w:type="dxa"/>
            <w:hideMark/>
          </w:tcPr>
          <w:p w14:paraId="670BCBE6"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Busse et al. (2025)</w:t>
            </w:r>
          </w:p>
        </w:tc>
        <w:tc>
          <w:tcPr>
            <w:tcW w:w="1276" w:type="dxa"/>
            <w:hideMark/>
          </w:tcPr>
          <w:p w14:paraId="4A9A23E0" w14:textId="77777777" w:rsidR="00223353" w:rsidRPr="008340F1" w:rsidRDefault="00223353" w:rsidP="00223353">
            <w:pPr>
              <w:rPr>
                <w:rFonts w:ascii="Arial" w:eastAsia="Times New Roman" w:hAnsi="Arial" w:cs="Arial"/>
                <w:kern w:val="0"/>
                <w:sz w:val="12"/>
                <w:szCs w:val="12"/>
                <w:lang w:eastAsia="en-GB"/>
                <w14:ligatures w14:val="none"/>
              </w:rPr>
            </w:pPr>
            <w:r w:rsidRPr="008340F1">
              <w:rPr>
                <w:rFonts w:ascii="Arial" w:hAnsi="Arial" w:cs="Arial"/>
                <w:sz w:val="12"/>
                <w:szCs w:val="12"/>
              </w:rPr>
              <w:t xml:space="preserve">10.1136/bmjmed-2024-001068 </w:t>
            </w:r>
          </w:p>
        </w:tc>
        <w:tc>
          <w:tcPr>
            <w:tcW w:w="708" w:type="dxa"/>
            <w:hideMark/>
          </w:tcPr>
          <w:p w14:paraId="165F22B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RCT</w:t>
            </w:r>
          </w:p>
        </w:tc>
        <w:tc>
          <w:tcPr>
            <w:tcW w:w="709" w:type="dxa"/>
            <w:hideMark/>
          </w:tcPr>
          <w:p w14:paraId="5AC488B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40BEEA4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(self-management programme)</w:t>
            </w:r>
          </w:p>
        </w:tc>
        <w:tc>
          <w:tcPr>
            <w:tcW w:w="1134" w:type="dxa"/>
            <w:hideMark/>
          </w:tcPr>
          <w:p w14:paraId="772F101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Personalised one-to-one sessions; goal-setting; self-efficacy support</w:t>
            </w:r>
          </w:p>
        </w:tc>
        <w:tc>
          <w:tcPr>
            <w:tcW w:w="993" w:type="dxa"/>
            <w:hideMark/>
          </w:tcPr>
          <w:p w14:paraId="6389422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Complements primary care; recruited via GP/community</w:t>
            </w:r>
          </w:p>
        </w:tc>
        <w:tc>
          <w:tcPr>
            <w:tcW w:w="1275" w:type="dxa"/>
            <w:hideMark/>
          </w:tcPr>
          <w:p w14:paraId="23BCDA6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Structured self-management programme; handbook; coaching</w:t>
            </w:r>
          </w:p>
        </w:tc>
        <w:tc>
          <w:tcPr>
            <w:tcW w:w="993" w:type="dxa"/>
            <w:hideMark/>
          </w:tcPr>
          <w:p w14:paraId="1F14107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Goal-setting; problem-solving; symptom management</w:t>
            </w:r>
          </w:p>
        </w:tc>
        <w:tc>
          <w:tcPr>
            <w:tcW w:w="850" w:type="dxa"/>
            <w:hideMark/>
          </w:tcPr>
          <w:p w14:paraId="5FC7832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Community/outpatient</w:t>
            </w:r>
          </w:p>
        </w:tc>
        <w:tc>
          <w:tcPr>
            <w:tcW w:w="851" w:type="dxa"/>
            <w:hideMark/>
          </w:tcPr>
          <w:p w14:paraId="03FF9A0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n=554 (277 intervention; 277 control)</w:t>
            </w:r>
          </w:p>
        </w:tc>
        <w:tc>
          <w:tcPr>
            <w:tcW w:w="992" w:type="dxa"/>
            <w:hideMark/>
          </w:tcPr>
          <w:p w14:paraId="7FC3F79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50; 72% female; 92% White</w:t>
            </w:r>
          </w:p>
        </w:tc>
        <w:tc>
          <w:tcPr>
            <w:tcW w:w="1134" w:type="dxa"/>
            <w:hideMark/>
          </w:tcPr>
          <w:p w14:paraId="1BFE7D4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fatigue, QoL, self-efficacy; no primary outcome difference</w:t>
            </w:r>
          </w:p>
        </w:tc>
        <w:tc>
          <w:tcPr>
            <w:tcW w:w="992" w:type="dxa"/>
            <w:hideMark/>
          </w:tcPr>
          <w:p w14:paraId="0D17E3F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exclusion</w:t>
            </w:r>
          </w:p>
        </w:tc>
        <w:tc>
          <w:tcPr>
            <w:tcW w:w="992" w:type="dxa"/>
            <w:hideMark/>
          </w:tcPr>
          <w:p w14:paraId="6891E4F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Variation in usual care; digital barriers</w:t>
            </w:r>
          </w:p>
        </w:tc>
        <w:tc>
          <w:tcPr>
            <w:tcW w:w="1003" w:type="dxa"/>
            <w:hideMark/>
          </w:tcPr>
          <w:p w14:paraId="40095D8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Personalisation; flexible delivery</w:t>
            </w:r>
          </w:p>
        </w:tc>
      </w:tr>
      <w:tr w:rsidR="00223353" w:rsidRPr="008340F1" w14:paraId="6E3A3CB0" w14:textId="77777777" w:rsidTr="000E2A34">
        <w:trPr>
          <w:trHeight w:val="840"/>
        </w:trPr>
        <w:tc>
          <w:tcPr>
            <w:tcW w:w="846" w:type="dxa"/>
            <w:hideMark/>
          </w:tcPr>
          <w:p w14:paraId="4ADBA92F"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Combet et al. (2025)</w:t>
            </w:r>
          </w:p>
        </w:tc>
        <w:tc>
          <w:tcPr>
            <w:tcW w:w="1276" w:type="dxa"/>
            <w:hideMark/>
          </w:tcPr>
          <w:p w14:paraId="67F63FF2" w14:textId="77777777" w:rsidR="00223353" w:rsidRPr="008340F1" w:rsidRDefault="00223353" w:rsidP="00223353">
            <w:pPr>
              <w:rPr>
                <w:rFonts w:ascii="Arial" w:eastAsia="Times New Roman" w:hAnsi="Arial" w:cs="Arial"/>
                <w:kern w:val="0"/>
                <w:sz w:val="12"/>
                <w:szCs w:val="12"/>
                <w:lang w:eastAsia="en-GB"/>
                <w14:ligatures w14:val="none"/>
              </w:rPr>
            </w:pPr>
            <w:hyperlink r:id="rId9" w:history="1">
              <w:r w:rsidRPr="008340F1">
                <w:rPr>
                  <w:rStyle w:val="Hyperlink"/>
                  <w:rFonts w:ascii="Arial" w:hAnsi="Arial" w:cs="Arial"/>
                  <w:color w:val="auto"/>
                  <w:sz w:val="12"/>
                  <w:szCs w:val="12"/>
                </w:rPr>
                <w:t>10.1038/s41591-024-03384-x</w:t>
              </w:r>
            </w:hyperlink>
          </w:p>
        </w:tc>
        <w:tc>
          <w:tcPr>
            <w:tcW w:w="708" w:type="dxa"/>
            <w:hideMark/>
          </w:tcPr>
          <w:p w14:paraId="6D0018E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RCT</w:t>
            </w:r>
          </w:p>
        </w:tc>
        <w:tc>
          <w:tcPr>
            <w:tcW w:w="709" w:type="dxa"/>
            <w:hideMark/>
          </w:tcPr>
          <w:p w14:paraId="37C7542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74F3D23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(weight management)</w:t>
            </w:r>
          </w:p>
        </w:tc>
        <w:tc>
          <w:tcPr>
            <w:tcW w:w="1134" w:type="dxa"/>
            <w:hideMark/>
          </w:tcPr>
          <w:p w14:paraId="48D3E8A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Remote diet programme; professional support; symptom-targeted</w:t>
            </w:r>
          </w:p>
        </w:tc>
        <w:tc>
          <w:tcPr>
            <w:tcW w:w="993" w:type="dxa"/>
            <w:hideMark/>
          </w:tcPr>
          <w:p w14:paraId="0491783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Indirect (usual care comparator; GP-linked recruitment possible)</w:t>
            </w:r>
          </w:p>
        </w:tc>
        <w:tc>
          <w:tcPr>
            <w:tcW w:w="1275" w:type="dxa"/>
            <w:hideMark/>
          </w:tcPr>
          <w:p w14:paraId="5BBE4B4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Structured diet; behavioural support; remote guidance</w:t>
            </w:r>
          </w:p>
        </w:tc>
        <w:tc>
          <w:tcPr>
            <w:tcW w:w="993" w:type="dxa"/>
            <w:hideMark/>
          </w:tcPr>
          <w:p w14:paraId="2E5B709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Adherence to diet; engagement with programme</w:t>
            </w:r>
          </w:p>
        </w:tc>
        <w:tc>
          <w:tcPr>
            <w:tcW w:w="850" w:type="dxa"/>
            <w:hideMark/>
          </w:tcPr>
          <w:p w14:paraId="04FBEDE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Remote/home-based</w:t>
            </w:r>
          </w:p>
        </w:tc>
        <w:tc>
          <w:tcPr>
            <w:tcW w:w="851" w:type="dxa"/>
            <w:hideMark/>
          </w:tcPr>
          <w:p w14:paraId="4FE1CF7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n=234 (116 intervention; 118 control)</w:t>
            </w:r>
          </w:p>
        </w:tc>
        <w:tc>
          <w:tcPr>
            <w:tcW w:w="992" w:type="dxa"/>
            <w:hideMark/>
          </w:tcPr>
          <w:p w14:paraId="24E001D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~46; 85% female; 91% White</w:t>
            </w:r>
          </w:p>
        </w:tc>
        <w:tc>
          <w:tcPr>
            <w:tcW w:w="1134" w:type="dxa"/>
            <w:hideMark/>
          </w:tcPr>
          <w:p w14:paraId="40B2414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symptoms, QoL, BP; effective weight loss</w:t>
            </w:r>
          </w:p>
        </w:tc>
        <w:tc>
          <w:tcPr>
            <w:tcW w:w="992" w:type="dxa"/>
            <w:hideMark/>
          </w:tcPr>
          <w:p w14:paraId="117F544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Lower completion in deprived groups</w:t>
            </w:r>
          </w:p>
        </w:tc>
        <w:tc>
          <w:tcPr>
            <w:tcW w:w="992" w:type="dxa"/>
            <w:hideMark/>
          </w:tcPr>
          <w:p w14:paraId="5CD0071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Attrition in deprived groups</w:t>
            </w:r>
          </w:p>
        </w:tc>
        <w:tc>
          <w:tcPr>
            <w:tcW w:w="1003" w:type="dxa"/>
            <w:hideMark/>
          </w:tcPr>
          <w:p w14:paraId="33AC25F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Flexible delivery; structured support</w:t>
            </w:r>
          </w:p>
        </w:tc>
      </w:tr>
      <w:tr w:rsidR="00223353" w:rsidRPr="008340F1" w14:paraId="44C16F91" w14:textId="77777777" w:rsidTr="000E2A34">
        <w:trPr>
          <w:trHeight w:val="1120"/>
        </w:trPr>
        <w:tc>
          <w:tcPr>
            <w:tcW w:w="846" w:type="dxa"/>
            <w:hideMark/>
          </w:tcPr>
          <w:p w14:paraId="4B372DB7"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lastRenderedPageBreak/>
              <w:t>Cooper et al. (2024)</w:t>
            </w:r>
          </w:p>
        </w:tc>
        <w:tc>
          <w:tcPr>
            <w:tcW w:w="1276" w:type="dxa"/>
            <w:hideMark/>
          </w:tcPr>
          <w:p w14:paraId="1EE19009" w14:textId="77777777" w:rsidR="00223353" w:rsidRPr="008340F1" w:rsidRDefault="00223353" w:rsidP="00223353">
            <w:pPr>
              <w:rPr>
                <w:rFonts w:ascii="Arial" w:eastAsia="Times New Roman" w:hAnsi="Arial" w:cs="Arial"/>
                <w:kern w:val="0"/>
                <w:sz w:val="12"/>
                <w:szCs w:val="12"/>
                <w:lang w:eastAsia="en-GB"/>
                <w14:ligatures w14:val="none"/>
              </w:rPr>
            </w:pPr>
            <w:hyperlink r:id="rId10" w:history="1">
              <w:r w:rsidRPr="008340F1">
                <w:rPr>
                  <w:rStyle w:val="Hyperlink"/>
                  <w:rFonts w:ascii="Arial" w:hAnsi="Arial" w:cs="Arial"/>
                  <w:color w:val="auto"/>
                  <w:sz w:val="12"/>
                  <w:szCs w:val="12"/>
                </w:rPr>
                <w:t>10.1136/bmjopen-2023-082830</w:t>
              </w:r>
            </w:hyperlink>
          </w:p>
        </w:tc>
        <w:tc>
          <w:tcPr>
            <w:tcW w:w="708" w:type="dxa"/>
            <w:hideMark/>
          </w:tcPr>
          <w:p w14:paraId="4E5F78D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Qualitative</w:t>
            </w:r>
          </w:p>
        </w:tc>
        <w:tc>
          <w:tcPr>
            <w:tcW w:w="709" w:type="dxa"/>
            <w:hideMark/>
          </w:tcPr>
          <w:p w14:paraId="3FABCC9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3CD37ED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&amp; GP experience of care</w:t>
            </w:r>
          </w:p>
        </w:tc>
        <w:tc>
          <w:tcPr>
            <w:tcW w:w="1134" w:type="dxa"/>
            <w:hideMark/>
          </w:tcPr>
          <w:p w14:paraId="18B5BF5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Explores perceptions of community rehabilitation</w:t>
            </w:r>
          </w:p>
        </w:tc>
        <w:tc>
          <w:tcPr>
            <w:tcW w:w="993" w:type="dxa"/>
            <w:hideMark/>
          </w:tcPr>
          <w:p w14:paraId="0F7B5B0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as referral and coordination point</w:t>
            </w:r>
          </w:p>
        </w:tc>
        <w:tc>
          <w:tcPr>
            <w:tcW w:w="1275" w:type="dxa"/>
            <w:hideMark/>
          </w:tcPr>
          <w:p w14:paraId="0A5F17B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3" w:type="dxa"/>
            <w:hideMark/>
          </w:tcPr>
          <w:p w14:paraId="7D1EC0D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Self-advocacy; seeking care; managing symptoms</w:t>
            </w:r>
          </w:p>
        </w:tc>
        <w:tc>
          <w:tcPr>
            <w:tcW w:w="850" w:type="dxa"/>
            <w:hideMark/>
          </w:tcPr>
          <w:p w14:paraId="1FD8083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 rehab + GP</w:t>
            </w:r>
          </w:p>
        </w:tc>
        <w:tc>
          <w:tcPr>
            <w:tcW w:w="851" w:type="dxa"/>
            <w:hideMark/>
          </w:tcPr>
          <w:p w14:paraId="3DC0DEC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n=24 (11 PwLC; 13 GPs)</w:t>
            </w:r>
          </w:p>
        </w:tc>
        <w:tc>
          <w:tcPr>
            <w:tcW w:w="992" w:type="dxa"/>
            <w:hideMark/>
          </w:tcPr>
          <w:p w14:paraId="2B306C1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PwLC mean age ~53; 91% female PwLC; ethnicity not reported</w:t>
            </w:r>
          </w:p>
        </w:tc>
        <w:tc>
          <w:tcPr>
            <w:tcW w:w="1134" w:type="dxa"/>
            <w:hideMark/>
          </w:tcPr>
          <w:p w14:paraId="7BAF6D5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Highlights need for coordination and person-centred care</w:t>
            </w:r>
          </w:p>
        </w:tc>
        <w:tc>
          <w:tcPr>
            <w:tcW w:w="992" w:type="dxa"/>
            <w:hideMark/>
          </w:tcPr>
          <w:p w14:paraId="1403A62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6B09514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Unclear pathways; limited knowledge; access issues</w:t>
            </w:r>
          </w:p>
        </w:tc>
        <w:tc>
          <w:tcPr>
            <w:tcW w:w="1003" w:type="dxa"/>
            <w:hideMark/>
          </w:tcPr>
          <w:p w14:paraId="5F7FCBF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Positive rehab experiences; integrated care desire</w:t>
            </w:r>
          </w:p>
        </w:tc>
      </w:tr>
      <w:tr w:rsidR="00223353" w:rsidRPr="008340F1" w14:paraId="6FD84D5A" w14:textId="77777777" w:rsidTr="000E2A34">
        <w:trPr>
          <w:trHeight w:val="1120"/>
        </w:trPr>
        <w:tc>
          <w:tcPr>
            <w:tcW w:w="846" w:type="dxa"/>
            <w:hideMark/>
          </w:tcPr>
          <w:p w14:paraId="4BE1F287"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Darbyshire et al. (2024)</w:t>
            </w:r>
          </w:p>
        </w:tc>
        <w:tc>
          <w:tcPr>
            <w:tcW w:w="1276" w:type="dxa"/>
            <w:hideMark/>
          </w:tcPr>
          <w:p w14:paraId="3622119D" w14:textId="77777777" w:rsidR="00223353" w:rsidRPr="008340F1" w:rsidRDefault="00223353" w:rsidP="00223353">
            <w:pPr>
              <w:rPr>
                <w:rFonts w:ascii="Arial" w:eastAsia="Times New Roman" w:hAnsi="Arial" w:cs="Arial"/>
                <w:kern w:val="0"/>
                <w:sz w:val="12"/>
                <w:szCs w:val="12"/>
                <w:lang w:eastAsia="en-GB"/>
                <w14:ligatures w14:val="none"/>
              </w:rPr>
            </w:pPr>
            <w:r w:rsidRPr="008340F1">
              <w:rPr>
                <w:rFonts w:ascii="Arial" w:hAnsi="Arial" w:cs="Arial"/>
                <w:sz w:val="12"/>
                <w:szCs w:val="12"/>
              </w:rPr>
              <w:t>10.1016/j.clinme.2024.100237</w:t>
            </w:r>
          </w:p>
        </w:tc>
        <w:tc>
          <w:tcPr>
            <w:tcW w:w="708" w:type="dxa"/>
            <w:hideMark/>
          </w:tcPr>
          <w:p w14:paraId="540A957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Mixed-methods QI</w:t>
            </w:r>
          </w:p>
        </w:tc>
        <w:tc>
          <w:tcPr>
            <w:tcW w:w="709" w:type="dxa"/>
            <w:hideMark/>
          </w:tcPr>
          <w:p w14:paraId="3513EEF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58C418B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model improvement</w:t>
            </w:r>
          </w:p>
        </w:tc>
        <w:tc>
          <w:tcPr>
            <w:tcW w:w="1134" w:type="dxa"/>
            <w:hideMark/>
          </w:tcPr>
          <w:p w14:paraId="75F4A57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Tiered MDT model; QI collaborative; standardised guidance</w:t>
            </w:r>
          </w:p>
        </w:tc>
        <w:tc>
          <w:tcPr>
            <w:tcW w:w="993" w:type="dxa"/>
            <w:hideMark/>
          </w:tcPr>
          <w:p w14:paraId="457C3AD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in tiered model; triage and management</w:t>
            </w:r>
          </w:p>
        </w:tc>
        <w:tc>
          <w:tcPr>
            <w:tcW w:w="1275" w:type="dxa"/>
            <w:hideMark/>
          </w:tcPr>
          <w:p w14:paraId="49EA32E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Guidance; pacing; PROMs; education; vocational support</w:t>
            </w:r>
          </w:p>
        </w:tc>
        <w:tc>
          <w:tcPr>
            <w:tcW w:w="993" w:type="dxa"/>
            <w:hideMark/>
          </w:tcPr>
          <w:p w14:paraId="38B0B2B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Symptom tracking; pacing; engagement with care</w:t>
            </w:r>
          </w:p>
        </w:tc>
        <w:tc>
          <w:tcPr>
            <w:tcW w:w="850" w:type="dxa"/>
            <w:hideMark/>
          </w:tcPr>
          <w:p w14:paraId="6DC52A0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 secondary integrated clinics</w:t>
            </w:r>
          </w:p>
        </w:tc>
        <w:tc>
          <w:tcPr>
            <w:tcW w:w="851" w:type="dxa"/>
            <w:hideMark/>
          </w:tcPr>
          <w:p w14:paraId="3FE9A7E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n=59 (29 patients; 30 HCPs)</w:t>
            </w:r>
          </w:p>
        </w:tc>
        <w:tc>
          <w:tcPr>
            <w:tcW w:w="992" w:type="dxa"/>
            <w:hideMark/>
          </w:tcPr>
          <w:p w14:paraId="01DA471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mixed patient/HCP sample; ethnicity variably reported across sites</w:t>
            </w:r>
          </w:p>
        </w:tc>
        <w:tc>
          <w:tcPr>
            <w:tcW w:w="1134" w:type="dxa"/>
            <w:hideMark/>
          </w:tcPr>
          <w:p w14:paraId="2DE5395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coordination; shared learning; holistic care</w:t>
            </w:r>
          </w:p>
        </w:tc>
        <w:tc>
          <w:tcPr>
            <w:tcW w:w="992" w:type="dxa"/>
            <w:hideMark/>
          </w:tcPr>
          <w:p w14:paraId="4DD549C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access for some underserved groups</w:t>
            </w:r>
          </w:p>
        </w:tc>
        <w:tc>
          <w:tcPr>
            <w:tcW w:w="992" w:type="dxa"/>
            <w:hideMark/>
          </w:tcPr>
          <w:p w14:paraId="0A7BFDE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Complex pathways; funding; digital barriers</w:t>
            </w:r>
          </w:p>
        </w:tc>
        <w:tc>
          <w:tcPr>
            <w:tcW w:w="1003" w:type="dxa"/>
            <w:hideMark/>
          </w:tcPr>
          <w:p w14:paraId="51C78F7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QI collaboration; MDT care; patient involvement</w:t>
            </w:r>
          </w:p>
        </w:tc>
      </w:tr>
      <w:tr w:rsidR="00223353" w:rsidRPr="008340F1" w14:paraId="1177B450" w14:textId="77777777" w:rsidTr="000E2A34">
        <w:trPr>
          <w:trHeight w:val="1120"/>
        </w:trPr>
        <w:tc>
          <w:tcPr>
            <w:tcW w:w="846" w:type="dxa"/>
            <w:hideMark/>
          </w:tcPr>
          <w:p w14:paraId="581C7692"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Fang et al. (2024)</w:t>
            </w:r>
          </w:p>
        </w:tc>
        <w:tc>
          <w:tcPr>
            <w:tcW w:w="1276" w:type="dxa"/>
            <w:hideMark/>
          </w:tcPr>
          <w:p w14:paraId="56FDA910" w14:textId="77777777" w:rsidR="00223353" w:rsidRPr="008340F1" w:rsidRDefault="00223353" w:rsidP="00223353">
            <w:pPr>
              <w:rPr>
                <w:rFonts w:ascii="Arial" w:eastAsia="Times New Roman" w:hAnsi="Arial" w:cs="Arial"/>
                <w:kern w:val="0"/>
                <w:sz w:val="12"/>
                <w:szCs w:val="12"/>
                <w:lang w:eastAsia="en-GB"/>
                <w14:ligatures w14:val="none"/>
              </w:rPr>
            </w:pPr>
            <w:hyperlink r:id="rId11" w:history="1">
              <w:r w:rsidRPr="008340F1">
                <w:rPr>
                  <w:rStyle w:val="Hyperlink"/>
                  <w:rFonts w:ascii="Arial" w:hAnsi="Arial" w:cs="Arial"/>
                  <w:color w:val="auto"/>
                  <w:sz w:val="12"/>
                  <w:szCs w:val="12"/>
                </w:rPr>
                <w:t> 10.1186/s12913-024-10891-7</w:t>
              </w:r>
            </w:hyperlink>
          </w:p>
        </w:tc>
        <w:tc>
          <w:tcPr>
            <w:tcW w:w="708" w:type="dxa"/>
            <w:hideMark/>
          </w:tcPr>
          <w:p w14:paraId="5C4BA57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Qualitative longitudinal</w:t>
            </w:r>
          </w:p>
        </w:tc>
        <w:tc>
          <w:tcPr>
            <w:tcW w:w="709" w:type="dxa"/>
            <w:hideMark/>
          </w:tcPr>
          <w:p w14:paraId="5D180AE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7E67ABC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experience of care pathways</w:t>
            </w:r>
          </w:p>
        </w:tc>
        <w:tc>
          <w:tcPr>
            <w:tcW w:w="1134" w:type="dxa"/>
            <w:hideMark/>
          </w:tcPr>
          <w:p w14:paraId="6A365D1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Explores fragmented care and evolving services</w:t>
            </w:r>
          </w:p>
        </w:tc>
        <w:tc>
          <w:tcPr>
            <w:tcW w:w="993" w:type="dxa"/>
            <w:hideMark/>
          </w:tcPr>
          <w:p w14:paraId="429E2D2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as gateway; limited follow-up</w:t>
            </w:r>
          </w:p>
        </w:tc>
        <w:tc>
          <w:tcPr>
            <w:tcW w:w="1275" w:type="dxa"/>
            <w:hideMark/>
          </w:tcPr>
          <w:p w14:paraId="4937C77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Some psychology-led input</w:t>
            </w:r>
          </w:p>
        </w:tc>
        <w:tc>
          <w:tcPr>
            <w:tcW w:w="993" w:type="dxa"/>
            <w:hideMark/>
          </w:tcPr>
          <w:p w14:paraId="7BEB782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Self-monitoring; proactive follow-up; advocacy</w:t>
            </w:r>
          </w:p>
        </w:tc>
        <w:tc>
          <w:tcPr>
            <w:tcW w:w="850" w:type="dxa"/>
            <w:hideMark/>
          </w:tcPr>
          <w:p w14:paraId="136CF67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UK primary + specialist pathways</w:t>
            </w:r>
          </w:p>
        </w:tc>
        <w:tc>
          <w:tcPr>
            <w:tcW w:w="851" w:type="dxa"/>
            <w:hideMark/>
          </w:tcPr>
          <w:p w14:paraId="5637F09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Phase 1 n≈92; Phase 2 n≈86</w:t>
            </w:r>
          </w:p>
        </w:tc>
        <w:tc>
          <w:tcPr>
            <w:tcW w:w="992" w:type="dxa"/>
            <w:hideMark/>
          </w:tcPr>
          <w:p w14:paraId="3B15EE5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18-79; ~72% female; ~55% White British; ~37% South Asian</w:t>
            </w:r>
          </w:p>
        </w:tc>
        <w:tc>
          <w:tcPr>
            <w:tcW w:w="1134" w:type="dxa"/>
            <w:hideMark/>
          </w:tcPr>
          <w:p w14:paraId="5365EB8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Fragmented care; limited access; evolving holistic services</w:t>
            </w:r>
          </w:p>
        </w:tc>
        <w:tc>
          <w:tcPr>
            <w:tcW w:w="992" w:type="dxa"/>
            <w:hideMark/>
          </w:tcPr>
          <w:p w14:paraId="080A7FE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Ethnic diversity; limited Black inclusion</w:t>
            </w:r>
          </w:p>
        </w:tc>
        <w:tc>
          <w:tcPr>
            <w:tcW w:w="992" w:type="dxa"/>
            <w:hideMark/>
          </w:tcPr>
          <w:p w14:paraId="15D9882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Poor access; funding instability; navigation difficulty</w:t>
            </w:r>
          </w:p>
        </w:tc>
        <w:tc>
          <w:tcPr>
            <w:tcW w:w="1003" w:type="dxa"/>
            <w:hideMark/>
          </w:tcPr>
          <w:p w14:paraId="5549F63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Patient-centred care; proactive engagement</w:t>
            </w:r>
          </w:p>
        </w:tc>
      </w:tr>
      <w:tr w:rsidR="00223353" w:rsidRPr="008340F1" w14:paraId="6FD75349" w14:textId="77777777" w:rsidTr="000E2A34">
        <w:trPr>
          <w:trHeight w:val="1120"/>
        </w:trPr>
        <w:tc>
          <w:tcPr>
            <w:tcW w:w="846" w:type="dxa"/>
            <w:hideMark/>
          </w:tcPr>
          <w:p w14:paraId="384D1F1B"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Forshaw et al. (2023)</w:t>
            </w:r>
          </w:p>
        </w:tc>
        <w:tc>
          <w:tcPr>
            <w:tcW w:w="1276" w:type="dxa"/>
            <w:hideMark/>
          </w:tcPr>
          <w:p w14:paraId="01AF1193" w14:textId="77777777" w:rsidR="00223353" w:rsidRPr="008340F1" w:rsidRDefault="00223353" w:rsidP="00223353">
            <w:pPr>
              <w:rPr>
                <w:rFonts w:ascii="Arial" w:eastAsia="Times New Roman" w:hAnsi="Arial" w:cs="Arial"/>
                <w:kern w:val="0"/>
                <w:sz w:val="12"/>
                <w:szCs w:val="12"/>
                <w:lang w:eastAsia="en-GB"/>
                <w14:ligatures w14:val="none"/>
              </w:rPr>
            </w:pPr>
            <w:hyperlink r:id="rId12" w:history="1">
              <w:r w:rsidRPr="008340F1">
                <w:rPr>
                  <w:rStyle w:val="Hyperlink"/>
                  <w:rFonts w:ascii="Arial" w:hAnsi="Arial" w:cs="Arial"/>
                  <w:color w:val="auto"/>
                  <w:sz w:val="12"/>
                  <w:szCs w:val="12"/>
                </w:rPr>
                <w:t>10.1371/journal.pone.0272472</w:t>
              </w:r>
            </w:hyperlink>
          </w:p>
        </w:tc>
        <w:tc>
          <w:tcPr>
            <w:tcW w:w="708" w:type="dxa"/>
            <w:hideMark/>
          </w:tcPr>
          <w:p w14:paraId="3441E1C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RCT protocol</w:t>
            </w:r>
          </w:p>
        </w:tc>
        <w:tc>
          <w:tcPr>
            <w:tcW w:w="709" w:type="dxa"/>
            <w:hideMark/>
          </w:tcPr>
          <w:p w14:paraId="5E809EE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075C4F6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(integrated care pathway)</w:t>
            </w:r>
          </w:p>
        </w:tc>
        <w:tc>
          <w:tcPr>
            <w:tcW w:w="1134" w:type="dxa"/>
            <w:hideMark/>
          </w:tcPr>
          <w:p w14:paraId="7B5EA2D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Cluster RCT testing integrated pathway vs usual care; digital rehab + imaging</w:t>
            </w:r>
          </w:p>
        </w:tc>
        <w:tc>
          <w:tcPr>
            <w:tcW w:w="993" w:type="dxa"/>
            <w:hideMark/>
          </w:tcPr>
          <w:p w14:paraId="789AFBE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networks recruit and manage pathway allocation</w:t>
            </w:r>
          </w:p>
        </w:tc>
        <w:tc>
          <w:tcPr>
            <w:tcW w:w="1275" w:type="dxa"/>
            <w:hideMark/>
          </w:tcPr>
          <w:p w14:paraId="6CBFDF3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rehab (Living With COVID Recovery); structured care pathways</w:t>
            </w:r>
          </w:p>
        </w:tc>
        <w:tc>
          <w:tcPr>
            <w:tcW w:w="993" w:type="dxa"/>
            <w:hideMark/>
          </w:tcPr>
          <w:p w14:paraId="17E2D6F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850" w:type="dxa"/>
            <w:hideMark/>
          </w:tcPr>
          <w:p w14:paraId="745C713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networks + LC clinics</w:t>
            </w:r>
          </w:p>
        </w:tc>
        <w:tc>
          <w:tcPr>
            <w:tcW w:w="851" w:type="dxa"/>
            <w:hideMark/>
          </w:tcPr>
          <w:p w14:paraId="196FC4B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n≈1130 (planned)</w:t>
            </w:r>
          </w:p>
        </w:tc>
        <w:tc>
          <w:tcPr>
            <w:tcW w:w="992" w:type="dxa"/>
            <w:hideMark/>
          </w:tcPr>
          <w:p w14:paraId="6FD963E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LC ≥12 weeks (planned)</w:t>
            </w:r>
          </w:p>
        </w:tc>
        <w:tc>
          <w:tcPr>
            <w:tcW w:w="1134" w:type="dxa"/>
            <w:hideMark/>
          </w:tcPr>
          <w:p w14:paraId="01D9CE0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1BC20FB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7EE13D7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digital barriers</w:t>
            </w:r>
          </w:p>
        </w:tc>
        <w:tc>
          <w:tcPr>
            <w:tcW w:w="1003" w:type="dxa"/>
            <w:hideMark/>
          </w:tcPr>
          <w:p w14:paraId="21FFDD3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integrated pathways; structured system design</w:t>
            </w:r>
          </w:p>
        </w:tc>
      </w:tr>
      <w:tr w:rsidR="00223353" w:rsidRPr="008340F1" w14:paraId="722F805A" w14:textId="77777777" w:rsidTr="000E2A34">
        <w:trPr>
          <w:trHeight w:val="840"/>
        </w:trPr>
        <w:tc>
          <w:tcPr>
            <w:tcW w:w="846" w:type="dxa"/>
            <w:hideMark/>
          </w:tcPr>
          <w:p w14:paraId="32A30777"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Fowler-Davis et al. (2021)</w:t>
            </w:r>
          </w:p>
        </w:tc>
        <w:tc>
          <w:tcPr>
            <w:tcW w:w="1276" w:type="dxa"/>
            <w:hideMark/>
          </w:tcPr>
          <w:p w14:paraId="33622218" w14:textId="77777777" w:rsidR="00223353" w:rsidRPr="008340F1" w:rsidRDefault="00223353" w:rsidP="00223353">
            <w:pPr>
              <w:rPr>
                <w:rFonts w:ascii="Arial" w:eastAsia="Times New Roman" w:hAnsi="Arial" w:cs="Arial"/>
                <w:kern w:val="0"/>
                <w:sz w:val="12"/>
                <w:szCs w:val="12"/>
                <w:lang w:eastAsia="en-GB"/>
                <w14:ligatures w14:val="none"/>
              </w:rPr>
            </w:pPr>
            <w:hyperlink r:id="rId13" w:history="1">
              <w:r w:rsidRPr="008340F1">
                <w:rPr>
                  <w:rStyle w:val="Hyperlink"/>
                  <w:rFonts w:ascii="Arial" w:hAnsi="Arial" w:cs="Arial"/>
                  <w:color w:val="auto"/>
                  <w:sz w:val="12"/>
                  <w:szCs w:val="12"/>
                </w:rPr>
                <w:t> 10.3390/ijerph182413191</w:t>
              </w:r>
            </w:hyperlink>
          </w:p>
        </w:tc>
        <w:tc>
          <w:tcPr>
            <w:tcW w:w="708" w:type="dxa"/>
            <w:hideMark/>
          </w:tcPr>
          <w:p w14:paraId="56C2BF9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Mixed-methods</w:t>
            </w:r>
          </w:p>
        </w:tc>
        <w:tc>
          <w:tcPr>
            <w:tcW w:w="709" w:type="dxa"/>
            <w:hideMark/>
          </w:tcPr>
          <w:p w14:paraId="083D120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29E82D1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(community MDT model)</w:t>
            </w:r>
          </w:p>
        </w:tc>
        <w:tc>
          <w:tcPr>
            <w:tcW w:w="1134" w:type="dxa"/>
            <w:hideMark/>
          </w:tcPr>
          <w:p w14:paraId="4B15BF5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Co-produced virtual MDT rehabilitation (3 sessions)</w:t>
            </w:r>
          </w:p>
        </w:tc>
        <w:tc>
          <w:tcPr>
            <w:tcW w:w="993" w:type="dxa"/>
            <w:hideMark/>
          </w:tcPr>
          <w:p w14:paraId="1C594D9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informed and linked to MDT intervention</w:t>
            </w:r>
          </w:p>
        </w:tc>
        <w:tc>
          <w:tcPr>
            <w:tcW w:w="1275" w:type="dxa"/>
            <w:hideMark/>
          </w:tcPr>
          <w:p w14:paraId="2903229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Pacing; goal-setting; symptom monitoring; wellbeing tracking</w:t>
            </w:r>
          </w:p>
        </w:tc>
        <w:tc>
          <w:tcPr>
            <w:tcW w:w="993" w:type="dxa"/>
            <w:hideMark/>
          </w:tcPr>
          <w:p w14:paraId="7852577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Self-management engagement during programme</w:t>
            </w:r>
          </w:p>
        </w:tc>
        <w:tc>
          <w:tcPr>
            <w:tcW w:w="850" w:type="dxa"/>
            <w:hideMark/>
          </w:tcPr>
          <w:p w14:paraId="09F33A7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 MDT linked to primary care</w:t>
            </w:r>
          </w:p>
        </w:tc>
        <w:tc>
          <w:tcPr>
            <w:tcW w:w="851" w:type="dxa"/>
            <w:hideMark/>
          </w:tcPr>
          <w:p w14:paraId="5315C76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n=10</w:t>
            </w:r>
          </w:p>
        </w:tc>
        <w:tc>
          <w:tcPr>
            <w:tcW w:w="992" w:type="dxa"/>
            <w:hideMark/>
          </w:tcPr>
          <w:p w14:paraId="058FD02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38-75; 80% female; 40% White; 60% Asian or Black British</w:t>
            </w:r>
          </w:p>
        </w:tc>
        <w:tc>
          <w:tcPr>
            <w:tcW w:w="1134" w:type="dxa"/>
            <w:hideMark/>
          </w:tcPr>
          <w:p w14:paraId="7930325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QoL, fatigue; high acceptability</w:t>
            </w:r>
          </w:p>
        </w:tc>
        <w:tc>
          <w:tcPr>
            <w:tcW w:w="992" w:type="dxa"/>
            <w:hideMark/>
          </w:tcPr>
          <w:p w14:paraId="49072D5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Deprived community targeted; improved access but gaps remain</w:t>
            </w:r>
          </w:p>
        </w:tc>
        <w:tc>
          <w:tcPr>
            <w:tcW w:w="992" w:type="dxa"/>
            <w:hideMark/>
          </w:tcPr>
          <w:p w14:paraId="336302E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barriers; low engagement history</w:t>
            </w:r>
          </w:p>
        </w:tc>
        <w:tc>
          <w:tcPr>
            <w:tcW w:w="1003" w:type="dxa"/>
            <w:hideMark/>
          </w:tcPr>
          <w:p w14:paraId="7873166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Co-production; trusted community links</w:t>
            </w:r>
          </w:p>
        </w:tc>
      </w:tr>
      <w:tr w:rsidR="00223353" w:rsidRPr="008340F1" w14:paraId="53D5686B" w14:textId="77777777" w:rsidTr="000E2A34">
        <w:trPr>
          <w:trHeight w:val="560"/>
        </w:trPr>
        <w:tc>
          <w:tcPr>
            <w:tcW w:w="846" w:type="dxa"/>
            <w:hideMark/>
          </w:tcPr>
          <w:p w14:paraId="235BDE2E"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Welsh Gov (2022)</w:t>
            </w:r>
          </w:p>
        </w:tc>
        <w:tc>
          <w:tcPr>
            <w:tcW w:w="1276" w:type="dxa"/>
            <w:hideMark/>
          </w:tcPr>
          <w:p w14:paraId="16674A54" w14:textId="77777777" w:rsidR="00223353" w:rsidRPr="008340F1" w:rsidRDefault="00223353" w:rsidP="00223353">
            <w:pPr>
              <w:rPr>
                <w:rFonts w:ascii="Arial" w:eastAsia="Times New Roman" w:hAnsi="Arial" w:cs="Arial"/>
                <w:kern w:val="0"/>
                <w:sz w:val="12"/>
                <w:szCs w:val="12"/>
                <w:lang w:eastAsia="en-GB"/>
                <w14:ligatures w14:val="none"/>
              </w:rPr>
            </w:pPr>
            <w:r w:rsidRPr="008340F1">
              <w:rPr>
                <w:rFonts w:ascii="Arial" w:hAnsi="Arial" w:cs="Arial"/>
                <w:sz w:val="12"/>
                <w:szCs w:val="12"/>
              </w:rPr>
              <w:t>https://cedar.nhs.wales/files/adferiad-recovery-long-covid-service-national-evaluation-v1-3-pdf/</w:t>
            </w:r>
          </w:p>
        </w:tc>
        <w:tc>
          <w:tcPr>
            <w:tcW w:w="708" w:type="dxa"/>
            <w:hideMark/>
          </w:tcPr>
          <w:p w14:paraId="139B342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evaluation</w:t>
            </w:r>
          </w:p>
        </w:tc>
        <w:tc>
          <w:tcPr>
            <w:tcW w:w="709" w:type="dxa"/>
            <w:hideMark/>
          </w:tcPr>
          <w:p w14:paraId="442CD2D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06A1B36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National service evaluation</w:t>
            </w:r>
          </w:p>
        </w:tc>
        <w:tc>
          <w:tcPr>
            <w:tcW w:w="1134" w:type="dxa"/>
            <w:hideMark/>
          </w:tcPr>
          <w:p w14:paraId="046BADA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Evaluation of national LC rehabilitation hubs</w:t>
            </w:r>
          </w:p>
        </w:tc>
        <w:tc>
          <w:tcPr>
            <w:tcW w:w="993" w:type="dxa"/>
            <w:hideMark/>
          </w:tcPr>
          <w:p w14:paraId="31F21E4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referral pathway to LC hubs</w:t>
            </w:r>
          </w:p>
        </w:tc>
        <w:tc>
          <w:tcPr>
            <w:tcW w:w="1275" w:type="dxa"/>
            <w:hideMark/>
          </w:tcPr>
          <w:p w14:paraId="3080B3F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Rehabilitation advice; peer support; group education</w:t>
            </w:r>
          </w:p>
        </w:tc>
        <w:tc>
          <w:tcPr>
            <w:tcW w:w="993" w:type="dxa"/>
            <w:hideMark/>
          </w:tcPr>
          <w:p w14:paraId="548484E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Engagement with rehab sessions; coping strategies</w:t>
            </w:r>
          </w:p>
        </w:tc>
        <w:tc>
          <w:tcPr>
            <w:tcW w:w="850" w:type="dxa"/>
            <w:hideMark/>
          </w:tcPr>
          <w:p w14:paraId="7AEACBD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NHS Wales LC hubs + primary care</w:t>
            </w:r>
          </w:p>
        </w:tc>
        <w:tc>
          <w:tcPr>
            <w:tcW w:w="851" w:type="dxa"/>
            <w:hideMark/>
          </w:tcPr>
          <w:p w14:paraId="1C9B972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n=589</w:t>
            </w:r>
          </w:p>
        </w:tc>
        <w:tc>
          <w:tcPr>
            <w:tcW w:w="992" w:type="dxa"/>
            <w:hideMark/>
          </w:tcPr>
          <w:p w14:paraId="1801AF8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66% female; 96% White British</w:t>
            </w:r>
          </w:p>
        </w:tc>
        <w:tc>
          <w:tcPr>
            <w:tcW w:w="1134" w:type="dxa"/>
            <w:hideMark/>
          </w:tcPr>
          <w:p w14:paraId="13B755B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QoL in discharged group; high satisfaction</w:t>
            </w:r>
          </w:p>
        </w:tc>
        <w:tc>
          <w:tcPr>
            <w:tcW w:w="992" w:type="dxa"/>
            <w:hideMark/>
          </w:tcPr>
          <w:p w14:paraId="7B5F08A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07DB754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Delayed referral; GP awareness gaps</w:t>
            </w:r>
          </w:p>
        </w:tc>
        <w:tc>
          <w:tcPr>
            <w:tcW w:w="1003" w:type="dxa"/>
            <w:hideMark/>
          </w:tcPr>
          <w:p w14:paraId="092E649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Empathetic care; group support; structured service</w:t>
            </w:r>
          </w:p>
        </w:tc>
      </w:tr>
      <w:tr w:rsidR="00223353" w:rsidRPr="008340F1" w14:paraId="79C71CBD" w14:textId="77777777" w:rsidTr="000E2A34">
        <w:trPr>
          <w:trHeight w:val="840"/>
        </w:trPr>
        <w:tc>
          <w:tcPr>
            <w:tcW w:w="846" w:type="dxa"/>
            <w:hideMark/>
          </w:tcPr>
          <w:p w14:paraId="3D13A4DE"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Greenhalgh et al. (2024)</w:t>
            </w:r>
          </w:p>
        </w:tc>
        <w:tc>
          <w:tcPr>
            <w:tcW w:w="1276" w:type="dxa"/>
            <w:hideMark/>
          </w:tcPr>
          <w:p w14:paraId="35A8A3E1" w14:textId="77777777" w:rsidR="00223353" w:rsidRPr="008340F1" w:rsidRDefault="00223353" w:rsidP="00223353">
            <w:pPr>
              <w:rPr>
                <w:rFonts w:ascii="Arial" w:eastAsia="Times New Roman" w:hAnsi="Arial" w:cs="Arial"/>
                <w:kern w:val="0"/>
                <w:sz w:val="12"/>
                <w:szCs w:val="12"/>
                <w:lang w:eastAsia="en-GB"/>
                <w14:ligatures w14:val="none"/>
              </w:rPr>
            </w:pPr>
            <w:hyperlink r:id="rId14" w:history="1">
              <w:r w:rsidRPr="008340F1">
                <w:rPr>
                  <w:rStyle w:val="Hyperlink"/>
                  <w:rFonts w:ascii="Arial" w:hAnsi="Arial" w:cs="Arial"/>
                  <w:color w:val="auto"/>
                  <w:sz w:val="12"/>
                  <w:szCs w:val="12"/>
                </w:rPr>
                <w:t>10.1111/1467-9566.13819</w:t>
              </w:r>
            </w:hyperlink>
          </w:p>
        </w:tc>
        <w:tc>
          <w:tcPr>
            <w:tcW w:w="708" w:type="dxa"/>
            <w:hideMark/>
          </w:tcPr>
          <w:p w14:paraId="21A3B04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Ethnography</w:t>
            </w:r>
          </w:p>
        </w:tc>
        <w:tc>
          <w:tcPr>
            <w:tcW w:w="709" w:type="dxa"/>
            <w:hideMark/>
          </w:tcPr>
          <w:p w14:paraId="1FAF515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23D0488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model (clinical practice)</w:t>
            </w:r>
          </w:p>
        </w:tc>
        <w:tc>
          <w:tcPr>
            <w:tcW w:w="1134" w:type="dxa"/>
            <w:hideMark/>
          </w:tcPr>
          <w:p w14:paraId="087A44C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MDT clinic decision-making and relational care</w:t>
            </w:r>
          </w:p>
        </w:tc>
        <w:tc>
          <w:tcPr>
            <w:tcW w:w="993" w:type="dxa"/>
            <w:hideMark/>
          </w:tcPr>
          <w:p w14:paraId="55AE07F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refers; clinics interpret and manage uncertainty</w:t>
            </w:r>
          </w:p>
        </w:tc>
        <w:tc>
          <w:tcPr>
            <w:tcW w:w="1275" w:type="dxa"/>
            <w:hideMark/>
          </w:tcPr>
          <w:p w14:paraId="1074A85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Pacing; breathing exercises; mindfulness; online resources</w:t>
            </w:r>
          </w:p>
        </w:tc>
        <w:tc>
          <w:tcPr>
            <w:tcW w:w="993" w:type="dxa"/>
            <w:hideMark/>
          </w:tcPr>
          <w:p w14:paraId="666AACA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engagement with pacing and self-monitoring</w:t>
            </w:r>
          </w:p>
        </w:tc>
        <w:tc>
          <w:tcPr>
            <w:tcW w:w="850" w:type="dxa"/>
            <w:hideMark/>
          </w:tcPr>
          <w:p w14:paraId="256E727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UK LC clinics (hospital/community interface)</w:t>
            </w:r>
          </w:p>
        </w:tc>
        <w:tc>
          <w:tcPr>
            <w:tcW w:w="851" w:type="dxa"/>
            <w:hideMark/>
          </w:tcPr>
          <w:p w14:paraId="1929F30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n=294 patients; n=45 MDT meetings</w:t>
            </w:r>
          </w:p>
        </w:tc>
        <w:tc>
          <w:tcPr>
            <w:tcW w:w="992" w:type="dxa"/>
            <w:hideMark/>
          </w:tcPr>
          <w:p w14:paraId="795C5AE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18-87; median 48; 61% female; ethnicity not fully reported</w:t>
            </w:r>
          </w:p>
        </w:tc>
        <w:tc>
          <w:tcPr>
            <w:tcW w:w="1134" w:type="dxa"/>
            <w:hideMark/>
          </w:tcPr>
          <w:p w14:paraId="6718658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Care shaped by uncertainty; relational knowledge key</w:t>
            </w:r>
          </w:p>
        </w:tc>
        <w:tc>
          <w:tcPr>
            <w:tcW w:w="992" w:type="dxa"/>
            <w:hideMark/>
          </w:tcPr>
          <w:p w14:paraId="2DFCA20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4FE084D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Variable access; uncertainty; knowledge gaps</w:t>
            </w:r>
          </w:p>
        </w:tc>
        <w:tc>
          <w:tcPr>
            <w:tcW w:w="1003" w:type="dxa"/>
            <w:hideMark/>
          </w:tcPr>
          <w:p w14:paraId="7354081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MDT deliberation; patient-centred reasoning</w:t>
            </w:r>
          </w:p>
        </w:tc>
      </w:tr>
      <w:tr w:rsidR="00223353" w:rsidRPr="008340F1" w14:paraId="7795CF02" w14:textId="77777777" w:rsidTr="000E2A34">
        <w:trPr>
          <w:trHeight w:val="840"/>
        </w:trPr>
        <w:tc>
          <w:tcPr>
            <w:tcW w:w="846" w:type="dxa"/>
            <w:hideMark/>
          </w:tcPr>
          <w:p w14:paraId="66A67C76"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Greenhalgh et al. (2020)</w:t>
            </w:r>
          </w:p>
        </w:tc>
        <w:tc>
          <w:tcPr>
            <w:tcW w:w="1276" w:type="dxa"/>
            <w:hideMark/>
          </w:tcPr>
          <w:p w14:paraId="1C01BA2C" w14:textId="77777777" w:rsidR="00223353" w:rsidRPr="008340F1" w:rsidRDefault="00223353" w:rsidP="00223353">
            <w:pPr>
              <w:rPr>
                <w:rFonts w:ascii="Arial" w:eastAsia="Times New Roman" w:hAnsi="Arial" w:cs="Arial"/>
                <w:kern w:val="0"/>
                <w:sz w:val="12"/>
                <w:szCs w:val="12"/>
                <w:lang w:eastAsia="en-GB"/>
                <w14:ligatures w14:val="none"/>
              </w:rPr>
            </w:pPr>
            <w:hyperlink r:id="rId15" w:history="1">
              <w:r w:rsidRPr="008340F1">
                <w:rPr>
                  <w:rStyle w:val="Hyperlink"/>
                  <w:rFonts w:ascii="Arial" w:hAnsi="Arial" w:cs="Arial"/>
                  <w:color w:val="auto"/>
                  <w:sz w:val="12"/>
                  <w:szCs w:val="12"/>
                </w:rPr>
                <w:t>https://doi.org/10.1136/bmj.m3026</w:t>
              </w:r>
            </w:hyperlink>
          </w:p>
        </w:tc>
        <w:tc>
          <w:tcPr>
            <w:tcW w:w="708" w:type="dxa"/>
            <w:hideMark/>
          </w:tcPr>
          <w:p w14:paraId="094FF4C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Narrative review</w:t>
            </w:r>
          </w:p>
        </w:tc>
        <w:tc>
          <w:tcPr>
            <w:tcW w:w="709" w:type="dxa"/>
            <w:hideMark/>
          </w:tcPr>
          <w:p w14:paraId="5B6DC15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1C9E308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guidance model</w:t>
            </w:r>
          </w:p>
        </w:tc>
        <w:tc>
          <w:tcPr>
            <w:tcW w:w="1134" w:type="dxa"/>
            <w:hideMark/>
          </w:tcPr>
          <w:p w14:paraId="7BB82DF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GP-led holistic symptom management framework</w:t>
            </w:r>
          </w:p>
        </w:tc>
        <w:tc>
          <w:tcPr>
            <w:tcW w:w="993" w:type="dxa"/>
            <w:hideMark/>
          </w:tcPr>
          <w:p w14:paraId="63C839C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central in monitoring and referral</w:t>
            </w:r>
          </w:p>
        </w:tc>
        <w:tc>
          <w:tcPr>
            <w:tcW w:w="1275" w:type="dxa"/>
            <w:hideMark/>
          </w:tcPr>
          <w:p w14:paraId="135DEB4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Pacing; self-monitoring; breathing exercises; education</w:t>
            </w:r>
          </w:p>
        </w:tc>
        <w:tc>
          <w:tcPr>
            <w:tcW w:w="993" w:type="dxa"/>
            <w:hideMark/>
          </w:tcPr>
          <w:p w14:paraId="1518B88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self-monitoring and graded activity</w:t>
            </w:r>
          </w:p>
        </w:tc>
        <w:tc>
          <w:tcPr>
            <w:tcW w:w="850" w:type="dxa"/>
            <w:hideMark/>
          </w:tcPr>
          <w:p w14:paraId="706CA8F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care/community</w:t>
            </w:r>
          </w:p>
        </w:tc>
        <w:tc>
          <w:tcPr>
            <w:tcW w:w="851" w:type="dxa"/>
            <w:hideMark/>
          </w:tcPr>
          <w:p w14:paraId="139A672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25749DE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1134" w:type="dxa"/>
            <w:hideMark/>
          </w:tcPr>
          <w:p w14:paraId="05D9C8F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Early recognition of LC; role of holistic GP care</w:t>
            </w:r>
          </w:p>
        </w:tc>
        <w:tc>
          <w:tcPr>
            <w:tcW w:w="992" w:type="dxa"/>
            <w:hideMark/>
          </w:tcPr>
          <w:p w14:paraId="0EFF416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717C396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Uncertainty in diagnosis; lack of testing</w:t>
            </w:r>
          </w:p>
        </w:tc>
        <w:tc>
          <w:tcPr>
            <w:tcW w:w="1003" w:type="dxa"/>
            <w:hideMark/>
          </w:tcPr>
          <w:p w14:paraId="45B2CE0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Telehealth; holistic care principles</w:t>
            </w:r>
          </w:p>
        </w:tc>
      </w:tr>
      <w:tr w:rsidR="00223353" w:rsidRPr="008340F1" w14:paraId="15248069" w14:textId="77777777" w:rsidTr="000E2A34">
        <w:trPr>
          <w:trHeight w:val="1680"/>
        </w:trPr>
        <w:tc>
          <w:tcPr>
            <w:tcW w:w="846" w:type="dxa"/>
            <w:hideMark/>
          </w:tcPr>
          <w:p w14:paraId="493366FA"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lastRenderedPageBreak/>
              <w:t>Haag et al. (2023)</w:t>
            </w:r>
          </w:p>
        </w:tc>
        <w:tc>
          <w:tcPr>
            <w:tcW w:w="1276" w:type="dxa"/>
            <w:hideMark/>
          </w:tcPr>
          <w:p w14:paraId="54026A59" w14:textId="77777777" w:rsidR="00223353" w:rsidRPr="008340F1" w:rsidRDefault="00223353" w:rsidP="00223353">
            <w:pPr>
              <w:rPr>
                <w:rFonts w:ascii="Arial" w:eastAsia="Times New Roman" w:hAnsi="Arial" w:cs="Arial"/>
                <w:kern w:val="0"/>
                <w:sz w:val="12"/>
                <w:szCs w:val="12"/>
                <w:lang w:eastAsia="en-GB"/>
                <w14:ligatures w14:val="none"/>
              </w:rPr>
            </w:pPr>
            <w:hyperlink r:id="rId16" w:history="1">
              <w:r w:rsidRPr="008340F1">
                <w:rPr>
                  <w:rStyle w:val="Hyperlink"/>
                  <w:rFonts w:ascii="Arial" w:hAnsi="Arial" w:cs="Arial"/>
                  <w:color w:val="auto"/>
                  <w:sz w:val="12"/>
                  <w:szCs w:val="12"/>
                </w:rPr>
                <w:t>10.3310/nihropenres.13315.2</w:t>
              </w:r>
            </w:hyperlink>
          </w:p>
        </w:tc>
        <w:tc>
          <w:tcPr>
            <w:tcW w:w="708" w:type="dxa"/>
            <w:hideMark/>
          </w:tcPr>
          <w:p w14:paraId="7BB6B6E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RCT protocol</w:t>
            </w:r>
          </w:p>
        </w:tc>
        <w:tc>
          <w:tcPr>
            <w:tcW w:w="709" w:type="dxa"/>
            <w:hideMark/>
          </w:tcPr>
          <w:p w14:paraId="2B932B8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47F8FC9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(weight management)</w:t>
            </w:r>
          </w:p>
        </w:tc>
        <w:tc>
          <w:tcPr>
            <w:tcW w:w="1134" w:type="dxa"/>
            <w:hideMark/>
          </w:tcPr>
          <w:p w14:paraId="35FFB31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Remote diet programme; professional support; symptom-targeted</w:t>
            </w:r>
          </w:p>
        </w:tc>
        <w:tc>
          <w:tcPr>
            <w:tcW w:w="993" w:type="dxa"/>
            <w:hideMark/>
          </w:tcPr>
          <w:p w14:paraId="2D86E2C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GP/community recruitment pathways</w:t>
            </w:r>
          </w:p>
        </w:tc>
        <w:tc>
          <w:tcPr>
            <w:tcW w:w="1275" w:type="dxa"/>
            <w:hideMark/>
          </w:tcPr>
          <w:p w14:paraId="2AB5FF0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Structured diet programme; behavioural support</w:t>
            </w:r>
          </w:p>
        </w:tc>
        <w:tc>
          <w:tcPr>
            <w:tcW w:w="993" w:type="dxa"/>
            <w:hideMark/>
          </w:tcPr>
          <w:p w14:paraId="23064FA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Engagement with dietary programme</w:t>
            </w:r>
          </w:p>
        </w:tc>
        <w:tc>
          <w:tcPr>
            <w:tcW w:w="850" w:type="dxa"/>
            <w:hideMark/>
          </w:tcPr>
          <w:p w14:paraId="442A301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Remote/home-based</w:t>
            </w:r>
          </w:p>
        </w:tc>
        <w:tc>
          <w:tcPr>
            <w:tcW w:w="851" w:type="dxa"/>
            <w:hideMark/>
          </w:tcPr>
          <w:p w14:paraId="21833F8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n≈240 (planned)</w:t>
            </w:r>
          </w:p>
        </w:tc>
        <w:tc>
          <w:tcPr>
            <w:tcW w:w="992" w:type="dxa"/>
            <w:hideMark/>
          </w:tcPr>
          <w:p w14:paraId="4328730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BMI ≥27 (≥25 South Asian) (planned)</w:t>
            </w:r>
          </w:p>
        </w:tc>
        <w:tc>
          <w:tcPr>
            <w:tcW w:w="1134" w:type="dxa"/>
            <w:hideMark/>
          </w:tcPr>
          <w:p w14:paraId="01D1F01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6DF3A72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37612B8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adherence challenges</w:t>
            </w:r>
          </w:p>
        </w:tc>
        <w:tc>
          <w:tcPr>
            <w:tcW w:w="1003" w:type="dxa"/>
            <w:hideMark/>
          </w:tcPr>
          <w:p w14:paraId="25CF19F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remote delivery; tailored support</w:t>
            </w:r>
          </w:p>
        </w:tc>
      </w:tr>
      <w:tr w:rsidR="00223353" w:rsidRPr="008340F1" w14:paraId="1C54B08A" w14:textId="77777777" w:rsidTr="000E2A34">
        <w:trPr>
          <w:trHeight w:val="840"/>
        </w:trPr>
        <w:tc>
          <w:tcPr>
            <w:tcW w:w="846" w:type="dxa"/>
            <w:hideMark/>
          </w:tcPr>
          <w:p w14:paraId="345F07E6"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Harenwall et al. (2021)</w:t>
            </w:r>
          </w:p>
        </w:tc>
        <w:tc>
          <w:tcPr>
            <w:tcW w:w="1276" w:type="dxa"/>
            <w:hideMark/>
          </w:tcPr>
          <w:p w14:paraId="3CBECE88" w14:textId="77777777" w:rsidR="00223353" w:rsidRPr="008340F1" w:rsidRDefault="00223353" w:rsidP="00223353">
            <w:pPr>
              <w:rPr>
                <w:rFonts w:ascii="Arial" w:eastAsia="Times New Roman" w:hAnsi="Arial" w:cs="Arial"/>
                <w:kern w:val="0"/>
                <w:sz w:val="12"/>
                <w:szCs w:val="12"/>
                <w:lang w:eastAsia="en-GB"/>
                <w14:ligatures w14:val="none"/>
              </w:rPr>
            </w:pPr>
            <w:hyperlink r:id="rId17" w:history="1">
              <w:r w:rsidRPr="008340F1">
                <w:rPr>
                  <w:rStyle w:val="Hyperlink"/>
                  <w:rFonts w:ascii="Arial" w:hAnsi="Arial" w:cs="Arial"/>
                  <w:color w:val="auto"/>
                  <w:sz w:val="12"/>
                  <w:szCs w:val="12"/>
                </w:rPr>
                <w:t> 10.1177/21501319211067674</w:t>
              </w:r>
            </w:hyperlink>
          </w:p>
        </w:tc>
        <w:tc>
          <w:tcPr>
            <w:tcW w:w="708" w:type="dxa"/>
            <w:hideMark/>
          </w:tcPr>
          <w:p w14:paraId="7F06184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Quantitative</w:t>
            </w:r>
          </w:p>
        </w:tc>
        <w:tc>
          <w:tcPr>
            <w:tcW w:w="709" w:type="dxa"/>
            <w:hideMark/>
          </w:tcPr>
          <w:p w14:paraId="27DEA36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232F7C1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(rehabilitation programme)</w:t>
            </w:r>
          </w:p>
        </w:tc>
        <w:tc>
          <w:tcPr>
            <w:tcW w:w="1134" w:type="dxa"/>
            <w:hideMark/>
          </w:tcPr>
          <w:p w14:paraId="6FB73CE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7-week psychology-led virtual rehab</w:t>
            </w:r>
          </w:p>
        </w:tc>
        <w:tc>
          <w:tcPr>
            <w:tcW w:w="993" w:type="dxa"/>
            <w:hideMark/>
          </w:tcPr>
          <w:p w14:paraId="63A7D0D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signposting into rehab pathway</w:t>
            </w:r>
          </w:p>
        </w:tc>
        <w:tc>
          <w:tcPr>
            <w:tcW w:w="1275" w:type="dxa"/>
            <w:hideMark/>
          </w:tcPr>
          <w:p w14:paraId="3802C19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CBT-informed rehab; pacing; activity management</w:t>
            </w:r>
          </w:p>
        </w:tc>
        <w:tc>
          <w:tcPr>
            <w:tcW w:w="993" w:type="dxa"/>
            <w:hideMark/>
          </w:tcPr>
          <w:p w14:paraId="5CCA55C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Self-monitoring; pacing; behaviour change strategies</w:t>
            </w:r>
          </w:p>
        </w:tc>
        <w:tc>
          <w:tcPr>
            <w:tcW w:w="850" w:type="dxa"/>
            <w:hideMark/>
          </w:tcPr>
          <w:p w14:paraId="5949F13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wellbeing service</w:t>
            </w:r>
          </w:p>
        </w:tc>
        <w:tc>
          <w:tcPr>
            <w:tcW w:w="851" w:type="dxa"/>
            <w:hideMark/>
          </w:tcPr>
          <w:p w14:paraId="04B8763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n=149 baseline; n=76 follow-up</w:t>
            </w:r>
          </w:p>
        </w:tc>
        <w:tc>
          <w:tcPr>
            <w:tcW w:w="992" w:type="dxa"/>
            <w:hideMark/>
          </w:tcPr>
          <w:p w14:paraId="339D147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~47-49; ~72% female; ~71% White British</w:t>
            </w:r>
          </w:p>
        </w:tc>
        <w:tc>
          <w:tcPr>
            <w:tcW w:w="1134" w:type="dxa"/>
            <w:hideMark/>
          </w:tcPr>
          <w:p w14:paraId="2C281C2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HRQoL and self-management confidence</w:t>
            </w:r>
          </w:p>
        </w:tc>
        <w:tc>
          <w:tcPr>
            <w:tcW w:w="992" w:type="dxa"/>
            <w:hideMark/>
          </w:tcPr>
          <w:p w14:paraId="19CD2A7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Some BAME differences in baseline severity</w:t>
            </w:r>
          </w:p>
        </w:tc>
        <w:tc>
          <w:tcPr>
            <w:tcW w:w="992" w:type="dxa"/>
            <w:hideMark/>
          </w:tcPr>
          <w:p w14:paraId="6EE1C07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barriers; attrition</w:t>
            </w:r>
          </w:p>
        </w:tc>
        <w:tc>
          <w:tcPr>
            <w:tcW w:w="1003" w:type="dxa"/>
            <w:hideMark/>
          </w:tcPr>
          <w:p w14:paraId="65A23EE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Structured MDT rehab; virtual delivery</w:t>
            </w:r>
          </w:p>
        </w:tc>
      </w:tr>
      <w:tr w:rsidR="00223353" w:rsidRPr="008340F1" w14:paraId="0BA4A9F1" w14:textId="77777777" w:rsidTr="000E2A34">
        <w:trPr>
          <w:trHeight w:val="840"/>
        </w:trPr>
        <w:tc>
          <w:tcPr>
            <w:tcW w:w="846" w:type="dxa"/>
            <w:hideMark/>
          </w:tcPr>
          <w:p w14:paraId="78055893"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Harenwall et al. (2022)</w:t>
            </w:r>
          </w:p>
        </w:tc>
        <w:tc>
          <w:tcPr>
            <w:tcW w:w="1276" w:type="dxa"/>
            <w:hideMark/>
          </w:tcPr>
          <w:p w14:paraId="0023F352" w14:textId="77777777" w:rsidR="00223353" w:rsidRPr="008340F1" w:rsidRDefault="00223353" w:rsidP="00223353">
            <w:pPr>
              <w:rPr>
                <w:rFonts w:ascii="Arial" w:eastAsia="Times New Roman" w:hAnsi="Arial" w:cs="Arial"/>
                <w:kern w:val="0"/>
                <w:sz w:val="12"/>
                <w:szCs w:val="12"/>
                <w:lang w:eastAsia="en-GB"/>
                <w14:ligatures w14:val="none"/>
              </w:rPr>
            </w:pPr>
            <w:hyperlink r:id="rId18" w:history="1">
              <w:r w:rsidRPr="008340F1">
                <w:rPr>
                  <w:rStyle w:val="Hyperlink"/>
                  <w:rFonts w:ascii="Arial" w:hAnsi="Arial" w:cs="Arial"/>
                  <w:color w:val="auto"/>
                  <w:sz w:val="12"/>
                  <w:szCs w:val="12"/>
                </w:rPr>
                <w:t>10.3390/jcm11206214</w:t>
              </w:r>
            </w:hyperlink>
          </w:p>
        </w:tc>
        <w:tc>
          <w:tcPr>
            <w:tcW w:w="708" w:type="dxa"/>
            <w:hideMark/>
          </w:tcPr>
          <w:p w14:paraId="7E3A444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Quantitative</w:t>
            </w:r>
          </w:p>
        </w:tc>
        <w:tc>
          <w:tcPr>
            <w:tcW w:w="709" w:type="dxa"/>
            <w:hideMark/>
          </w:tcPr>
          <w:p w14:paraId="1C59B66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38B668A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(cohort analysis)</w:t>
            </w:r>
          </w:p>
        </w:tc>
        <w:tc>
          <w:tcPr>
            <w:tcW w:w="1134" w:type="dxa"/>
            <w:hideMark/>
          </w:tcPr>
          <w:p w14:paraId="48D9981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7-week psychology-led virtual rehab programme examining psychological mechanisms</w:t>
            </w:r>
          </w:p>
        </w:tc>
        <w:tc>
          <w:tcPr>
            <w:tcW w:w="993" w:type="dxa"/>
            <w:hideMark/>
          </w:tcPr>
          <w:p w14:paraId="5EACD13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Embedded in primary care rehab service</w:t>
            </w:r>
          </w:p>
        </w:tc>
        <w:tc>
          <w:tcPr>
            <w:tcW w:w="1275" w:type="dxa"/>
            <w:hideMark/>
          </w:tcPr>
          <w:p w14:paraId="26E33EE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Psychological support targeting PTSS</w:t>
            </w:r>
          </w:p>
        </w:tc>
        <w:tc>
          <w:tcPr>
            <w:tcW w:w="993" w:type="dxa"/>
            <w:hideMark/>
          </w:tcPr>
          <w:p w14:paraId="76F079B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Engagement in therapy-based self-management</w:t>
            </w:r>
          </w:p>
        </w:tc>
        <w:tc>
          <w:tcPr>
            <w:tcW w:w="850" w:type="dxa"/>
            <w:hideMark/>
          </w:tcPr>
          <w:p w14:paraId="027AF10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Virtual rehab service</w:t>
            </w:r>
          </w:p>
        </w:tc>
        <w:tc>
          <w:tcPr>
            <w:tcW w:w="851" w:type="dxa"/>
            <w:hideMark/>
          </w:tcPr>
          <w:p w14:paraId="417D30D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n=154 baseline; n=79 follow-up</w:t>
            </w:r>
          </w:p>
        </w:tc>
        <w:tc>
          <w:tcPr>
            <w:tcW w:w="992" w:type="dxa"/>
            <w:hideMark/>
          </w:tcPr>
          <w:p w14:paraId="7AC7BB1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~47; ~87% female; ~73% White British</w:t>
            </w:r>
          </w:p>
        </w:tc>
        <w:tc>
          <w:tcPr>
            <w:tcW w:w="1134" w:type="dxa"/>
            <w:hideMark/>
          </w:tcPr>
          <w:p w14:paraId="5B6246E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PTSD + breathlessness interaction worsens fatigue</w:t>
            </w:r>
          </w:p>
        </w:tc>
        <w:tc>
          <w:tcPr>
            <w:tcW w:w="992" w:type="dxa"/>
            <w:hideMark/>
          </w:tcPr>
          <w:p w14:paraId="644750C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1EF1DC7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PTSS barriers impact engagement</w:t>
            </w:r>
          </w:p>
        </w:tc>
        <w:tc>
          <w:tcPr>
            <w:tcW w:w="1003" w:type="dxa"/>
            <w:hideMark/>
          </w:tcPr>
          <w:p w14:paraId="3FA3D81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MDT psychological input</w:t>
            </w:r>
          </w:p>
        </w:tc>
      </w:tr>
      <w:tr w:rsidR="00223353" w:rsidRPr="008340F1" w14:paraId="5F330E76" w14:textId="77777777" w:rsidTr="000E2A34">
        <w:trPr>
          <w:trHeight w:val="840"/>
        </w:trPr>
        <w:tc>
          <w:tcPr>
            <w:tcW w:w="846" w:type="dxa"/>
            <w:hideMark/>
          </w:tcPr>
          <w:p w14:paraId="47184B02"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Kalfas et al. (2024)</w:t>
            </w:r>
          </w:p>
        </w:tc>
        <w:tc>
          <w:tcPr>
            <w:tcW w:w="1276" w:type="dxa"/>
            <w:hideMark/>
          </w:tcPr>
          <w:p w14:paraId="0A025802" w14:textId="77777777" w:rsidR="00223353" w:rsidRPr="008340F1" w:rsidRDefault="00223353" w:rsidP="00223353">
            <w:pPr>
              <w:rPr>
                <w:rFonts w:ascii="Arial" w:eastAsia="Times New Roman" w:hAnsi="Arial" w:cs="Arial"/>
                <w:kern w:val="0"/>
                <w:sz w:val="12"/>
                <w:szCs w:val="12"/>
                <w:lang w:eastAsia="en-GB"/>
                <w14:ligatures w14:val="none"/>
              </w:rPr>
            </w:pPr>
            <w:hyperlink r:id="rId19" w:history="1">
              <w:r w:rsidRPr="008340F1">
                <w:rPr>
                  <w:rStyle w:val="Hyperlink"/>
                  <w:rFonts w:ascii="Arial" w:hAnsi="Arial" w:cs="Arial"/>
                  <w:color w:val="auto"/>
                  <w:sz w:val="12"/>
                  <w:szCs w:val="12"/>
                </w:rPr>
                <w:t>10.1111/hex.14108</w:t>
              </w:r>
            </w:hyperlink>
          </w:p>
        </w:tc>
        <w:tc>
          <w:tcPr>
            <w:tcW w:w="708" w:type="dxa"/>
            <w:hideMark/>
          </w:tcPr>
          <w:p w14:paraId="16F6F4C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Qualitative</w:t>
            </w:r>
          </w:p>
        </w:tc>
        <w:tc>
          <w:tcPr>
            <w:tcW w:w="709" w:type="dxa"/>
            <w:hideMark/>
          </w:tcPr>
          <w:p w14:paraId="1B187A8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1520CAB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experience of care</w:t>
            </w:r>
          </w:p>
        </w:tc>
        <w:tc>
          <w:tcPr>
            <w:tcW w:w="1134" w:type="dxa"/>
            <w:hideMark/>
          </w:tcPr>
          <w:p w14:paraId="260E4B4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Exploration of care gaps and lived experience</w:t>
            </w:r>
          </w:p>
        </w:tc>
        <w:tc>
          <w:tcPr>
            <w:tcW w:w="993" w:type="dxa"/>
            <w:hideMark/>
          </w:tcPr>
          <w:p w14:paraId="0D6B2A2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as first access point</w:t>
            </w:r>
          </w:p>
        </w:tc>
        <w:tc>
          <w:tcPr>
            <w:tcW w:w="1275" w:type="dxa"/>
            <w:hideMark/>
          </w:tcPr>
          <w:p w14:paraId="633DE77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3" w:type="dxa"/>
            <w:hideMark/>
          </w:tcPr>
          <w:p w14:paraId="58E4FE3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High self-management reliance; online resources use</w:t>
            </w:r>
          </w:p>
        </w:tc>
        <w:tc>
          <w:tcPr>
            <w:tcW w:w="850" w:type="dxa"/>
            <w:hideMark/>
          </w:tcPr>
          <w:p w14:paraId="63F9833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access</w:t>
            </w:r>
          </w:p>
        </w:tc>
        <w:tc>
          <w:tcPr>
            <w:tcW w:w="851" w:type="dxa"/>
            <w:hideMark/>
          </w:tcPr>
          <w:p w14:paraId="762B726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n=19</w:t>
            </w:r>
          </w:p>
        </w:tc>
        <w:tc>
          <w:tcPr>
            <w:tcW w:w="992" w:type="dxa"/>
            <w:hideMark/>
          </w:tcPr>
          <w:p w14:paraId="7BD1A83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~50; 68% female; ~90% White</w:t>
            </w:r>
          </w:p>
        </w:tc>
        <w:tc>
          <w:tcPr>
            <w:tcW w:w="1134" w:type="dxa"/>
            <w:hideMark/>
          </w:tcPr>
          <w:p w14:paraId="352E75E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Dismissal and lack of support common; identity impact</w:t>
            </w:r>
          </w:p>
        </w:tc>
        <w:tc>
          <w:tcPr>
            <w:tcW w:w="992" w:type="dxa"/>
            <w:hideMark/>
          </w:tcPr>
          <w:p w14:paraId="526D325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4231529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Symptom dismissal; poor GP access</w:t>
            </w:r>
          </w:p>
        </w:tc>
        <w:tc>
          <w:tcPr>
            <w:tcW w:w="1003" w:type="dxa"/>
            <w:hideMark/>
          </w:tcPr>
          <w:p w14:paraId="793AC8B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Peer support; acceptance strategies</w:t>
            </w:r>
          </w:p>
        </w:tc>
      </w:tr>
      <w:tr w:rsidR="00223353" w:rsidRPr="008340F1" w14:paraId="61984921" w14:textId="77777777" w:rsidTr="000E2A34">
        <w:trPr>
          <w:trHeight w:val="1120"/>
        </w:trPr>
        <w:tc>
          <w:tcPr>
            <w:tcW w:w="846" w:type="dxa"/>
            <w:hideMark/>
          </w:tcPr>
          <w:p w14:paraId="44BEB9FB"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Mansoubi et al. (2025)</w:t>
            </w:r>
          </w:p>
        </w:tc>
        <w:tc>
          <w:tcPr>
            <w:tcW w:w="1276" w:type="dxa"/>
            <w:hideMark/>
          </w:tcPr>
          <w:p w14:paraId="63F1A859" w14:textId="77777777" w:rsidR="00223353" w:rsidRPr="008340F1" w:rsidRDefault="00223353" w:rsidP="00223353">
            <w:pPr>
              <w:rPr>
                <w:rFonts w:ascii="Arial" w:eastAsia="Times New Roman" w:hAnsi="Arial" w:cs="Arial"/>
                <w:kern w:val="0"/>
                <w:sz w:val="12"/>
                <w:szCs w:val="12"/>
                <w:lang w:eastAsia="en-GB"/>
                <w14:ligatures w14:val="none"/>
              </w:rPr>
            </w:pPr>
            <w:hyperlink r:id="rId20" w:history="1">
              <w:r w:rsidRPr="008340F1">
                <w:rPr>
                  <w:rStyle w:val="Hyperlink"/>
                  <w:rFonts w:ascii="Arial" w:hAnsi="Arial" w:cs="Arial"/>
                  <w:color w:val="auto"/>
                  <w:sz w:val="12"/>
                  <w:szCs w:val="12"/>
                </w:rPr>
                <w:t>10.1136/bmjopen-2024-094658</w:t>
              </w:r>
            </w:hyperlink>
          </w:p>
        </w:tc>
        <w:tc>
          <w:tcPr>
            <w:tcW w:w="708" w:type="dxa"/>
            <w:hideMark/>
          </w:tcPr>
          <w:p w14:paraId="48D45A3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Survey</w:t>
            </w:r>
          </w:p>
        </w:tc>
        <w:tc>
          <w:tcPr>
            <w:tcW w:w="709" w:type="dxa"/>
            <w:hideMark/>
          </w:tcPr>
          <w:p w14:paraId="1594C6F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 + ME/CFS (unspecified)</w:t>
            </w:r>
          </w:p>
        </w:tc>
        <w:tc>
          <w:tcPr>
            <w:tcW w:w="992" w:type="dxa"/>
            <w:hideMark/>
          </w:tcPr>
          <w:p w14:paraId="07A0EDC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experience of care</w:t>
            </w:r>
          </w:p>
        </w:tc>
        <w:tc>
          <w:tcPr>
            <w:tcW w:w="1134" w:type="dxa"/>
            <w:hideMark/>
          </w:tcPr>
          <w:p w14:paraId="43CEF08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Comparison of healthcare experiences across conditions</w:t>
            </w:r>
          </w:p>
        </w:tc>
        <w:tc>
          <w:tcPr>
            <w:tcW w:w="993" w:type="dxa"/>
            <w:hideMark/>
          </w:tcPr>
          <w:p w14:paraId="74EDD02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key entry point; limited ongoing support</w:t>
            </w:r>
          </w:p>
        </w:tc>
        <w:tc>
          <w:tcPr>
            <w:tcW w:w="1275" w:type="dxa"/>
            <w:hideMark/>
          </w:tcPr>
          <w:p w14:paraId="6256ED4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3" w:type="dxa"/>
            <w:hideMark/>
          </w:tcPr>
          <w:p w14:paraId="3BD90AA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Strong self-management reliance (pacing, rest)</w:t>
            </w:r>
          </w:p>
        </w:tc>
        <w:tc>
          <w:tcPr>
            <w:tcW w:w="850" w:type="dxa"/>
            <w:hideMark/>
          </w:tcPr>
          <w:p w14:paraId="107B081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w:t>
            </w:r>
          </w:p>
        </w:tc>
        <w:tc>
          <w:tcPr>
            <w:tcW w:w="851" w:type="dxa"/>
            <w:hideMark/>
          </w:tcPr>
          <w:p w14:paraId="5AF2C04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n=10458</w:t>
            </w:r>
          </w:p>
        </w:tc>
        <w:tc>
          <w:tcPr>
            <w:tcW w:w="992" w:type="dxa"/>
            <w:hideMark/>
          </w:tcPr>
          <w:p w14:paraId="2DC881F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83% female; 95% White</w:t>
            </w:r>
          </w:p>
        </w:tc>
        <w:tc>
          <w:tcPr>
            <w:tcW w:w="1134" w:type="dxa"/>
            <w:hideMark/>
          </w:tcPr>
          <w:p w14:paraId="002FF1A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Poor satisfaction; long diagnostic delays; high burden</w:t>
            </w:r>
          </w:p>
        </w:tc>
        <w:tc>
          <w:tcPr>
            <w:tcW w:w="992" w:type="dxa"/>
            <w:hideMark/>
          </w:tcPr>
          <w:p w14:paraId="4A572BC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0D363D8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Delayed diagnosis; poor NHS support</w:t>
            </w:r>
          </w:p>
        </w:tc>
        <w:tc>
          <w:tcPr>
            <w:tcW w:w="1003" w:type="dxa"/>
            <w:hideMark/>
          </w:tcPr>
          <w:p w14:paraId="74E3C8B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Online peer support; self-management reliance</w:t>
            </w:r>
          </w:p>
        </w:tc>
      </w:tr>
      <w:tr w:rsidR="00223353" w:rsidRPr="008340F1" w14:paraId="7D769D66" w14:textId="77777777" w:rsidTr="000E2A34">
        <w:trPr>
          <w:trHeight w:val="840"/>
        </w:trPr>
        <w:tc>
          <w:tcPr>
            <w:tcW w:w="846" w:type="dxa"/>
            <w:hideMark/>
          </w:tcPr>
          <w:p w14:paraId="2A3A74CB"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Mir et al. (2025)</w:t>
            </w:r>
          </w:p>
        </w:tc>
        <w:tc>
          <w:tcPr>
            <w:tcW w:w="1276" w:type="dxa"/>
            <w:hideMark/>
          </w:tcPr>
          <w:p w14:paraId="1F9F689D" w14:textId="77777777" w:rsidR="00223353" w:rsidRPr="008340F1" w:rsidRDefault="00223353" w:rsidP="00223353">
            <w:pPr>
              <w:rPr>
                <w:rFonts w:ascii="Arial" w:eastAsia="Times New Roman" w:hAnsi="Arial" w:cs="Arial"/>
                <w:kern w:val="0"/>
                <w:sz w:val="12"/>
                <w:szCs w:val="12"/>
                <w:lang w:eastAsia="en-GB"/>
                <w14:ligatures w14:val="none"/>
              </w:rPr>
            </w:pPr>
            <w:hyperlink r:id="rId21" w:history="1">
              <w:r w:rsidRPr="008340F1">
                <w:rPr>
                  <w:rStyle w:val="Hyperlink"/>
                  <w:rFonts w:ascii="Arial" w:hAnsi="Arial" w:cs="Arial"/>
                  <w:color w:val="auto"/>
                  <w:sz w:val="12"/>
                  <w:szCs w:val="12"/>
                </w:rPr>
                <w:t>10.1111/hex.70336</w:t>
              </w:r>
            </w:hyperlink>
          </w:p>
        </w:tc>
        <w:tc>
          <w:tcPr>
            <w:tcW w:w="708" w:type="dxa"/>
            <w:hideMark/>
          </w:tcPr>
          <w:p w14:paraId="417D12D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Mixed-methods</w:t>
            </w:r>
          </w:p>
        </w:tc>
        <w:tc>
          <w:tcPr>
            <w:tcW w:w="709" w:type="dxa"/>
            <w:hideMark/>
          </w:tcPr>
          <w:p w14:paraId="7648D11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628968E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experience + access pathways</w:t>
            </w:r>
          </w:p>
        </w:tc>
        <w:tc>
          <w:tcPr>
            <w:tcW w:w="1134" w:type="dxa"/>
            <w:hideMark/>
          </w:tcPr>
          <w:p w14:paraId="4C89EC7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Exploration of inclusive service development and barriers</w:t>
            </w:r>
          </w:p>
        </w:tc>
        <w:tc>
          <w:tcPr>
            <w:tcW w:w="993" w:type="dxa"/>
            <w:hideMark/>
          </w:tcPr>
          <w:p w14:paraId="624056F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referral</w:t>
            </w:r>
          </w:p>
        </w:tc>
        <w:tc>
          <w:tcPr>
            <w:tcW w:w="1275" w:type="dxa"/>
            <w:hideMark/>
          </w:tcPr>
          <w:p w14:paraId="5954DFC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Peer support; information provision; advocacy support</w:t>
            </w:r>
          </w:p>
        </w:tc>
        <w:tc>
          <w:tcPr>
            <w:tcW w:w="993" w:type="dxa"/>
            <w:hideMark/>
          </w:tcPr>
          <w:p w14:paraId="2819A8E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Self-advocacy; navigating fragmented systems</w:t>
            </w:r>
          </w:p>
        </w:tc>
        <w:tc>
          <w:tcPr>
            <w:tcW w:w="850" w:type="dxa"/>
            <w:hideMark/>
          </w:tcPr>
          <w:p w14:paraId="7B71E7C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practices + LC clinics + community</w:t>
            </w:r>
          </w:p>
        </w:tc>
        <w:tc>
          <w:tcPr>
            <w:tcW w:w="851" w:type="dxa"/>
            <w:hideMark/>
          </w:tcPr>
          <w:p w14:paraId="5BD4D3A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n=41 (23 PwLC; 18 experts)</w:t>
            </w:r>
          </w:p>
        </w:tc>
        <w:tc>
          <w:tcPr>
            <w:tcW w:w="992" w:type="dxa"/>
            <w:hideMark/>
          </w:tcPr>
          <w:p w14:paraId="0EC8369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74% female; 35% White; 30% South Asian; 17% Black</w:t>
            </w:r>
          </w:p>
        </w:tc>
        <w:tc>
          <w:tcPr>
            <w:tcW w:w="1134" w:type="dxa"/>
            <w:hideMark/>
          </w:tcPr>
          <w:p w14:paraId="31E2E39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Fragmented care; under-referral; access inequalities</w:t>
            </w:r>
          </w:p>
        </w:tc>
        <w:tc>
          <w:tcPr>
            <w:tcW w:w="992" w:type="dxa"/>
            <w:hideMark/>
          </w:tcPr>
          <w:p w14:paraId="6841320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Strong inequities by ethnicity and SES</w:t>
            </w:r>
          </w:p>
        </w:tc>
        <w:tc>
          <w:tcPr>
            <w:tcW w:w="992" w:type="dxa"/>
            <w:hideMark/>
          </w:tcPr>
          <w:p w14:paraId="2829162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Poor access; mistrust; fragmented pathways</w:t>
            </w:r>
          </w:p>
        </w:tc>
        <w:tc>
          <w:tcPr>
            <w:tcW w:w="1003" w:type="dxa"/>
            <w:hideMark/>
          </w:tcPr>
          <w:p w14:paraId="4B43A75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Integrated care; third-sector collaboration</w:t>
            </w:r>
          </w:p>
        </w:tc>
      </w:tr>
      <w:tr w:rsidR="00223353" w:rsidRPr="008340F1" w14:paraId="710B1A21" w14:textId="77777777" w:rsidTr="000E2A34">
        <w:trPr>
          <w:trHeight w:val="840"/>
        </w:trPr>
        <w:tc>
          <w:tcPr>
            <w:tcW w:w="846" w:type="dxa"/>
            <w:hideMark/>
          </w:tcPr>
          <w:p w14:paraId="4A813D20"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Mullard et al. (2024)</w:t>
            </w:r>
          </w:p>
        </w:tc>
        <w:tc>
          <w:tcPr>
            <w:tcW w:w="1276" w:type="dxa"/>
            <w:hideMark/>
          </w:tcPr>
          <w:p w14:paraId="5B12E431" w14:textId="77777777" w:rsidR="00223353" w:rsidRPr="008340F1" w:rsidRDefault="00223353" w:rsidP="00223353">
            <w:pPr>
              <w:rPr>
                <w:rFonts w:ascii="Arial" w:eastAsia="Times New Roman" w:hAnsi="Arial" w:cs="Arial"/>
                <w:kern w:val="0"/>
                <w:sz w:val="12"/>
                <w:szCs w:val="12"/>
                <w:lang w:eastAsia="en-GB"/>
                <w14:ligatures w14:val="none"/>
              </w:rPr>
            </w:pPr>
            <w:r w:rsidRPr="008340F1">
              <w:rPr>
                <w:rFonts w:ascii="Arial" w:hAnsi="Arial" w:cs="Arial"/>
                <w:sz w:val="12"/>
                <w:szCs w:val="12"/>
              </w:rPr>
              <w:t>10.1111/1467-9566.13795</w:t>
            </w:r>
          </w:p>
        </w:tc>
        <w:tc>
          <w:tcPr>
            <w:tcW w:w="708" w:type="dxa"/>
            <w:hideMark/>
          </w:tcPr>
          <w:p w14:paraId="7EC9176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Qualitative</w:t>
            </w:r>
          </w:p>
        </w:tc>
        <w:tc>
          <w:tcPr>
            <w:tcW w:w="709" w:type="dxa"/>
            <w:hideMark/>
          </w:tcPr>
          <w:p w14:paraId="0393779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4B6016C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experience of diagnostic pathway</w:t>
            </w:r>
          </w:p>
        </w:tc>
        <w:tc>
          <w:tcPr>
            <w:tcW w:w="1134" w:type="dxa"/>
            <w:hideMark/>
          </w:tcPr>
          <w:p w14:paraId="405797B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Exploration of “diagnostic odyssey” and stigma</w:t>
            </w:r>
          </w:p>
        </w:tc>
        <w:tc>
          <w:tcPr>
            <w:tcW w:w="993" w:type="dxa"/>
            <w:hideMark/>
          </w:tcPr>
          <w:p w14:paraId="7B64B1E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gatekeeping</w:t>
            </w:r>
          </w:p>
        </w:tc>
        <w:tc>
          <w:tcPr>
            <w:tcW w:w="1275" w:type="dxa"/>
            <w:hideMark/>
          </w:tcPr>
          <w:p w14:paraId="610ADED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Informal self-management; peer/family support</w:t>
            </w:r>
          </w:p>
        </w:tc>
        <w:tc>
          <w:tcPr>
            <w:tcW w:w="993" w:type="dxa"/>
            <w:hideMark/>
          </w:tcPr>
          <w:p w14:paraId="7914913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High self-advocacy and informal coping</w:t>
            </w:r>
          </w:p>
        </w:tc>
        <w:tc>
          <w:tcPr>
            <w:tcW w:w="850" w:type="dxa"/>
            <w:hideMark/>
          </w:tcPr>
          <w:p w14:paraId="2514998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w:t>
            </w:r>
          </w:p>
        </w:tc>
        <w:tc>
          <w:tcPr>
            <w:tcW w:w="851" w:type="dxa"/>
            <w:hideMark/>
          </w:tcPr>
          <w:p w14:paraId="22532EF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n=41 (23 PwLC; 18 experts)</w:t>
            </w:r>
          </w:p>
        </w:tc>
        <w:tc>
          <w:tcPr>
            <w:tcW w:w="992" w:type="dxa"/>
            <w:hideMark/>
          </w:tcPr>
          <w:p w14:paraId="6C3D2F1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74% female; 35% White; 30% South Asian; 17% Black</w:t>
            </w:r>
          </w:p>
        </w:tc>
        <w:tc>
          <w:tcPr>
            <w:tcW w:w="1134" w:type="dxa"/>
            <w:hideMark/>
          </w:tcPr>
          <w:p w14:paraId="0244672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Diagnostic delay; invalidation; emotional burden</w:t>
            </w:r>
          </w:p>
        </w:tc>
        <w:tc>
          <w:tcPr>
            <w:tcW w:w="992" w:type="dxa"/>
            <w:hideMark/>
          </w:tcPr>
          <w:p w14:paraId="1535853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Strong inequities by ethnicity and SES</w:t>
            </w:r>
          </w:p>
        </w:tc>
        <w:tc>
          <w:tcPr>
            <w:tcW w:w="992" w:type="dxa"/>
            <w:hideMark/>
          </w:tcPr>
          <w:p w14:paraId="4143ED6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dismissal; lack of pathways; stigma</w:t>
            </w:r>
          </w:p>
        </w:tc>
        <w:tc>
          <w:tcPr>
            <w:tcW w:w="1003" w:type="dxa"/>
            <w:hideMark/>
          </w:tcPr>
          <w:p w14:paraId="65F7DDF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Peer support; self-advocacy</w:t>
            </w:r>
          </w:p>
        </w:tc>
      </w:tr>
      <w:tr w:rsidR="00223353" w:rsidRPr="008340F1" w14:paraId="1AC39B19" w14:textId="77777777" w:rsidTr="000E2A34">
        <w:trPr>
          <w:trHeight w:val="840"/>
        </w:trPr>
        <w:tc>
          <w:tcPr>
            <w:tcW w:w="846" w:type="dxa"/>
            <w:hideMark/>
          </w:tcPr>
          <w:p w14:paraId="51F6562E"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Morrow et al. (2022)</w:t>
            </w:r>
          </w:p>
        </w:tc>
        <w:tc>
          <w:tcPr>
            <w:tcW w:w="1276" w:type="dxa"/>
            <w:hideMark/>
          </w:tcPr>
          <w:p w14:paraId="7254F5A7" w14:textId="77777777" w:rsidR="00223353" w:rsidRPr="008340F1" w:rsidRDefault="00223353" w:rsidP="00223353">
            <w:pPr>
              <w:rPr>
                <w:rFonts w:ascii="Arial" w:eastAsia="Times New Roman" w:hAnsi="Arial" w:cs="Arial"/>
                <w:kern w:val="0"/>
                <w:sz w:val="12"/>
                <w:szCs w:val="12"/>
                <w:lang w:eastAsia="en-GB"/>
                <w14:ligatures w14:val="none"/>
              </w:rPr>
            </w:pPr>
            <w:hyperlink r:id="rId22" w:history="1">
              <w:r w:rsidRPr="008340F1">
                <w:rPr>
                  <w:rStyle w:val="Hyperlink"/>
                  <w:rFonts w:ascii="Arial" w:hAnsi="Arial" w:cs="Arial"/>
                  <w:color w:val="auto"/>
                  <w:sz w:val="12"/>
                  <w:szCs w:val="12"/>
                </w:rPr>
                <w:t>10.1186/s13063-022-06632-y</w:t>
              </w:r>
            </w:hyperlink>
          </w:p>
        </w:tc>
        <w:tc>
          <w:tcPr>
            <w:tcW w:w="708" w:type="dxa"/>
            <w:hideMark/>
          </w:tcPr>
          <w:p w14:paraId="40610AC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RCT protocol</w:t>
            </w:r>
          </w:p>
        </w:tc>
        <w:tc>
          <w:tcPr>
            <w:tcW w:w="709" w:type="dxa"/>
            <w:hideMark/>
          </w:tcPr>
          <w:p w14:paraId="65E7E2C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0BF43F7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(exercise rehabilitation)</w:t>
            </w:r>
          </w:p>
        </w:tc>
        <w:tc>
          <w:tcPr>
            <w:tcW w:w="1134" w:type="dxa"/>
            <w:hideMark/>
          </w:tcPr>
          <w:p w14:paraId="3432A6A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12-week resistance exercise programme</w:t>
            </w:r>
          </w:p>
        </w:tc>
        <w:tc>
          <w:tcPr>
            <w:tcW w:w="993" w:type="dxa"/>
            <w:hideMark/>
          </w:tcPr>
          <w:p w14:paraId="162FE48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recruitment and follow-up coordination</w:t>
            </w:r>
          </w:p>
        </w:tc>
        <w:tc>
          <w:tcPr>
            <w:tcW w:w="1275" w:type="dxa"/>
            <w:hideMark/>
          </w:tcPr>
          <w:p w14:paraId="465FE28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Exercise guidance; remote support calls</w:t>
            </w:r>
          </w:p>
        </w:tc>
        <w:tc>
          <w:tcPr>
            <w:tcW w:w="993" w:type="dxa"/>
            <w:hideMark/>
          </w:tcPr>
          <w:p w14:paraId="6782C8D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Home-based exercise adherence</w:t>
            </w:r>
          </w:p>
        </w:tc>
        <w:tc>
          <w:tcPr>
            <w:tcW w:w="850" w:type="dxa"/>
            <w:hideMark/>
          </w:tcPr>
          <w:p w14:paraId="1F607C0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 community</w:t>
            </w:r>
          </w:p>
        </w:tc>
        <w:tc>
          <w:tcPr>
            <w:tcW w:w="851" w:type="dxa"/>
            <w:hideMark/>
          </w:tcPr>
          <w:p w14:paraId="53823BA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n≈220 (planned)</w:t>
            </w:r>
          </w:p>
        </w:tc>
        <w:tc>
          <w:tcPr>
            <w:tcW w:w="992" w:type="dxa"/>
            <w:hideMark/>
          </w:tcPr>
          <w:p w14:paraId="463686B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post-acute COVID (≤6 months)</w:t>
            </w:r>
          </w:p>
        </w:tc>
        <w:tc>
          <w:tcPr>
            <w:tcW w:w="1134" w:type="dxa"/>
            <w:hideMark/>
          </w:tcPr>
          <w:p w14:paraId="34DA5A7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37CE68F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049DB9B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adherence challenges</w:t>
            </w:r>
          </w:p>
        </w:tc>
        <w:tc>
          <w:tcPr>
            <w:tcW w:w="1003" w:type="dxa"/>
            <w:hideMark/>
          </w:tcPr>
          <w:p w14:paraId="31EAE0E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simple home-based design; regular contact</w:t>
            </w:r>
          </w:p>
        </w:tc>
      </w:tr>
      <w:tr w:rsidR="00223353" w:rsidRPr="008340F1" w14:paraId="19DC2A27" w14:textId="77777777" w:rsidTr="000E2A34">
        <w:trPr>
          <w:trHeight w:val="840"/>
        </w:trPr>
        <w:tc>
          <w:tcPr>
            <w:tcW w:w="846" w:type="dxa"/>
            <w:hideMark/>
          </w:tcPr>
          <w:p w14:paraId="5D21CDFF"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Nurek et al. (2021)</w:t>
            </w:r>
          </w:p>
        </w:tc>
        <w:tc>
          <w:tcPr>
            <w:tcW w:w="1276" w:type="dxa"/>
            <w:hideMark/>
          </w:tcPr>
          <w:p w14:paraId="74E88726" w14:textId="77777777" w:rsidR="00223353" w:rsidRPr="008340F1" w:rsidRDefault="00223353" w:rsidP="00223353">
            <w:pPr>
              <w:rPr>
                <w:rFonts w:ascii="Arial" w:eastAsia="Times New Roman" w:hAnsi="Arial" w:cs="Arial"/>
                <w:kern w:val="0"/>
                <w:sz w:val="12"/>
                <w:szCs w:val="12"/>
                <w:lang w:eastAsia="en-GB"/>
                <w14:ligatures w14:val="none"/>
              </w:rPr>
            </w:pPr>
            <w:r w:rsidRPr="008340F1">
              <w:rPr>
                <w:rFonts w:ascii="Arial" w:hAnsi="Arial" w:cs="Arial"/>
                <w:sz w:val="12"/>
                <w:szCs w:val="12"/>
              </w:rPr>
              <w:t>10.3399/BJGP.2021.0265</w:t>
            </w:r>
          </w:p>
        </w:tc>
        <w:tc>
          <w:tcPr>
            <w:tcW w:w="708" w:type="dxa"/>
            <w:hideMark/>
          </w:tcPr>
          <w:p w14:paraId="1795C30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Delphi</w:t>
            </w:r>
          </w:p>
        </w:tc>
        <w:tc>
          <w:tcPr>
            <w:tcW w:w="709" w:type="dxa"/>
            <w:hideMark/>
          </w:tcPr>
          <w:p w14:paraId="6766BD2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6B72649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management guidance</w:t>
            </w:r>
          </w:p>
        </w:tc>
        <w:tc>
          <w:tcPr>
            <w:tcW w:w="1134" w:type="dxa"/>
            <w:hideMark/>
          </w:tcPr>
          <w:p w14:paraId="1E88F6C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Consensus recommendations for GP-led assessment and care</w:t>
            </w:r>
          </w:p>
        </w:tc>
        <w:tc>
          <w:tcPr>
            <w:tcW w:w="993" w:type="dxa"/>
            <w:hideMark/>
          </w:tcPr>
          <w:p w14:paraId="076F092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central in diagnosis, monitoring, referral</w:t>
            </w:r>
          </w:p>
        </w:tc>
        <w:tc>
          <w:tcPr>
            <w:tcW w:w="1275" w:type="dxa"/>
            <w:hideMark/>
          </w:tcPr>
          <w:p w14:paraId="49BE079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Pacing; education; symptom monitoring; social prescribing</w:t>
            </w:r>
          </w:p>
        </w:tc>
        <w:tc>
          <w:tcPr>
            <w:tcW w:w="993" w:type="dxa"/>
            <w:hideMark/>
          </w:tcPr>
          <w:p w14:paraId="1A36D69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pacing and symptom self-monitoring</w:t>
            </w:r>
          </w:p>
        </w:tc>
        <w:tc>
          <w:tcPr>
            <w:tcW w:w="850" w:type="dxa"/>
            <w:hideMark/>
          </w:tcPr>
          <w:p w14:paraId="44D366C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 MDT networks</w:t>
            </w:r>
          </w:p>
        </w:tc>
        <w:tc>
          <w:tcPr>
            <w:tcW w:w="851" w:type="dxa"/>
            <w:hideMark/>
          </w:tcPr>
          <w:p w14:paraId="7D1AA6C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n=33</w:t>
            </w:r>
          </w:p>
        </w:tc>
        <w:tc>
          <w:tcPr>
            <w:tcW w:w="992" w:type="dxa"/>
            <w:hideMark/>
          </w:tcPr>
          <w:p w14:paraId="027DDD6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Clinicians (UK multidisciplinary)</w:t>
            </w:r>
          </w:p>
        </w:tc>
        <w:tc>
          <w:tcPr>
            <w:tcW w:w="1134" w:type="dxa"/>
            <w:hideMark/>
          </w:tcPr>
          <w:p w14:paraId="31A313C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Consensus on holistic GP-led management and MDT care</w:t>
            </w:r>
          </w:p>
        </w:tc>
        <w:tc>
          <w:tcPr>
            <w:tcW w:w="992" w:type="dxa"/>
            <w:hideMark/>
          </w:tcPr>
          <w:p w14:paraId="583A99F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5B30FC4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Limited evidence base; service variation</w:t>
            </w:r>
          </w:p>
        </w:tc>
        <w:tc>
          <w:tcPr>
            <w:tcW w:w="1003" w:type="dxa"/>
            <w:hideMark/>
          </w:tcPr>
          <w:p w14:paraId="014A48E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coordination; MDT collaboration</w:t>
            </w:r>
          </w:p>
        </w:tc>
      </w:tr>
      <w:tr w:rsidR="00223353" w:rsidRPr="008340F1" w14:paraId="38E60C4A" w14:textId="77777777" w:rsidTr="000E2A34">
        <w:trPr>
          <w:trHeight w:val="840"/>
        </w:trPr>
        <w:tc>
          <w:tcPr>
            <w:tcW w:w="846" w:type="dxa"/>
            <w:hideMark/>
          </w:tcPr>
          <w:p w14:paraId="2E49D849"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lastRenderedPageBreak/>
              <w:t>Parkin et al. (2021)</w:t>
            </w:r>
          </w:p>
        </w:tc>
        <w:tc>
          <w:tcPr>
            <w:tcW w:w="1276" w:type="dxa"/>
            <w:hideMark/>
          </w:tcPr>
          <w:p w14:paraId="61FB3DC0" w14:textId="77777777" w:rsidR="00223353" w:rsidRPr="008340F1" w:rsidRDefault="00223353" w:rsidP="00223353">
            <w:pPr>
              <w:rPr>
                <w:rFonts w:ascii="Arial" w:eastAsia="Times New Roman" w:hAnsi="Arial" w:cs="Arial"/>
                <w:kern w:val="0"/>
                <w:sz w:val="12"/>
                <w:szCs w:val="12"/>
                <w:lang w:eastAsia="en-GB"/>
                <w14:ligatures w14:val="none"/>
              </w:rPr>
            </w:pPr>
            <w:hyperlink r:id="rId23" w:history="1">
              <w:r w:rsidRPr="008340F1">
                <w:rPr>
                  <w:rStyle w:val="Hyperlink"/>
                  <w:rFonts w:ascii="Arial" w:hAnsi="Arial" w:cs="Arial"/>
                  <w:color w:val="auto"/>
                  <w:sz w:val="12"/>
                  <w:szCs w:val="12"/>
                </w:rPr>
                <w:t> 10.1177/21501327211010994</w:t>
              </w:r>
            </w:hyperlink>
          </w:p>
        </w:tc>
        <w:tc>
          <w:tcPr>
            <w:tcW w:w="708" w:type="dxa"/>
            <w:hideMark/>
          </w:tcPr>
          <w:p w14:paraId="7E7CCD0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description</w:t>
            </w:r>
          </w:p>
        </w:tc>
        <w:tc>
          <w:tcPr>
            <w:tcW w:w="709" w:type="dxa"/>
            <w:hideMark/>
          </w:tcPr>
          <w:p w14:paraId="14D322D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02ED92D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model (3-tier pathway)</w:t>
            </w:r>
          </w:p>
        </w:tc>
        <w:tc>
          <w:tcPr>
            <w:tcW w:w="1134" w:type="dxa"/>
            <w:hideMark/>
          </w:tcPr>
          <w:p w14:paraId="6F27F78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Tiered MDT rehabilitation system integrated with GP</w:t>
            </w:r>
          </w:p>
        </w:tc>
        <w:tc>
          <w:tcPr>
            <w:tcW w:w="993" w:type="dxa"/>
            <w:hideMark/>
          </w:tcPr>
          <w:p w14:paraId="6B51098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referral and triage into tiers</w:t>
            </w:r>
          </w:p>
        </w:tc>
        <w:tc>
          <w:tcPr>
            <w:tcW w:w="1275" w:type="dxa"/>
            <w:hideMark/>
          </w:tcPr>
          <w:p w14:paraId="1EE79C6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Rehabilitation advice; online resources; pacing</w:t>
            </w:r>
          </w:p>
        </w:tc>
        <w:tc>
          <w:tcPr>
            <w:tcW w:w="993" w:type="dxa"/>
            <w:hideMark/>
          </w:tcPr>
          <w:p w14:paraId="3668920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Engagement with tiered rehab pathway</w:t>
            </w:r>
          </w:p>
        </w:tc>
        <w:tc>
          <w:tcPr>
            <w:tcW w:w="850" w:type="dxa"/>
            <w:hideMark/>
          </w:tcPr>
          <w:p w14:paraId="64B6281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 community care</w:t>
            </w:r>
          </w:p>
        </w:tc>
        <w:tc>
          <w:tcPr>
            <w:tcW w:w="851" w:type="dxa"/>
            <w:hideMark/>
          </w:tcPr>
          <w:p w14:paraId="3B2D2AF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n=225</w:t>
            </w:r>
          </w:p>
        </w:tc>
        <w:tc>
          <w:tcPr>
            <w:tcW w:w="992" w:type="dxa"/>
            <w:hideMark/>
          </w:tcPr>
          <w:p w14:paraId="4ED5FE1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48; 68% female; 74% non-hospitalised</w:t>
            </w:r>
          </w:p>
        </w:tc>
        <w:tc>
          <w:tcPr>
            <w:tcW w:w="1134" w:type="dxa"/>
            <w:hideMark/>
          </w:tcPr>
          <w:p w14:paraId="02810F8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Feasible MDT pathway; high demand; complex cases common</w:t>
            </w:r>
          </w:p>
        </w:tc>
        <w:tc>
          <w:tcPr>
            <w:tcW w:w="992" w:type="dxa"/>
            <w:hideMark/>
          </w:tcPr>
          <w:p w14:paraId="2C3D3B6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441BDED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Capacity constraints; variation in referrals</w:t>
            </w:r>
          </w:p>
        </w:tc>
        <w:tc>
          <w:tcPr>
            <w:tcW w:w="1003" w:type="dxa"/>
            <w:hideMark/>
          </w:tcPr>
          <w:p w14:paraId="7C3FDBF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Strong GP linkage; MDT coordination</w:t>
            </w:r>
          </w:p>
        </w:tc>
      </w:tr>
      <w:tr w:rsidR="00223353" w:rsidRPr="008340F1" w14:paraId="1BFFBC9B" w14:textId="77777777" w:rsidTr="000E2A34">
        <w:trPr>
          <w:trHeight w:val="840"/>
        </w:trPr>
        <w:tc>
          <w:tcPr>
            <w:tcW w:w="846" w:type="dxa"/>
            <w:hideMark/>
          </w:tcPr>
          <w:p w14:paraId="6C72350B"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Razai et al. (2021)</w:t>
            </w:r>
          </w:p>
        </w:tc>
        <w:tc>
          <w:tcPr>
            <w:tcW w:w="1276" w:type="dxa"/>
            <w:hideMark/>
          </w:tcPr>
          <w:p w14:paraId="7469CFBE" w14:textId="77777777" w:rsidR="00223353" w:rsidRPr="008340F1" w:rsidRDefault="00223353" w:rsidP="00223353">
            <w:pPr>
              <w:rPr>
                <w:rFonts w:ascii="Arial" w:eastAsia="Times New Roman" w:hAnsi="Arial" w:cs="Arial"/>
                <w:kern w:val="0"/>
                <w:sz w:val="12"/>
                <w:szCs w:val="12"/>
                <w:lang w:eastAsia="en-GB"/>
                <w14:ligatures w14:val="none"/>
              </w:rPr>
            </w:pPr>
            <w:hyperlink r:id="rId24" w:history="1">
              <w:r w:rsidRPr="008340F1">
                <w:rPr>
                  <w:rStyle w:val="Hyperlink"/>
                  <w:rFonts w:ascii="Arial" w:hAnsi="Arial" w:cs="Arial"/>
                  <w:color w:val="auto"/>
                  <w:sz w:val="12"/>
                  <w:szCs w:val="12"/>
                </w:rPr>
                <w:t>10.1177/21501327211041846</w:t>
              </w:r>
            </w:hyperlink>
          </w:p>
        </w:tc>
        <w:tc>
          <w:tcPr>
            <w:tcW w:w="708" w:type="dxa"/>
            <w:hideMark/>
          </w:tcPr>
          <w:p w14:paraId="1A53A9D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QI survey</w:t>
            </w:r>
          </w:p>
        </w:tc>
        <w:tc>
          <w:tcPr>
            <w:tcW w:w="709" w:type="dxa"/>
            <w:hideMark/>
          </w:tcPr>
          <w:p w14:paraId="16A702F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20293BC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Patient experience of GP care</w:t>
            </w:r>
          </w:p>
        </w:tc>
        <w:tc>
          <w:tcPr>
            <w:tcW w:w="1134" w:type="dxa"/>
            <w:hideMark/>
          </w:tcPr>
          <w:p w14:paraId="68E74C2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QI survey of GP experiences and access barriers</w:t>
            </w:r>
          </w:p>
        </w:tc>
        <w:tc>
          <w:tcPr>
            <w:tcW w:w="993" w:type="dxa"/>
            <w:hideMark/>
          </w:tcPr>
          <w:p w14:paraId="0C60A47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as first contact; often reactive care</w:t>
            </w:r>
          </w:p>
        </w:tc>
        <w:tc>
          <w:tcPr>
            <w:tcW w:w="1275" w:type="dxa"/>
            <w:hideMark/>
          </w:tcPr>
          <w:p w14:paraId="7291790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3" w:type="dxa"/>
            <w:hideMark/>
          </w:tcPr>
          <w:p w14:paraId="51DE37D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Self-management due to limited support</w:t>
            </w:r>
          </w:p>
        </w:tc>
        <w:tc>
          <w:tcPr>
            <w:tcW w:w="850" w:type="dxa"/>
            <w:hideMark/>
          </w:tcPr>
          <w:p w14:paraId="551256E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practices</w:t>
            </w:r>
          </w:p>
        </w:tc>
        <w:tc>
          <w:tcPr>
            <w:tcW w:w="851" w:type="dxa"/>
            <w:hideMark/>
          </w:tcPr>
          <w:p w14:paraId="3B9DB80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n=41</w:t>
            </w:r>
          </w:p>
        </w:tc>
        <w:tc>
          <w:tcPr>
            <w:tcW w:w="992" w:type="dxa"/>
            <w:hideMark/>
          </w:tcPr>
          <w:p w14:paraId="2CAA075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19-82; 66% female; 56% White; 22% Asian; 15% Black</w:t>
            </w:r>
          </w:p>
        </w:tc>
        <w:tc>
          <w:tcPr>
            <w:tcW w:w="1134" w:type="dxa"/>
            <w:hideMark/>
          </w:tcPr>
          <w:p w14:paraId="11E9495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Poor access; lack of follow-up; isolation</w:t>
            </w:r>
          </w:p>
        </w:tc>
        <w:tc>
          <w:tcPr>
            <w:tcW w:w="992" w:type="dxa"/>
            <w:hideMark/>
          </w:tcPr>
          <w:p w14:paraId="3DAE435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exclusion and access inequality</w:t>
            </w:r>
          </w:p>
        </w:tc>
        <w:tc>
          <w:tcPr>
            <w:tcW w:w="992" w:type="dxa"/>
            <w:hideMark/>
          </w:tcPr>
          <w:p w14:paraId="6159A902"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Poor GP access; lack of continuity</w:t>
            </w:r>
          </w:p>
        </w:tc>
        <w:tc>
          <w:tcPr>
            <w:tcW w:w="1003" w:type="dxa"/>
            <w:hideMark/>
          </w:tcPr>
          <w:p w14:paraId="47B5941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Desire for proactive GP care</w:t>
            </w:r>
          </w:p>
        </w:tc>
      </w:tr>
      <w:tr w:rsidR="00223353" w:rsidRPr="008340F1" w14:paraId="5FD10221" w14:textId="77777777" w:rsidTr="000E2A34">
        <w:trPr>
          <w:trHeight w:val="840"/>
        </w:trPr>
        <w:tc>
          <w:tcPr>
            <w:tcW w:w="846" w:type="dxa"/>
            <w:hideMark/>
          </w:tcPr>
          <w:p w14:paraId="3CF35642"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Skilbeck et al. (2023)</w:t>
            </w:r>
          </w:p>
        </w:tc>
        <w:tc>
          <w:tcPr>
            <w:tcW w:w="1276" w:type="dxa"/>
            <w:hideMark/>
          </w:tcPr>
          <w:p w14:paraId="5E40F48C" w14:textId="77777777" w:rsidR="00223353" w:rsidRPr="008340F1" w:rsidRDefault="00223353" w:rsidP="00223353">
            <w:pPr>
              <w:rPr>
                <w:rFonts w:ascii="Arial" w:eastAsia="Times New Roman" w:hAnsi="Arial" w:cs="Arial"/>
                <w:kern w:val="0"/>
                <w:sz w:val="12"/>
                <w:szCs w:val="12"/>
                <w:lang w:eastAsia="en-GB"/>
                <w14:ligatures w14:val="none"/>
              </w:rPr>
            </w:pPr>
            <w:hyperlink r:id="rId25" w:history="1">
              <w:r w:rsidRPr="008340F1">
                <w:rPr>
                  <w:rStyle w:val="Hyperlink"/>
                  <w:rFonts w:ascii="Arial" w:hAnsi="Arial" w:cs="Arial"/>
                  <w:color w:val="auto"/>
                  <w:sz w:val="12"/>
                  <w:szCs w:val="12"/>
                </w:rPr>
                <w:t>10.1186/s41687-023-00570-2</w:t>
              </w:r>
            </w:hyperlink>
          </w:p>
        </w:tc>
        <w:tc>
          <w:tcPr>
            <w:tcW w:w="708" w:type="dxa"/>
            <w:hideMark/>
          </w:tcPr>
          <w:p w14:paraId="7CF27F2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Qualitative</w:t>
            </w:r>
          </w:p>
        </w:tc>
        <w:tc>
          <w:tcPr>
            <w:tcW w:w="709" w:type="dxa"/>
            <w:hideMark/>
          </w:tcPr>
          <w:p w14:paraId="7E04719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0B860B0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Integrated psychological service model</w:t>
            </w:r>
          </w:p>
        </w:tc>
        <w:tc>
          <w:tcPr>
            <w:tcW w:w="1134" w:type="dxa"/>
            <w:hideMark/>
          </w:tcPr>
          <w:p w14:paraId="3061609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Experience of NHS primary care psychology support</w:t>
            </w:r>
          </w:p>
        </w:tc>
        <w:tc>
          <w:tcPr>
            <w:tcW w:w="993" w:type="dxa"/>
            <w:hideMark/>
          </w:tcPr>
          <w:p w14:paraId="22C4177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referral into psychology service</w:t>
            </w:r>
          </w:p>
        </w:tc>
        <w:tc>
          <w:tcPr>
            <w:tcW w:w="1275" w:type="dxa"/>
            <w:hideMark/>
          </w:tcPr>
          <w:p w14:paraId="57C40A9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CBT; coping strategies; symptom tracking</w:t>
            </w:r>
          </w:p>
        </w:tc>
        <w:tc>
          <w:tcPr>
            <w:tcW w:w="993" w:type="dxa"/>
            <w:hideMark/>
          </w:tcPr>
          <w:p w14:paraId="16D61F3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High self-management reliance</w:t>
            </w:r>
          </w:p>
        </w:tc>
        <w:tc>
          <w:tcPr>
            <w:tcW w:w="850" w:type="dxa"/>
            <w:hideMark/>
          </w:tcPr>
          <w:p w14:paraId="2F783FD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mental health service</w:t>
            </w:r>
          </w:p>
        </w:tc>
        <w:tc>
          <w:tcPr>
            <w:tcW w:w="851" w:type="dxa"/>
            <w:hideMark/>
          </w:tcPr>
          <w:p w14:paraId="33362A8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n=18</w:t>
            </w:r>
          </w:p>
        </w:tc>
        <w:tc>
          <w:tcPr>
            <w:tcW w:w="992" w:type="dxa"/>
            <w:hideMark/>
          </w:tcPr>
          <w:p w14:paraId="4009FD1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72% female; 67% White; 17% Asian; 11% Black</w:t>
            </w:r>
          </w:p>
        </w:tc>
        <w:tc>
          <w:tcPr>
            <w:tcW w:w="1134" w:type="dxa"/>
            <w:hideMark/>
          </w:tcPr>
          <w:p w14:paraId="5A4048B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Identity disruption; uncertainty; gradual adaptation</w:t>
            </w:r>
          </w:p>
        </w:tc>
        <w:tc>
          <w:tcPr>
            <w:tcW w:w="992" w:type="dxa"/>
            <w:hideMark/>
          </w:tcPr>
          <w:p w14:paraId="6F32154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6F682B1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Feeling dismissed; uncertainty</w:t>
            </w:r>
          </w:p>
        </w:tc>
        <w:tc>
          <w:tcPr>
            <w:tcW w:w="1003" w:type="dxa"/>
            <w:hideMark/>
          </w:tcPr>
          <w:p w14:paraId="0A4A4F4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Psychological support; acceptance strategies</w:t>
            </w:r>
          </w:p>
        </w:tc>
      </w:tr>
      <w:tr w:rsidR="00223353" w:rsidRPr="008340F1" w14:paraId="778B4E73" w14:textId="77777777" w:rsidTr="000E2A34">
        <w:trPr>
          <w:trHeight w:val="840"/>
        </w:trPr>
        <w:tc>
          <w:tcPr>
            <w:tcW w:w="846" w:type="dxa"/>
            <w:hideMark/>
          </w:tcPr>
          <w:p w14:paraId="704B9EED"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Smith et al. (2023)</w:t>
            </w:r>
          </w:p>
        </w:tc>
        <w:tc>
          <w:tcPr>
            <w:tcW w:w="1276" w:type="dxa"/>
            <w:hideMark/>
          </w:tcPr>
          <w:p w14:paraId="201CDC5E" w14:textId="77777777" w:rsidR="00223353" w:rsidRPr="008340F1" w:rsidRDefault="00223353" w:rsidP="00223353">
            <w:pPr>
              <w:rPr>
                <w:rFonts w:ascii="Arial" w:eastAsia="Times New Roman" w:hAnsi="Arial" w:cs="Arial"/>
                <w:kern w:val="0"/>
                <w:sz w:val="12"/>
                <w:szCs w:val="12"/>
                <w:lang w:eastAsia="en-GB"/>
                <w14:ligatures w14:val="none"/>
              </w:rPr>
            </w:pPr>
            <w:hyperlink r:id="rId26" w:history="1">
              <w:r w:rsidRPr="008340F1">
                <w:rPr>
                  <w:rStyle w:val="Hyperlink"/>
                  <w:rFonts w:ascii="Arial" w:hAnsi="Arial" w:cs="Arial"/>
                  <w:color w:val="auto"/>
                  <w:sz w:val="12"/>
                  <w:szCs w:val="12"/>
                </w:rPr>
                <w:t>10.3389/fmed.2023.1149922</w:t>
              </w:r>
            </w:hyperlink>
          </w:p>
        </w:tc>
        <w:tc>
          <w:tcPr>
            <w:tcW w:w="708" w:type="dxa"/>
            <w:hideMark/>
          </w:tcPr>
          <w:p w14:paraId="0E3EB5C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Quantitative</w:t>
            </w:r>
          </w:p>
        </w:tc>
        <w:tc>
          <w:tcPr>
            <w:tcW w:w="709" w:type="dxa"/>
            <w:hideMark/>
          </w:tcPr>
          <w:p w14:paraId="16D04C8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50151B4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(blended rehab)</w:t>
            </w:r>
          </w:p>
        </w:tc>
        <w:tc>
          <w:tcPr>
            <w:tcW w:w="1134" w:type="dxa"/>
            <w:hideMark/>
          </w:tcPr>
          <w:p w14:paraId="54C4682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12-week digital + community rehabilitation programme</w:t>
            </w:r>
          </w:p>
        </w:tc>
        <w:tc>
          <w:tcPr>
            <w:tcW w:w="993" w:type="dxa"/>
            <w:hideMark/>
          </w:tcPr>
          <w:p w14:paraId="0DDBA51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Indirect GP referral/self-referral pathways</w:t>
            </w:r>
          </w:p>
        </w:tc>
        <w:tc>
          <w:tcPr>
            <w:tcW w:w="1275" w:type="dxa"/>
            <w:hideMark/>
          </w:tcPr>
          <w:p w14:paraId="3E581FF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Exercise prescription; coaching; digital platform</w:t>
            </w:r>
          </w:p>
        </w:tc>
        <w:tc>
          <w:tcPr>
            <w:tcW w:w="993" w:type="dxa"/>
            <w:hideMark/>
          </w:tcPr>
          <w:p w14:paraId="55CE452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Structured exercise adherence; monitoring</w:t>
            </w:r>
          </w:p>
        </w:tc>
        <w:tc>
          <w:tcPr>
            <w:tcW w:w="850" w:type="dxa"/>
            <w:hideMark/>
          </w:tcPr>
          <w:p w14:paraId="6540CD6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 fitness + digital platform</w:t>
            </w:r>
          </w:p>
        </w:tc>
        <w:tc>
          <w:tcPr>
            <w:tcW w:w="851" w:type="dxa"/>
            <w:hideMark/>
          </w:tcPr>
          <w:p w14:paraId="0213C9A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n=601</w:t>
            </w:r>
          </w:p>
        </w:tc>
        <w:tc>
          <w:tcPr>
            <w:tcW w:w="992" w:type="dxa"/>
            <w:hideMark/>
          </w:tcPr>
          <w:p w14:paraId="4C2B9CC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47; 77% female; 89% White British</w:t>
            </w:r>
          </w:p>
        </w:tc>
        <w:tc>
          <w:tcPr>
            <w:tcW w:w="1134" w:type="dxa"/>
            <w:hideMark/>
          </w:tcPr>
          <w:p w14:paraId="40295B7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HRQoL, function, reduced healthcare use</w:t>
            </w:r>
          </w:p>
        </w:tc>
        <w:tc>
          <w:tcPr>
            <w:tcW w:w="992" w:type="dxa"/>
            <w:hideMark/>
          </w:tcPr>
          <w:p w14:paraId="0DA72D1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617A8A8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literacy barriers; access inequity</w:t>
            </w:r>
          </w:p>
        </w:tc>
        <w:tc>
          <w:tcPr>
            <w:tcW w:w="1003" w:type="dxa"/>
            <w:hideMark/>
          </w:tcPr>
          <w:p w14:paraId="352214F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Blended delivery; coaching support</w:t>
            </w:r>
          </w:p>
        </w:tc>
      </w:tr>
      <w:tr w:rsidR="00223353" w:rsidRPr="008340F1" w14:paraId="76A2B8A4" w14:textId="77777777" w:rsidTr="000E2A34">
        <w:trPr>
          <w:trHeight w:val="840"/>
        </w:trPr>
        <w:tc>
          <w:tcPr>
            <w:tcW w:w="846" w:type="dxa"/>
            <w:hideMark/>
          </w:tcPr>
          <w:p w14:paraId="364D823F"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Sunkersing et al. (2024)</w:t>
            </w:r>
          </w:p>
        </w:tc>
        <w:tc>
          <w:tcPr>
            <w:tcW w:w="1276" w:type="dxa"/>
            <w:hideMark/>
          </w:tcPr>
          <w:p w14:paraId="568A7716" w14:textId="77777777" w:rsidR="00223353" w:rsidRPr="008340F1" w:rsidRDefault="00223353" w:rsidP="00223353">
            <w:pPr>
              <w:rPr>
                <w:rFonts w:ascii="Arial" w:eastAsia="Times New Roman" w:hAnsi="Arial" w:cs="Arial"/>
                <w:kern w:val="0"/>
                <w:sz w:val="12"/>
                <w:szCs w:val="12"/>
                <w:lang w:eastAsia="en-GB"/>
                <w14:ligatures w14:val="none"/>
              </w:rPr>
            </w:pPr>
            <w:hyperlink r:id="rId27" w:history="1">
              <w:r w:rsidRPr="008340F1">
                <w:rPr>
                  <w:rStyle w:val="Hyperlink"/>
                  <w:rFonts w:ascii="Arial" w:hAnsi="Arial" w:cs="Arial"/>
                  <w:color w:val="auto"/>
                  <w:sz w:val="12"/>
                  <w:szCs w:val="12"/>
                </w:rPr>
                <w:t>10.1136/bmjopen-2023-080967</w:t>
              </w:r>
            </w:hyperlink>
          </w:p>
        </w:tc>
        <w:tc>
          <w:tcPr>
            <w:tcW w:w="708" w:type="dxa"/>
            <w:hideMark/>
          </w:tcPr>
          <w:p w14:paraId="19077CC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Qualitative</w:t>
            </w:r>
          </w:p>
        </w:tc>
        <w:tc>
          <w:tcPr>
            <w:tcW w:w="709" w:type="dxa"/>
            <w:hideMark/>
          </w:tcPr>
          <w:p w14:paraId="4F4ACCD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03A01E5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experience</w:t>
            </w:r>
          </w:p>
        </w:tc>
        <w:tc>
          <w:tcPr>
            <w:tcW w:w="1134" w:type="dxa"/>
            <w:hideMark/>
          </w:tcPr>
          <w:p w14:paraId="30B8636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Experiences of LC clinic care and GP access</w:t>
            </w:r>
          </w:p>
        </w:tc>
        <w:tc>
          <w:tcPr>
            <w:tcW w:w="993" w:type="dxa"/>
            <w:hideMark/>
          </w:tcPr>
          <w:p w14:paraId="2CC9DC3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referral into LC clinics; variable access</w:t>
            </w:r>
          </w:p>
        </w:tc>
        <w:tc>
          <w:tcPr>
            <w:tcW w:w="1275" w:type="dxa"/>
            <w:hideMark/>
          </w:tcPr>
          <w:p w14:paraId="5712824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Peer support; education; coping strategies</w:t>
            </w:r>
          </w:p>
        </w:tc>
        <w:tc>
          <w:tcPr>
            <w:tcW w:w="993" w:type="dxa"/>
            <w:hideMark/>
          </w:tcPr>
          <w:p w14:paraId="7C1D86A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Engagement with peer groups and coping tools</w:t>
            </w:r>
          </w:p>
        </w:tc>
        <w:tc>
          <w:tcPr>
            <w:tcW w:w="850" w:type="dxa"/>
            <w:hideMark/>
          </w:tcPr>
          <w:p w14:paraId="13C3CE3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Primary care + LC clinics</w:t>
            </w:r>
          </w:p>
        </w:tc>
        <w:tc>
          <w:tcPr>
            <w:tcW w:w="851" w:type="dxa"/>
            <w:hideMark/>
          </w:tcPr>
          <w:p w14:paraId="59CA350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n=36 (21 PwLC; 15 HCPs)</w:t>
            </w:r>
          </w:p>
        </w:tc>
        <w:tc>
          <w:tcPr>
            <w:tcW w:w="992" w:type="dxa"/>
            <w:hideMark/>
          </w:tcPr>
          <w:p w14:paraId="3D61E1E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PwLC: 86% female; 57% aged 38-47; 57% White British; 14% Asian</w:t>
            </w:r>
          </w:p>
        </w:tc>
        <w:tc>
          <w:tcPr>
            <w:tcW w:w="1134" w:type="dxa"/>
            <w:hideMark/>
          </w:tcPr>
          <w:p w14:paraId="6F234A6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LC clinics valued but access inconsistent</w:t>
            </w:r>
          </w:p>
        </w:tc>
        <w:tc>
          <w:tcPr>
            <w:tcW w:w="992" w:type="dxa"/>
            <w:hideMark/>
          </w:tcPr>
          <w:p w14:paraId="37E95CAE"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Ethnic diversity present but unequal access persists</w:t>
            </w:r>
          </w:p>
        </w:tc>
        <w:tc>
          <w:tcPr>
            <w:tcW w:w="992" w:type="dxa"/>
            <w:hideMark/>
          </w:tcPr>
          <w:p w14:paraId="0E95595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waits; staffing shortages; GP dismissal</w:t>
            </w:r>
          </w:p>
        </w:tc>
        <w:tc>
          <w:tcPr>
            <w:tcW w:w="1003" w:type="dxa"/>
            <w:hideMark/>
          </w:tcPr>
          <w:p w14:paraId="129198E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MDT clinics; peer support</w:t>
            </w:r>
          </w:p>
        </w:tc>
      </w:tr>
      <w:tr w:rsidR="00223353" w:rsidRPr="008340F1" w14:paraId="23A51BF0" w14:textId="77777777" w:rsidTr="000E2A34">
        <w:trPr>
          <w:trHeight w:val="1400"/>
        </w:trPr>
        <w:tc>
          <w:tcPr>
            <w:tcW w:w="846" w:type="dxa"/>
            <w:hideMark/>
          </w:tcPr>
          <w:p w14:paraId="5B9261AA"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Vanova et al. (2024)</w:t>
            </w:r>
          </w:p>
        </w:tc>
        <w:tc>
          <w:tcPr>
            <w:tcW w:w="1276" w:type="dxa"/>
            <w:hideMark/>
          </w:tcPr>
          <w:p w14:paraId="19B99ACA" w14:textId="77777777" w:rsidR="00223353" w:rsidRPr="008340F1" w:rsidRDefault="00223353" w:rsidP="00223353">
            <w:pPr>
              <w:rPr>
                <w:rFonts w:ascii="Arial" w:eastAsia="Times New Roman" w:hAnsi="Arial" w:cs="Arial"/>
                <w:kern w:val="0"/>
                <w:sz w:val="12"/>
                <w:szCs w:val="12"/>
                <w:lang w:eastAsia="en-GB"/>
                <w14:ligatures w14:val="none"/>
              </w:rPr>
            </w:pPr>
            <w:hyperlink r:id="rId28" w:history="1">
              <w:r w:rsidRPr="008340F1">
                <w:rPr>
                  <w:rStyle w:val="Hyperlink"/>
                  <w:rFonts w:ascii="Arial" w:hAnsi="Arial" w:cs="Arial"/>
                  <w:color w:val="auto"/>
                  <w:sz w:val="12"/>
                  <w:szCs w:val="12"/>
                </w:rPr>
                <w:t>10.1186/s13063-024-08554-3</w:t>
              </w:r>
            </w:hyperlink>
          </w:p>
        </w:tc>
        <w:tc>
          <w:tcPr>
            <w:tcW w:w="708" w:type="dxa"/>
            <w:hideMark/>
          </w:tcPr>
          <w:p w14:paraId="0073FDA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RCT protocol</w:t>
            </w:r>
          </w:p>
        </w:tc>
        <w:tc>
          <w:tcPr>
            <w:tcW w:w="709" w:type="dxa"/>
            <w:hideMark/>
          </w:tcPr>
          <w:p w14:paraId="7CD74B2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6A6A322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Intervention (cognitive rehabilitation)</w:t>
            </w:r>
          </w:p>
        </w:tc>
        <w:tc>
          <w:tcPr>
            <w:tcW w:w="1134" w:type="dxa"/>
            <w:hideMark/>
          </w:tcPr>
          <w:p w14:paraId="0713605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Telehealth cognitive rehab (10 sessions)</w:t>
            </w:r>
          </w:p>
        </w:tc>
        <w:tc>
          <w:tcPr>
            <w:tcW w:w="993" w:type="dxa"/>
            <w:hideMark/>
          </w:tcPr>
          <w:p w14:paraId="0D63660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GP/community referral into memory clinic pathway</w:t>
            </w:r>
          </w:p>
        </w:tc>
        <w:tc>
          <w:tcPr>
            <w:tcW w:w="1275" w:type="dxa"/>
            <w:hideMark/>
          </w:tcPr>
          <w:p w14:paraId="394D3F5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Cognitive strategies; goal-setting; pacing</w:t>
            </w:r>
          </w:p>
        </w:tc>
        <w:tc>
          <w:tcPr>
            <w:tcW w:w="993" w:type="dxa"/>
            <w:hideMark/>
          </w:tcPr>
          <w:p w14:paraId="63845DB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Home-based cognitive exercises</w:t>
            </w:r>
          </w:p>
        </w:tc>
        <w:tc>
          <w:tcPr>
            <w:tcW w:w="850" w:type="dxa"/>
            <w:hideMark/>
          </w:tcPr>
          <w:p w14:paraId="680C6FF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NHS memory clinics</w:t>
            </w:r>
          </w:p>
        </w:tc>
        <w:tc>
          <w:tcPr>
            <w:tcW w:w="851" w:type="dxa"/>
            <w:hideMark/>
          </w:tcPr>
          <w:p w14:paraId="4030A7A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n≈120 (planned)</w:t>
            </w:r>
          </w:p>
        </w:tc>
        <w:tc>
          <w:tcPr>
            <w:tcW w:w="992" w:type="dxa"/>
            <w:hideMark/>
          </w:tcPr>
          <w:p w14:paraId="259BB53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working-age; cognitive impairment (planned)</w:t>
            </w:r>
          </w:p>
        </w:tc>
        <w:tc>
          <w:tcPr>
            <w:tcW w:w="1134" w:type="dxa"/>
            <w:hideMark/>
          </w:tcPr>
          <w:p w14:paraId="6183BDC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161410A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1ACF813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digital exclusion; fatigue burden</w:t>
            </w:r>
          </w:p>
        </w:tc>
        <w:tc>
          <w:tcPr>
            <w:tcW w:w="1003" w:type="dxa"/>
            <w:hideMark/>
          </w:tcPr>
          <w:p w14:paraId="259D6E8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Anticipated: remote flexible delivery</w:t>
            </w:r>
          </w:p>
        </w:tc>
      </w:tr>
      <w:tr w:rsidR="00223353" w:rsidRPr="008340F1" w14:paraId="3B05F2CB" w14:textId="77777777" w:rsidTr="000E2A34">
        <w:trPr>
          <w:trHeight w:val="840"/>
        </w:trPr>
        <w:tc>
          <w:tcPr>
            <w:tcW w:w="846" w:type="dxa"/>
            <w:hideMark/>
          </w:tcPr>
          <w:p w14:paraId="102D8E32"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Walker et al. (2023)</w:t>
            </w:r>
          </w:p>
        </w:tc>
        <w:tc>
          <w:tcPr>
            <w:tcW w:w="1276" w:type="dxa"/>
            <w:hideMark/>
          </w:tcPr>
          <w:p w14:paraId="3EB4DCFF" w14:textId="77777777" w:rsidR="00223353" w:rsidRPr="008340F1" w:rsidRDefault="00223353" w:rsidP="00223353">
            <w:pPr>
              <w:rPr>
                <w:rFonts w:ascii="Arial" w:eastAsia="Times New Roman" w:hAnsi="Arial" w:cs="Arial"/>
                <w:kern w:val="0"/>
                <w:sz w:val="12"/>
                <w:szCs w:val="12"/>
                <w:lang w:eastAsia="en-GB"/>
                <w14:ligatures w14:val="none"/>
              </w:rPr>
            </w:pPr>
            <w:hyperlink r:id="rId29" w:history="1">
              <w:r w:rsidRPr="008340F1">
                <w:rPr>
                  <w:rStyle w:val="Hyperlink"/>
                  <w:rFonts w:ascii="Arial" w:hAnsi="Arial" w:cs="Arial"/>
                  <w:color w:val="auto"/>
                  <w:sz w:val="12"/>
                  <w:szCs w:val="12"/>
                </w:rPr>
                <w:t>10.1136/bmjopen-2022-069217</w:t>
              </w:r>
            </w:hyperlink>
          </w:p>
        </w:tc>
        <w:tc>
          <w:tcPr>
            <w:tcW w:w="708" w:type="dxa"/>
            <w:hideMark/>
          </w:tcPr>
          <w:p w14:paraId="3B8EEB6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Observational</w:t>
            </w:r>
          </w:p>
        </w:tc>
        <w:tc>
          <w:tcPr>
            <w:tcW w:w="709" w:type="dxa"/>
            <w:hideMark/>
          </w:tcPr>
          <w:p w14:paraId="74E9437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33CE8B9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Clinical outcomes study</w:t>
            </w:r>
          </w:p>
        </w:tc>
        <w:tc>
          <w:tcPr>
            <w:tcW w:w="1134" w:type="dxa"/>
            <w:hideMark/>
          </w:tcPr>
          <w:p w14:paraId="15CE0BD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Observational study of LC clinic patients</w:t>
            </w:r>
          </w:p>
        </w:tc>
        <w:tc>
          <w:tcPr>
            <w:tcW w:w="993" w:type="dxa"/>
            <w:hideMark/>
          </w:tcPr>
          <w:p w14:paraId="1CA8940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referral into LC clinics</w:t>
            </w:r>
          </w:p>
        </w:tc>
        <w:tc>
          <w:tcPr>
            <w:tcW w:w="1275" w:type="dxa"/>
            <w:hideMark/>
          </w:tcPr>
          <w:p w14:paraId="0A441D2D"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Symptom monitoring via PROMs</w:t>
            </w:r>
          </w:p>
        </w:tc>
        <w:tc>
          <w:tcPr>
            <w:tcW w:w="993" w:type="dxa"/>
            <w:hideMark/>
          </w:tcPr>
          <w:p w14:paraId="721FFD2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Engagement with digital symptom reporting</w:t>
            </w:r>
          </w:p>
        </w:tc>
        <w:tc>
          <w:tcPr>
            <w:tcW w:w="850" w:type="dxa"/>
            <w:hideMark/>
          </w:tcPr>
          <w:p w14:paraId="503F5E5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LC clinics</w:t>
            </w:r>
          </w:p>
        </w:tc>
        <w:tc>
          <w:tcPr>
            <w:tcW w:w="851" w:type="dxa"/>
            <w:hideMark/>
          </w:tcPr>
          <w:p w14:paraId="2A12163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n=3754</w:t>
            </w:r>
          </w:p>
        </w:tc>
        <w:tc>
          <w:tcPr>
            <w:tcW w:w="992" w:type="dxa"/>
            <w:hideMark/>
          </w:tcPr>
          <w:p w14:paraId="12EB8FE1"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48; 71% female; 87% White</w:t>
            </w:r>
          </w:p>
        </w:tc>
        <w:tc>
          <w:tcPr>
            <w:tcW w:w="1134" w:type="dxa"/>
            <w:hideMark/>
          </w:tcPr>
          <w:p w14:paraId="71FB784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Fatigue strongest predictor of impairment</w:t>
            </w:r>
          </w:p>
        </w:tc>
        <w:tc>
          <w:tcPr>
            <w:tcW w:w="992" w:type="dxa"/>
            <w:hideMark/>
          </w:tcPr>
          <w:p w14:paraId="574288A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2E811329"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Digital selection bias</w:t>
            </w:r>
          </w:p>
        </w:tc>
        <w:tc>
          <w:tcPr>
            <w:tcW w:w="1003" w:type="dxa"/>
            <w:hideMark/>
          </w:tcPr>
          <w:p w14:paraId="28C8D0FB"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PROM-based monitoring system</w:t>
            </w:r>
          </w:p>
        </w:tc>
      </w:tr>
      <w:tr w:rsidR="00223353" w:rsidRPr="008340F1" w14:paraId="3EC549E6" w14:textId="77777777" w:rsidTr="000E2A34">
        <w:trPr>
          <w:trHeight w:val="840"/>
        </w:trPr>
        <w:tc>
          <w:tcPr>
            <w:tcW w:w="846" w:type="dxa"/>
            <w:hideMark/>
          </w:tcPr>
          <w:p w14:paraId="6E4025C4" w14:textId="77777777" w:rsidR="00223353" w:rsidRPr="008340F1" w:rsidRDefault="00223353" w:rsidP="00223353">
            <w:pPr>
              <w:rPr>
                <w:rFonts w:ascii="Arial" w:eastAsia="Times New Roman" w:hAnsi="Arial" w:cs="Arial"/>
                <w:b/>
                <w:bCs/>
                <w:color w:val="000000"/>
                <w:kern w:val="0"/>
                <w:sz w:val="12"/>
                <w:szCs w:val="12"/>
                <w:lang w:eastAsia="en-GB"/>
                <w14:ligatures w14:val="none"/>
              </w:rPr>
            </w:pPr>
            <w:r w:rsidRPr="008340F1">
              <w:rPr>
                <w:rFonts w:ascii="Arial" w:eastAsia="Times New Roman" w:hAnsi="Arial" w:cs="Arial"/>
                <w:b/>
                <w:bCs/>
                <w:color w:val="000000"/>
                <w:kern w:val="0"/>
                <w:sz w:val="12"/>
                <w:szCs w:val="12"/>
                <w:lang w:eastAsia="en-GB"/>
                <w14:ligatures w14:val="none"/>
              </w:rPr>
              <w:t>Williams et al. (2024)</w:t>
            </w:r>
          </w:p>
        </w:tc>
        <w:tc>
          <w:tcPr>
            <w:tcW w:w="1276" w:type="dxa"/>
            <w:hideMark/>
          </w:tcPr>
          <w:p w14:paraId="2DF5D01B" w14:textId="77777777" w:rsidR="00223353" w:rsidRPr="008340F1" w:rsidRDefault="00223353" w:rsidP="00223353">
            <w:pPr>
              <w:rPr>
                <w:rFonts w:ascii="Arial" w:eastAsia="Times New Roman" w:hAnsi="Arial" w:cs="Arial"/>
                <w:kern w:val="0"/>
                <w:sz w:val="12"/>
                <w:szCs w:val="12"/>
                <w:lang w:eastAsia="en-GB"/>
                <w14:ligatures w14:val="none"/>
              </w:rPr>
            </w:pPr>
            <w:r w:rsidRPr="008340F1">
              <w:rPr>
                <w:rFonts w:ascii="Arial" w:hAnsi="Arial" w:cs="Arial"/>
                <w:sz w:val="12"/>
                <w:szCs w:val="12"/>
              </w:rPr>
              <w:t>10.1101/2024.10.25.24316101</w:t>
            </w:r>
          </w:p>
        </w:tc>
        <w:tc>
          <w:tcPr>
            <w:tcW w:w="708" w:type="dxa"/>
            <w:hideMark/>
          </w:tcPr>
          <w:p w14:paraId="4A3D780C"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Mixed-methods</w:t>
            </w:r>
          </w:p>
        </w:tc>
        <w:tc>
          <w:tcPr>
            <w:tcW w:w="709" w:type="dxa"/>
            <w:hideMark/>
          </w:tcPr>
          <w:p w14:paraId="33332ED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Long COVID (post–COVID-19)</w:t>
            </w:r>
          </w:p>
        </w:tc>
        <w:tc>
          <w:tcPr>
            <w:tcW w:w="992" w:type="dxa"/>
            <w:hideMark/>
          </w:tcPr>
          <w:p w14:paraId="4D98B6B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Service implementation evaluation</w:t>
            </w:r>
          </w:p>
        </w:tc>
        <w:tc>
          <w:tcPr>
            <w:tcW w:w="1134" w:type="dxa"/>
            <w:hideMark/>
          </w:tcPr>
          <w:p w14:paraId="76A63E54"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GP-led MDT community LC service</w:t>
            </w:r>
          </w:p>
        </w:tc>
        <w:tc>
          <w:tcPr>
            <w:tcW w:w="993" w:type="dxa"/>
            <w:hideMark/>
          </w:tcPr>
          <w:p w14:paraId="62B21107"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GP triage and coordination</w:t>
            </w:r>
          </w:p>
        </w:tc>
        <w:tc>
          <w:tcPr>
            <w:tcW w:w="1275" w:type="dxa"/>
            <w:hideMark/>
          </w:tcPr>
          <w:p w14:paraId="644424C3"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Goal-setting; education; symptom monitoring via PROMs</w:t>
            </w:r>
          </w:p>
        </w:tc>
        <w:tc>
          <w:tcPr>
            <w:tcW w:w="993" w:type="dxa"/>
            <w:hideMark/>
          </w:tcPr>
          <w:p w14:paraId="25434A4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Engagement with digital symptom reporting</w:t>
            </w:r>
          </w:p>
        </w:tc>
        <w:tc>
          <w:tcPr>
            <w:tcW w:w="850" w:type="dxa"/>
            <w:hideMark/>
          </w:tcPr>
          <w:p w14:paraId="21851575"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Community LC service</w:t>
            </w:r>
          </w:p>
        </w:tc>
        <w:tc>
          <w:tcPr>
            <w:tcW w:w="851" w:type="dxa"/>
            <w:hideMark/>
          </w:tcPr>
          <w:p w14:paraId="0994DB8F"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n=116 + n=11 interviews</w:t>
            </w:r>
          </w:p>
        </w:tc>
        <w:tc>
          <w:tcPr>
            <w:tcW w:w="992" w:type="dxa"/>
            <w:hideMark/>
          </w:tcPr>
          <w:p w14:paraId="2EB7BD50"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Adults ≥18; mean age 51; 71% female; 77% White British</w:t>
            </w:r>
          </w:p>
        </w:tc>
        <w:tc>
          <w:tcPr>
            <w:tcW w:w="1134" w:type="dxa"/>
            <w:hideMark/>
          </w:tcPr>
          <w:p w14:paraId="59E6810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Improved reassurance; high onward referral needs</w:t>
            </w:r>
          </w:p>
        </w:tc>
        <w:tc>
          <w:tcPr>
            <w:tcW w:w="992" w:type="dxa"/>
            <w:hideMark/>
          </w:tcPr>
          <w:p w14:paraId="7AF0B0A6"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N/A</w:t>
            </w:r>
          </w:p>
        </w:tc>
        <w:tc>
          <w:tcPr>
            <w:tcW w:w="992" w:type="dxa"/>
            <w:hideMark/>
          </w:tcPr>
          <w:p w14:paraId="7EB5B89A"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Funding and capacity constraints</w:t>
            </w:r>
          </w:p>
        </w:tc>
        <w:tc>
          <w:tcPr>
            <w:tcW w:w="1003" w:type="dxa"/>
            <w:hideMark/>
          </w:tcPr>
          <w:p w14:paraId="1C77E628" w14:textId="77777777" w:rsidR="00223353" w:rsidRPr="008340F1" w:rsidRDefault="00223353" w:rsidP="00223353">
            <w:pPr>
              <w:rPr>
                <w:rFonts w:ascii="Arial" w:eastAsia="Times New Roman" w:hAnsi="Arial" w:cs="Arial"/>
                <w:color w:val="000000"/>
                <w:kern w:val="0"/>
                <w:sz w:val="12"/>
                <w:szCs w:val="12"/>
                <w:lang w:eastAsia="en-GB"/>
                <w14:ligatures w14:val="none"/>
              </w:rPr>
            </w:pPr>
            <w:r w:rsidRPr="008340F1">
              <w:rPr>
                <w:rFonts w:ascii="Arial" w:eastAsia="Times New Roman" w:hAnsi="Arial" w:cs="Arial"/>
                <w:color w:val="000000"/>
                <w:kern w:val="0"/>
                <w:sz w:val="12"/>
                <w:szCs w:val="12"/>
                <w:lang w:eastAsia="en-GB"/>
                <w14:ligatures w14:val="none"/>
              </w:rPr>
              <w:t>MDT teamwork; integrated pathways</w:t>
            </w:r>
          </w:p>
        </w:tc>
      </w:tr>
    </w:tbl>
    <w:p w14:paraId="4E0B6846" w14:textId="77777777" w:rsidR="005F77CC" w:rsidRPr="008340F1" w:rsidRDefault="005F77CC">
      <w:pPr>
        <w:rPr>
          <w:rFonts w:ascii="Arial" w:hAnsi="Arial" w:cs="Arial"/>
          <w:b/>
          <w:bCs/>
        </w:rPr>
      </w:pPr>
    </w:p>
    <w:tbl>
      <w:tblPr>
        <w:tblW w:w="5660" w:type="dxa"/>
        <w:tblCellMar>
          <w:left w:w="0" w:type="dxa"/>
          <w:right w:w="0" w:type="dxa"/>
        </w:tblCellMar>
        <w:tblLook w:val="04A0" w:firstRow="1" w:lastRow="0" w:firstColumn="1" w:lastColumn="0" w:noHBand="0" w:noVBand="1"/>
      </w:tblPr>
      <w:tblGrid>
        <w:gridCol w:w="4851"/>
        <w:gridCol w:w="809"/>
      </w:tblGrid>
      <w:tr w:rsidR="008340F1" w:rsidRPr="008340F1" w14:paraId="78A3B207" w14:textId="3AF1A058" w:rsidTr="008D7699">
        <w:trPr>
          <w:trHeight w:val="300"/>
        </w:trPr>
        <w:tc>
          <w:tcPr>
            <w:tcW w:w="0" w:type="auto"/>
            <w:tcBorders>
              <w:top w:val="nil"/>
              <w:left w:val="nil"/>
              <w:bottom w:val="nil"/>
              <w:right w:val="nil"/>
            </w:tcBorders>
            <w:noWrap/>
            <w:tcMar>
              <w:top w:w="15" w:type="dxa"/>
              <w:left w:w="15" w:type="dxa"/>
              <w:bottom w:w="0" w:type="dxa"/>
              <w:right w:w="15" w:type="dxa"/>
            </w:tcMar>
            <w:vAlign w:val="bottom"/>
          </w:tcPr>
          <w:p w14:paraId="16EF6288" w14:textId="77777777" w:rsidR="008340F1" w:rsidRPr="008340F1" w:rsidRDefault="008340F1" w:rsidP="008340F1">
            <w:pPr>
              <w:rPr>
                <w:rFonts w:ascii="Arial" w:eastAsia="Times New Roman" w:hAnsi="Arial" w:cs="Arial"/>
                <w:kern w:val="0"/>
                <w:sz w:val="12"/>
                <w:szCs w:val="12"/>
                <w:lang w:eastAsia="en-GB"/>
                <w14:ligatures w14:val="none"/>
              </w:rPr>
            </w:pPr>
          </w:p>
        </w:tc>
        <w:tc>
          <w:tcPr>
            <w:tcW w:w="0" w:type="auto"/>
            <w:tcBorders>
              <w:top w:val="nil"/>
              <w:left w:val="nil"/>
              <w:bottom w:val="nil"/>
              <w:right w:val="nil"/>
            </w:tcBorders>
            <w:vAlign w:val="bottom"/>
          </w:tcPr>
          <w:p w14:paraId="62A115BA" w14:textId="77777777" w:rsidR="008340F1" w:rsidRPr="008340F1" w:rsidRDefault="008340F1" w:rsidP="008340F1">
            <w:pPr>
              <w:rPr>
                <w:rFonts w:ascii="Arial" w:eastAsia="Times New Roman" w:hAnsi="Arial" w:cs="Arial"/>
                <w:kern w:val="0"/>
                <w:sz w:val="12"/>
                <w:szCs w:val="12"/>
                <w:lang w:eastAsia="en-GB"/>
                <w14:ligatures w14:val="none"/>
              </w:rPr>
            </w:pPr>
          </w:p>
        </w:tc>
      </w:tr>
    </w:tbl>
    <w:p w14:paraId="119078F7" w14:textId="77777777" w:rsidR="005F77CC" w:rsidRPr="008340F1" w:rsidRDefault="005F77CC">
      <w:pPr>
        <w:rPr>
          <w:rFonts w:ascii="Arial" w:hAnsi="Arial" w:cs="Arial"/>
          <w:b/>
          <w:bCs/>
          <w:sz w:val="12"/>
          <w:szCs w:val="12"/>
        </w:rPr>
      </w:pPr>
    </w:p>
    <w:p w14:paraId="5B28D556" w14:textId="77777777" w:rsidR="005F77CC" w:rsidRPr="008340F1" w:rsidRDefault="005F77CC">
      <w:pPr>
        <w:rPr>
          <w:rFonts w:ascii="Arial" w:hAnsi="Arial" w:cs="Arial"/>
          <w:b/>
          <w:bCs/>
          <w:sz w:val="12"/>
          <w:szCs w:val="12"/>
        </w:rPr>
      </w:pPr>
    </w:p>
    <w:p w14:paraId="6854E279" w14:textId="77777777" w:rsidR="005F77CC" w:rsidRPr="008340F1" w:rsidRDefault="005F77CC">
      <w:pPr>
        <w:rPr>
          <w:rFonts w:ascii="Arial" w:hAnsi="Arial" w:cs="Arial"/>
          <w:b/>
          <w:bCs/>
        </w:rPr>
      </w:pPr>
    </w:p>
    <w:p w14:paraId="31DB4621" w14:textId="6A495D9A" w:rsidR="006F3A4E" w:rsidRPr="008340F1" w:rsidRDefault="00134438">
      <w:pPr>
        <w:rPr>
          <w:rFonts w:ascii="Arial" w:hAnsi="Arial" w:cs="Arial"/>
          <w:b/>
          <w:bCs/>
        </w:rPr>
      </w:pPr>
      <w:r w:rsidRPr="008340F1">
        <w:rPr>
          <w:rFonts w:ascii="Arial" w:hAnsi="Arial" w:cs="Arial"/>
          <w:b/>
          <w:bCs/>
          <w:noProof/>
        </w:rPr>
        <w:lastRenderedPageBreak/>
        <w:drawing>
          <wp:anchor distT="0" distB="0" distL="114300" distR="114300" simplePos="0" relativeHeight="251658240" behindDoc="1" locked="0" layoutInCell="1" allowOverlap="1" wp14:anchorId="126E3FD4" wp14:editId="4869D883">
            <wp:simplePos x="0" y="0"/>
            <wp:positionH relativeFrom="margin">
              <wp:align>center</wp:align>
            </wp:positionH>
            <wp:positionV relativeFrom="paragraph">
              <wp:posOffset>457200</wp:posOffset>
            </wp:positionV>
            <wp:extent cx="6426200" cy="3305175"/>
            <wp:effectExtent l="0" t="0" r="0" b="9525"/>
            <wp:wrapTopAndBottom/>
            <wp:docPr id="350845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4575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26200" cy="3305175"/>
                    </a:xfrm>
                    <a:prstGeom prst="rect">
                      <a:avLst/>
                    </a:prstGeom>
                    <a:noFill/>
                  </pic:spPr>
                </pic:pic>
              </a:graphicData>
            </a:graphic>
            <wp14:sizeRelH relativeFrom="page">
              <wp14:pctWidth>0</wp14:pctWidth>
            </wp14:sizeRelH>
            <wp14:sizeRelV relativeFrom="page">
              <wp14:pctHeight>0</wp14:pctHeight>
            </wp14:sizeRelV>
          </wp:anchor>
        </w:drawing>
      </w:r>
      <w:r w:rsidR="006F3A4E" w:rsidRPr="008340F1">
        <w:rPr>
          <w:rFonts w:ascii="Arial" w:hAnsi="Arial" w:cs="Arial"/>
          <w:b/>
          <w:bCs/>
        </w:rPr>
        <w:t xml:space="preserve">Supplementary Figure </w:t>
      </w:r>
      <w:r w:rsidR="000266E9" w:rsidRPr="008340F1">
        <w:rPr>
          <w:rFonts w:ascii="Arial" w:hAnsi="Arial" w:cs="Arial"/>
          <w:b/>
          <w:bCs/>
        </w:rPr>
        <w:t>S</w:t>
      </w:r>
      <w:r w:rsidR="001E0ABF" w:rsidRPr="008340F1">
        <w:rPr>
          <w:rFonts w:ascii="Arial" w:hAnsi="Arial" w:cs="Arial"/>
          <w:b/>
          <w:bCs/>
        </w:rPr>
        <w:t>4</w:t>
      </w:r>
      <w:r w:rsidR="006F3A4E" w:rsidRPr="008340F1">
        <w:rPr>
          <w:rFonts w:ascii="Arial" w:hAnsi="Arial" w:cs="Arial"/>
          <w:b/>
          <w:bCs/>
        </w:rPr>
        <w:t xml:space="preserve">. Annual recorded use of SNOMED CT codes corresponding to post-infection condition (PIC)-related diagnostic terms in English primary care, 2011-2025. </w:t>
      </w:r>
    </w:p>
    <w:p w14:paraId="12074739" w14:textId="1FA3EC9D" w:rsidR="006F3A4E" w:rsidRPr="008340F1" w:rsidRDefault="006F3A4E">
      <w:pPr>
        <w:rPr>
          <w:rFonts w:ascii="Arial" w:hAnsi="Arial" w:cs="Arial"/>
        </w:rPr>
      </w:pPr>
      <w:r w:rsidRPr="008340F1">
        <w:rPr>
          <w:rFonts w:ascii="Arial" w:hAnsi="Arial" w:cs="Arial"/>
        </w:rPr>
        <w:t>Annual counts were derived from NHS England primary care SNOMED</w:t>
      </w:r>
      <w:r w:rsidR="001971FC" w:rsidRPr="008340F1">
        <w:rPr>
          <w:rFonts w:ascii="Arial" w:hAnsi="Arial" w:cs="Arial"/>
        </w:rPr>
        <w:t>-</w:t>
      </w:r>
      <w:r w:rsidRPr="008340F1">
        <w:rPr>
          <w:rFonts w:ascii="Arial" w:hAnsi="Arial" w:cs="Arial"/>
        </w:rPr>
        <w:t>CT code usage data. Codelists were developed from diagnostic terms reported by survey respondents as being used to code PICs and comprised 252 SNOMED</w:t>
      </w:r>
      <w:r w:rsidR="001971FC" w:rsidRPr="008340F1">
        <w:rPr>
          <w:rFonts w:ascii="Arial" w:hAnsi="Arial" w:cs="Arial"/>
        </w:rPr>
        <w:t>-</w:t>
      </w:r>
      <w:r w:rsidRPr="008340F1">
        <w:rPr>
          <w:rFonts w:ascii="Arial" w:hAnsi="Arial" w:cs="Arial"/>
        </w:rPr>
        <w:t>CT concepts across 10 diagnostic categories. Each line represents the total annual recorded use of all codes within a codelist, irrespective of clinical indication; counts are therefore not specific to PICs. Reporting intervals end in July. Counts below five were suppressed by the data source, and all other counts were rounded to the nearest ten. In 2024/25, these codelists accounted for approximately 4.5 million recorded code uses in English primary care. The most frequently recorded categories were fatigue (approximately 1.5 million uses), chronic pain (1.2 million), "tired all the time" (1.1 million), and malaise (483,270). Coding for these symptom-based categories generally increased between 2011 and 2025, with a temporary reduction between 2020 and 2021. In contrast, diagnosis-specific terms were recorded less frequently; myalgic encephalomyelitis/chronic fatigue syndrome was recorded 64,620 times in 2024/25, while post-C</w:t>
      </w:r>
      <w:r w:rsidR="001971FC" w:rsidRPr="008340F1">
        <w:rPr>
          <w:rFonts w:ascii="Arial" w:hAnsi="Arial" w:cs="Arial"/>
        </w:rPr>
        <w:t>ovid</w:t>
      </w:r>
      <w:r w:rsidRPr="008340F1">
        <w:rPr>
          <w:rFonts w:ascii="Arial" w:hAnsi="Arial" w:cs="Arial"/>
        </w:rPr>
        <w:t>-19 syndrome coding peaked at nearly 200,000 uses in 2021/22 before declining to 39,640 in 2024/25.</w:t>
      </w:r>
    </w:p>
    <w:sectPr w:rsidR="006F3A4E" w:rsidRPr="008340F1" w:rsidSect="007B2EE6">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1552"/>
    <w:multiLevelType w:val="multilevel"/>
    <w:tmpl w:val="6454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02A98"/>
    <w:multiLevelType w:val="multilevel"/>
    <w:tmpl w:val="771AA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761655"/>
    <w:multiLevelType w:val="multilevel"/>
    <w:tmpl w:val="FAF4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1134857">
    <w:abstractNumId w:val="2"/>
  </w:num>
  <w:num w:numId="2" w16cid:durableId="1288971313">
    <w:abstractNumId w:val="0"/>
  </w:num>
  <w:num w:numId="3" w16cid:durableId="778643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322"/>
    <w:rsid w:val="0002575C"/>
    <w:rsid w:val="000266E9"/>
    <w:rsid w:val="000E2A34"/>
    <w:rsid w:val="00134438"/>
    <w:rsid w:val="001971FC"/>
    <w:rsid w:val="001E0ABF"/>
    <w:rsid w:val="00223353"/>
    <w:rsid w:val="002B1D2A"/>
    <w:rsid w:val="002D7FB0"/>
    <w:rsid w:val="004B7322"/>
    <w:rsid w:val="00501911"/>
    <w:rsid w:val="005275E2"/>
    <w:rsid w:val="005F77CC"/>
    <w:rsid w:val="00671652"/>
    <w:rsid w:val="006A513C"/>
    <w:rsid w:val="006F3A4E"/>
    <w:rsid w:val="0079273F"/>
    <w:rsid w:val="00793BCC"/>
    <w:rsid w:val="007B2CC0"/>
    <w:rsid w:val="007B2EE6"/>
    <w:rsid w:val="008340F1"/>
    <w:rsid w:val="00847501"/>
    <w:rsid w:val="00872285"/>
    <w:rsid w:val="008B0723"/>
    <w:rsid w:val="008B2F47"/>
    <w:rsid w:val="008E0883"/>
    <w:rsid w:val="009C124E"/>
    <w:rsid w:val="009E1551"/>
    <w:rsid w:val="009E6DAB"/>
    <w:rsid w:val="00A545FA"/>
    <w:rsid w:val="00CF6EF8"/>
    <w:rsid w:val="00D13EB9"/>
    <w:rsid w:val="00D3317B"/>
    <w:rsid w:val="00DD3E1E"/>
    <w:rsid w:val="00DE01DE"/>
    <w:rsid w:val="00EA02EA"/>
    <w:rsid w:val="00FC5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530D6"/>
  <w15:chartTrackingRefBased/>
  <w15:docId w15:val="{2295CC0D-AFC7-45B7-8FE1-BB557F9A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7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3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3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3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3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3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3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3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3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3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322"/>
    <w:rPr>
      <w:rFonts w:eastAsiaTheme="majorEastAsia" w:cstheme="majorBidi"/>
      <w:color w:val="272727" w:themeColor="text1" w:themeTint="D8"/>
    </w:rPr>
  </w:style>
  <w:style w:type="paragraph" w:styleId="Title">
    <w:name w:val="Title"/>
    <w:basedOn w:val="Normal"/>
    <w:next w:val="Normal"/>
    <w:link w:val="TitleChar"/>
    <w:uiPriority w:val="10"/>
    <w:qFormat/>
    <w:rsid w:val="004B73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3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3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322"/>
    <w:pPr>
      <w:spacing w:before="160"/>
      <w:jc w:val="center"/>
    </w:pPr>
    <w:rPr>
      <w:i/>
      <w:iCs/>
      <w:color w:val="404040" w:themeColor="text1" w:themeTint="BF"/>
    </w:rPr>
  </w:style>
  <w:style w:type="character" w:customStyle="1" w:styleId="QuoteChar">
    <w:name w:val="Quote Char"/>
    <w:basedOn w:val="DefaultParagraphFont"/>
    <w:link w:val="Quote"/>
    <w:uiPriority w:val="29"/>
    <w:rsid w:val="004B7322"/>
    <w:rPr>
      <w:i/>
      <w:iCs/>
      <w:color w:val="404040" w:themeColor="text1" w:themeTint="BF"/>
    </w:rPr>
  </w:style>
  <w:style w:type="paragraph" w:styleId="ListParagraph">
    <w:name w:val="List Paragraph"/>
    <w:basedOn w:val="Normal"/>
    <w:uiPriority w:val="34"/>
    <w:qFormat/>
    <w:rsid w:val="004B7322"/>
    <w:pPr>
      <w:ind w:left="720"/>
      <w:contextualSpacing/>
    </w:pPr>
  </w:style>
  <w:style w:type="character" w:styleId="IntenseEmphasis">
    <w:name w:val="Intense Emphasis"/>
    <w:basedOn w:val="DefaultParagraphFont"/>
    <w:uiPriority w:val="21"/>
    <w:qFormat/>
    <w:rsid w:val="004B7322"/>
    <w:rPr>
      <w:i/>
      <w:iCs/>
      <w:color w:val="0F4761" w:themeColor="accent1" w:themeShade="BF"/>
    </w:rPr>
  </w:style>
  <w:style w:type="paragraph" w:styleId="IntenseQuote">
    <w:name w:val="Intense Quote"/>
    <w:basedOn w:val="Normal"/>
    <w:next w:val="Normal"/>
    <w:link w:val="IntenseQuoteChar"/>
    <w:uiPriority w:val="30"/>
    <w:qFormat/>
    <w:rsid w:val="004B7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322"/>
    <w:rPr>
      <w:i/>
      <w:iCs/>
      <w:color w:val="0F4761" w:themeColor="accent1" w:themeShade="BF"/>
    </w:rPr>
  </w:style>
  <w:style w:type="character" w:styleId="IntenseReference">
    <w:name w:val="Intense Reference"/>
    <w:basedOn w:val="DefaultParagraphFont"/>
    <w:uiPriority w:val="32"/>
    <w:qFormat/>
    <w:rsid w:val="004B7322"/>
    <w:rPr>
      <w:b/>
      <w:bCs/>
      <w:smallCaps/>
      <w:color w:val="0F4761" w:themeColor="accent1" w:themeShade="BF"/>
      <w:spacing w:val="5"/>
    </w:rPr>
  </w:style>
  <w:style w:type="paragraph" w:styleId="Revision">
    <w:name w:val="Revision"/>
    <w:hidden/>
    <w:uiPriority w:val="99"/>
    <w:semiHidden/>
    <w:rsid w:val="00A545FA"/>
    <w:pPr>
      <w:spacing w:after="0" w:line="240" w:lineRule="auto"/>
    </w:pPr>
  </w:style>
  <w:style w:type="table" w:styleId="TableGridLight">
    <w:name w:val="Grid Table Light"/>
    <w:basedOn w:val="TableNormal"/>
    <w:uiPriority w:val="40"/>
    <w:rsid w:val="008B072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semiHidden/>
    <w:unhideWhenUsed/>
    <w:rsid w:val="009E6DA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6/bmjopen-2021-056568" TargetMode="External"/><Relationship Id="rId13" Type="http://schemas.openxmlformats.org/officeDocument/2006/relationships/hyperlink" Target="https://doi.org/10.3390/ijerph182413191" TargetMode="External"/><Relationship Id="rId18" Type="http://schemas.openxmlformats.org/officeDocument/2006/relationships/hyperlink" Target="https://doi.org/10.3390/jcm11206214" TargetMode="External"/><Relationship Id="rId26" Type="http://schemas.openxmlformats.org/officeDocument/2006/relationships/hyperlink" Target="https://doi.org/10.3389/fmed.2023.1149922" TargetMode="External"/><Relationship Id="rId3" Type="http://schemas.openxmlformats.org/officeDocument/2006/relationships/settings" Target="settings.xml"/><Relationship Id="rId21" Type="http://schemas.openxmlformats.org/officeDocument/2006/relationships/hyperlink" Target="https://doi.org/10.1111/hex.70336" TargetMode="External"/><Relationship Id="rId7" Type="http://schemas.openxmlformats.org/officeDocument/2006/relationships/hyperlink" Target="https://doi.org/10.3399/BJGPO.2021.0178" TargetMode="External"/><Relationship Id="rId12" Type="http://schemas.openxmlformats.org/officeDocument/2006/relationships/hyperlink" Target="https://doi.org/10.1371/journal.pone.0272472" TargetMode="External"/><Relationship Id="rId17" Type="http://schemas.openxmlformats.org/officeDocument/2006/relationships/hyperlink" Target="https://doi.org/10.1177/21501319211067674" TargetMode="External"/><Relationship Id="rId25" Type="http://schemas.openxmlformats.org/officeDocument/2006/relationships/hyperlink" Target="https://doi.org/10.1186/s41687-023-00570-2" TargetMode="External"/><Relationship Id="rId2" Type="http://schemas.openxmlformats.org/officeDocument/2006/relationships/styles" Target="styles.xml"/><Relationship Id="rId16" Type="http://schemas.openxmlformats.org/officeDocument/2006/relationships/hyperlink" Target="https://doi.org/10.3310/nihropenres.13315.2" TargetMode="External"/><Relationship Id="rId20" Type="http://schemas.openxmlformats.org/officeDocument/2006/relationships/hyperlink" Target="https://doi.org/10.1136/bmjopen-2024-094658" TargetMode="External"/><Relationship Id="rId29" Type="http://schemas.openxmlformats.org/officeDocument/2006/relationships/hyperlink" Target="https://doi.org/10.1136/bmjopen-2022-069217" TargetMode="External"/><Relationship Id="rId1" Type="http://schemas.openxmlformats.org/officeDocument/2006/relationships/numbering" Target="numbering.xml"/><Relationship Id="rId6" Type="http://schemas.openxmlformats.org/officeDocument/2006/relationships/hyperlink" Target="https://journals.plos.org/plosone/article?id=10.1371/journal.pone.0284297" TargetMode="External"/><Relationship Id="rId11" Type="http://schemas.openxmlformats.org/officeDocument/2006/relationships/hyperlink" Target="https://doi.org/10.1186/s12913-024-10891-7" TargetMode="External"/><Relationship Id="rId24" Type="http://schemas.openxmlformats.org/officeDocument/2006/relationships/hyperlink" Target="https://doi.org/10.1177/21501327211041846" TargetMode="External"/><Relationship Id="rId32" Type="http://schemas.openxmlformats.org/officeDocument/2006/relationships/theme" Target="theme/theme1.xml"/><Relationship Id="rId5" Type="http://schemas.openxmlformats.org/officeDocument/2006/relationships/hyperlink" Target="https://www.england.nhs.uk/coronavirus/wp-content/uploads/sites/52/2021/06/C1312-long-covid-plan-june-2021.pdf" TargetMode="External"/><Relationship Id="rId15" Type="http://schemas.openxmlformats.org/officeDocument/2006/relationships/hyperlink" Target="https://doi.org/10.1136/bmj.m3026" TargetMode="External"/><Relationship Id="rId23" Type="http://schemas.openxmlformats.org/officeDocument/2006/relationships/hyperlink" Target="https://doi.org/10.1177/21501327211010994" TargetMode="External"/><Relationship Id="rId28" Type="http://schemas.openxmlformats.org/officeDocument/2006/relationships/hyperlink" Target="https://doi.org/10.1186/s13063-024-08554-3" TargetMode="External"/><Relationship Id="rId10" Type="http://schemas.openxmlformats.org/officeDocument/2006/relationships/hyperlink" Target="https://doi.org/10.1136/bmjopen-2023-082830" TargetMode="External"/><Relationship Id="rId19" Type="http://schemas.openxmlformats.org/officeDocument/2006/relationships/hyperlink" Target="https://doi.org/10.1111/hex.1410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38/s41591-024-03384-x" TargetMode="External"/><Relationship Id="rId14" Type="http://schemas.openxmlformats.org/officeDocument/2006/relationships/hyperlink" Target="https://doi.org/10.1111/1467-9566.13819" TargetMode="External"/><Relationship Id="rId22" Type="http://schemas.openxmlformats.org/officeDocument/2006/relationships/hyperlink" Target="https://doi.org/10.1186/s13063-022-06632-y" TargetMode="External"/><Relationship Id="rId27" Type="http://schemas.openxmlformats.org/officeDocument/2006/relationships/hyperlink" Target="https://doi.org/10.1136/bmjopen-2023-080967" TargetMode="External"/><Relationship Id="rId3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15</Pages>
  <Words>4894</Words>
  <Characters>27897</Characters>
  <Application>Microsoft Office Word</Application>
  <DocSecurity>0</DocSecurity>
  <Lines>232</Lines>
  <Paragraphs>65</Paragraphs>
  <ScaleCrop>false</ScaleCrop>
  <Company/>
  <LinksUpToDate>false</LinksUpToDate>
  <CharactersWithSpaces>32726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Kalya Aung</dc:creator>
  <cp:keywords/>
  <dc:description/>
  <cp:lastModifiedBy>Kalya Aung</cp:lastModifiedBy>
  <cp:revision>32</cp:revision>
  <dcterms:created xsi:type="dcterms:W3CDTF">2026-07-13T21:43:00Z</dcterms:created>
  <dcterms:modified xsi:type="dcterms:W3CDTF">2026-07-15T16:44:00Z</dcterms:modified>
</cp:coreProperties>
</file>