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BF34C" w14:textId="312D94C3" w:rsidR="00E26F43" w:rsidRPr="00E26F43" w:rsidRDefault="00E26F43" w:rsidP="00E26F43">
      <w:pPr>
        <w:keepNext/>
        <w:keepLines/>
        <w:spacing w:before="40" w:after="0" w:line="240" w:lineRule="auto"/>
        <w:outlineLvl w:val="1"/>
        <w:rPr>
          <w:rFonts w:ascii="Times New Roman" w:eastAsiaTheme="majorEastAsia" w:hAnsi="Times New Roman" w:cstheme="majorBidi"/>
          <w:b/>
          <w:bCs/>
          <w:sz w:val="24"/>
          <w:szCs w:val="24"/>
          <w:u w:color="000000"/>
          <w:lang w:eastAsia="zh-TW"/>
        </w:rPr>
      </w:pPr>
      <w:r w:rsidRPr="00E26F43">
        <w:rPr>
          <w:rFonts w:ascii="Times New Roman" w:eastAsiaTheme="majorEastAsia" w:hAnsi="Times New Roman" w:cstheme="majorBidi"/>
          <w:b/>
          <w:bCs/>
          <w:sz w:val="24"/>
          <w:szCs w:val="24"/>
          <w:u w:color="000000"/>
          <w:lang w:eastAsia="zh-TW"/>
        </w:rPr>
        <w:t>S2</w:t>
      </w:r>
      <w:r w:rsidR="00EC15B4">
        <w:rPr>
          <w:rFonts w:ascii="Times New Roman" w:eastAsiaTheme="majorEastAsia" w:hAnsi="Times New Roman" w:cstheme="majorBidi"/>
          <w:b/>
          <w:bCs/>
          <w:sz w:val="24"/>
          <w:szCs w:val="24"/>
          <w:u w:color="000000"/>
          <w:lang w:eastAsia="zh-TW"/>
        </w:rPr>
        <w:t xml:space="preserve"> Method</w:t>
      </w:r>
      <w:r w:rsidRPr="00E26F43">
        <w:rPr>
          <w:rFonts w:ascii="Times New Roman" w:eastAsiaTheme="majorEastAsia" w:hAnsi="Times New Roman" w:cstheme="majorBidi"/>
          <w:b/>
          <w:bCs/>
          <w:sz w:val="24"/>
          <w:szCs w:val="24"/>
          <w:u w:color="000000"/>
          <w:lang w:eastAsia="zh-TW"/>
        </w:rPr>
        <w:t xml:space="preserve">. Mendelian </w:t>
      </w:r>
      <w:r w:rsidR="00F56629">
        <w:rPr>
          <w:rFonts w:ascii="Times New Roman" w:eastAsiaTheme="majorEastAsia" w:hAnsi="Times New Roman" w:cstheme="majorBidi"/>
          <w:b/>
          <w:bCs/>
          <w:sz w:val="24"/>
          <w:szCs w:val="24"/>
          <w:u w:color="000000"/>
          <w:lang w:eastAsia="zh-TW"/>
        </w:rPr>
        <w:t>r</w:t>
      </w:r>
      <w:r w:rsidRPr="00E26F43">
        <w:rPr>
          <w:rFonts w:ascii="Times New Roman" w:eastAsiaTheme="majorEastAsia" w:hAnsi="Times New Roman" w:cstheme="majorBidi"/>
          <w:b/>
          <w:bCs/>
          <w:sz w:val="24"/>
          <w:szCs w:val="24"/>
          <w:u w:color="000000"/>
          <w:lang w:eastAsia="zh-TW"/>
        </w:rPr>
        <w:t>andomi</w:t>
      </w:r>
      <w:r w:rsidR="00F56629">
        <w:rPr>
          <w:rFonts w:ascii="Times New Roman" w:eastAsiaTheme="majorEastAsia" w:hAnsi="Times New Roman" w:cstheme="majorBidi"/>
          <w:b/>
          <w:bCs/>
          <w:sz w:val="24"/>
          <w:szCs w:val="24"/>
          <w:u w:color="000000"/>
          <w:lang w:eastAsia="zh-TW"/>
        </w:rPr>
        <w:t>s</w:t>
      </w:r>
      <w:r w:rsidRPr="00E26F43">
        <w:rPr>
          <w:rFonts w:ascii="Times New Roman" w:eastAsiaTheme="majorEastAsia" w:hAnsi="Times New Roman" w:cstheme="majorBidi"/>
          <w:b/>
          <w:bCs/>
          <w:sz w:val="24"/>
          <w:szCs w:val="24"/>
          <w:u w:color="000000"/>
          <w:lang w:eastAsia="zh-TW"/>
        </w:rPr>
        <w:t>ation</w:t>
      </w:r>
      <w:r w:rsidR="00EC15B4">
        <w:rPr>
          <w:rFonts w:ascii="Times New Roman" w:eastAsiaTheme="majorEastAsia" w:hAnsi="Times New Roman" w:cstheme="majorBidi"/>
          <w:b/>
          <w:bCs/>
          <w:sz w:val="24"/>
          <w:szCs w:val="24"/>
          <w:u w:color="000000"/>
          <w:lang w:eastAsia="zh-TW"/>
        </w:rPr>
        <w:br/>
      </w:r>
    </w:p>
    <w:p w14:paraId="03550787" w14:textId="12569B38" w:rsidR="00E26F43" w:rsidRPr="00E26F43" w:rsidRDefault="00E26F43" w:rsidP="00E26F43">
      <w:pPr>
        <w:keepNext/>
        <w:keepLines/>
        <w:spacing w:before="40" w:after="0" w:line="240" w:lineRule="auto"/>
        <w:outlineLvl w:val="1"/>
        <w:rPr>
          <w:rFonts w:ascii="Times New Roman" w:eastAsiaTheme="majorEastAsia" w:hAnsi="Times New Roman" w:cstheme="majorBidi"/>
          <w:b/>
          <w:bCs/>
          <w:sz w:val="24"/>
          <w:szCs w:val="24"/>
          <w:u w:color="000000"/>
          <w:lang w:eastAsia="zh-TW"/>
        </w:rPr>
      </w:pPr>
      <w:r w:rsidRPr="00E26F43">
        <w:rPr>
          <w:rFonts w:ascii="Times New Roman" w:eastAsiaTheme="majorEastAsia" w:hAnsi="Times New Roman" w:cstheme="majorBidi"/>
          <w:b/>
          <w:bCs/>
          <w:sz w:val="24"/>
          <w:szCs w:val="24"/>
          <w:u w:color="000000"/>
          <w:lang w:eastAsia="zh-TW"/>
        </w:rPr>
        <w:t>Text A: MR clumping and harmoni</w:t>
      </w:r>
      <w:r w:rsidR="00CB497B">
        <w:rPr>
          <w:rFonts w:ascii="Times New Roman" w:eastAsiaTheme="majorEastAsia" w:hAnsi="Times New Roman" w:cstheme="majorBidi"/>
          <w:b/>
          <w:bCs/>
          <w:sz w:val="24"/>
          <w:szCs w:val="24"/>
          <w:u w:color="000000"/>
          <w:lang w:eastAsia="zh-TW"/>
        </w:rPr>
        <w:t>z</w:t>
      </w:r>
      <w:r w:rsidRPr="00E26F43">
        <w:rPr>
          <w:rFonts w:ascii="Times New Roman" w:eastAsiaTheme="majorEastAsia" w:hAnsi="Times New Roman" w:cstheme="majorBidi"/>
          <w:b/>
          <w:bCs/>
          <w:sz w:val="24"/>
          <w:szCs w:val="24"/>
          <w:u w:color="000000"/>
          <w:lang w:eastAsia="zh-TW"/>
        </w:rPr>
        <w:t>ation</w:t>
      </w:r>
    </w:p>
    <w:p w14:paraId="700E7984"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7658B4FD" w14:textId="77777777" w:rsidR="00E26F43" w:rsidRPr="00E26F43" w:rsidRDefault="00E26F43" w:rsidP="00E26F43">
      <w:pPr>
        <w:spacing w:after="0" w:line="240" w:lineRule="auto"/>
        <w:rPr>
          <w:rFonts w:ascii="Times New Roman" w:eastAsia="Times New Roman" w:hAnsi="Times New Roman" w:cs="Times New Roman"/>
          <w:sz w:val="24"/>
          <w:szCs w:val="24"/>
        </w:rPr>
      </w:pPr>
      <w:r w:rsidRPr="00E26F43">
        <w:rPr>
          <w:rFonts w:ascii="Times New Roman" w:eastAsia="Times New Roman" w:hAnsi="Times New Roman" w:cs="Times New Roman"/>
          <w:sz w:val="24"/>
          <w:szCs w:val="24"/>
        </w:rPr>
        <w:t>Clumping of SNPs with r</w:t>
      </w:r>
      <w:r w:rsidRPr="00E26F43">
        <w:rPr>
          <w:rFonts w:ascii="Times New Roman" w:eastAsia="Times New Roman" w:hAnsi="Times New Roman" w:cs="Times New Roman"/>
          <w:sz w:val="24"/>
          <w:szCs w:val="24"/>
          <w:vertAlign w:val="superscript"/>
        </w:rPr>
        <w:t>2</w:t>
      </w:r>
      <w:r w:rsidRPr="00E26F43">
        <w:rPr>
          <w:rFonts w:ascii="Times New Roman" w:eastAsia="Times New Roman" w:hAnsi="Times New Roman" w:cs="Times New Roman"/>
          <w:sz w:val="24"/>
          <w:szCs w:val="24"/>
        </w:rPr>
        <w:t xml:space="preserve"> &lt; ·001 within 250 kb was applied. SNPs in exposures and outcomes were harmonized by flipping alleles where possible, using allele frequencies to infer strands of ambiguous SNPs. Non-inferable SNPs with minor allele frequency &gt; 0·42 were discarded.</w:t>
      </w:r>
    </w:p>
    <w:p w14:paraId="44243E61"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3D79DB71" w14:textId="24F7DDF1" w:rsidR="00E26F43" w:rsidRPr="00E26F43" w:rsidRDefault="00E26F43" w:rsidP="00E26F43">
      <w:pPr>
        <w:keepNext/>
        <w:keepLines/>
        <w:spacing w:before="40" w:after="0" w:line="240" w:lineRule="auto"/>
        <w:outlineLvl w:val="1"/>
        <w:rPr>
          <w:rFonts w:ascii="Times New Roman" w:eastAsiaTheme="majorEastAsia" w:hAnsi="Times New Roman" w:cstheme="majorBidi"/>
          <w:b/>
          <w:bCs/>
          <w:sz w:val="24"/>
          <w:szCs w:val="24"/>
          <w:u w:color="000000"/>
          <w:lang w:eastAsia="zh-TW"/>
        </w:rPr>
      </w:pPr>
      <w:r w:rsidRPr="00E26F43">
        <w:rPr>
          <w:rFonts w:ascii="Times New Roman" w:eastAsiaTheme="majorEastAsia" w:hAnsi="Times New Roman" w:cstheme="majorBidi"/>
          <w:b/>
          <w:bCs/>
          <w:sz w:val="24"/>
          <w:szCs w:val="24"/>
          <w:u w:color="000000"/>
          <w:lang w:eastAsia="zh-TW"/>
        </w:rPr>
        <w:t xml:space="preserve">Text B: MR </w:t>
      </w:r>
      <w:proofErr w:type="spellStart"/>
      <w:r w:rsidRPr="00E26F43">
        <w:rPr>
          <w:rFonts w:ascii="Times New Roman" w:eastAsiaTheme="majorEastAsia" w:hAnsi="Times New Roman" w:cstheme="majorBidi"/>
          <w:b/>
          <w:bCs/>
          <w:sz w:val="24"/>
          <w:szCs w:val="24"/>
          <w:u w:color="000000"/>
          <w:lang w:eastAsia="zh-TW"/>
        </w:rPr>
        <w:t>Steiger</w:t>
      </w:r>
      <w:proofErr w:type="spellEnd"/>
      <w:r w:rsidRPr="00E26F43">
        <w:rPr>
          <w:rFonts w:ascii="Times New Roman" w:eastAsiaTheme="majorEastAsia" w:hAnsi="Times New Roman" w:cstheme="majorBidi"/>
          <w:b/>
          <w:bCs/>
          <w:sz w:val="24"/>
          <w:szCs w:val="24"/>
          <w:u w:color="000000"/>
          <w:lang w:eastAsia="zh-TW"/>
        </w:rPr>
        <w:t xml:space="preserve"> </w:t>
      </w:r>
      <w:r w:rsidR="00B32F88">
        <w:rPr>
          <w:rFonts w:ascii="Times New Roman" w:eastAsiaTheme="majorEastAsia" w:hAnsi="Times New Roman" w:cstheme="majorBidi"/>
          <w:b/>
          <w:bCs/>
          <w:sz w:val="24"/>
          <w:szCs w:val="24"/>
          <w:u w:color="000000"/>
          <w:lang w:eastAsia="zh-TW"/>
        </w:rPr>
        <w:t>filtering</w:t>
      </w:r>
    </w:p>
    <w:p w14:paraId="06E44D7B"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7F7D0979" w14:textId="2F3F1EEB" w:rsidR="00E26F43" w:rsidRPr="00E26F43" w:rsidRDefault="00E26F43" w:rsidP="00E26F43">
      <w:pPr>
        <w:spacing w:after="0" w:line="240" w:lineRule="auto"/>
        <w:rPr>
          <w:rFonts w:ascii="Times New Roman" w:eastAsia="Times New Roman" w:hAnsi="Times New Roman" w:cs="Times New Roman"/>
          <w:sz w:val="24"/>
          <w:szCs w:val="24"/>
        </w:rPr>
      </w:pPr>
      <w:r w:rsidRPr="00E26F43">
        <w:rPr>
          <w:rFonts w:ascii="Times New Roman" w:eastAsia="Times New Roman" w:hAnsi="Times New Roman" w:cs="Times New Roman"/>
          <w:sz w:val="24"/>
          <w:szCs w:val="24"/>
        </w:rPr>
        <w:t xml:space="preserve">MR </w:t>
      </w:r>
      <w:proofErr w:type="spellStart"/>
      <w:r w:rsidRPr="00E26F43">
        <w:rPr>
          <w:rFonts w:ascii="Times New Roman" w:eastAsia="Times New Roman" w:hAnsi="Times New Roman" w:cs="Times New Roman"/>
          <w:sz w:val="24"/>
          <w:szCs w:val="24"/>
        </w:rPr>
        <w:t>Steiger</w:t>
      </w:r>
      <w:proofErr w:type="spellEnd"/>
      <w:r w:rsidRPr="00E26F43">
        <w:rPr>
          <w:rFonts w:ascii="Times New Roman" w:eastAsia="Times New Roman" w:hAnsi="Times New Roman" w:cs="Times New Roman"/>
          <w:sz w:val="24"/>
          <w:szCs w:val="24"/>
        </w:rPr>
        <w:t xml:space="preserve"> filtering was implemented to address the possibility of reverse causation</w:t>
      </w:r>
      <w:r w:rsidR="00EC15B4">
        <w:rPr>
          <w:rFonts w:ascii="Times New Roman" w:eastAsia="Times New Roman" w:hAnsi="Times New Roman" w:cs="Times New Roman"/>
          <w:sz w:val="24"/>
          <w:szCs w:val="24"/>
        </w:rPr>
        <w:t xml:space="preserve"> </w:t>
      </w:r>
      <w:r w:rsidR="00EC15B4">
        <w:rPr>
          <w:rFonts w:ascii="Times New Roman" w:eastAsia="Times New Roman" w:hAnsi="Times New Roman" w:cs="Times New Roman"/>
          <w:sz w:val="24"/>
          <w:szCs w:val="24"/>
        </w:rPr>
        <w:fldChar w:fldCharType="begin" w:fldLock="1"/>
      </w:r>
      <w:r w:rsidR="00EC15B4">
        <w:rPr>
          <w:rFonts w:ascii="Times New Roman" w:eastAsia="Times New Roman" w:hAnsi="Times New Roman" w:cs="Times New Roman"/>
          <w:sz w:val="24"/>
          <w:szCs w:val="24"/>
        </w:rPr>
        <w:instrText>ADDIN CSL_CITATION {"citationItems":[{"id":"ITEM-1","itemData":{"DOI":"10.1371/journal.pgen.1007081","ISBN":"1111111111","ISSN":"15537404","PMID":"29149188","abstract":"© 2017 Hemani et al. Inference about the causal structure that induces correlations between two traits can be achieved by combining genetic associations with a mediation-based approach, as is done in the causal inference test (CIT). However, we show that measurement error in the phenotypes can lead to the CIT inferring the wrong causal direction, and that increasing sample sizes has the adverse effect of increasing confidence in the wrong answer. This problem is likely to be general to other mediation-based approaches. Here we introduce an extension to Mendelian randomisation, a method that uses genetic associations in an instrumentation framework, that enables inference of the causal direction between traits, with some advantages. First, it can be performed using only summary level data from genome-wide association studies; second, it is less susceptible to bias in the presence of measurement error or unmeasured confounding. We apply the method to infer the causal direction between DNA methylation and gene expression levels. Our results demonstrate that, in general, DNA methylation is more likely to be the causal factor, but this result is highly susceptible to bias induced by systematic differences in measurement error between the platforms, and by horizontal pleiotropy. We emphasise that, where possible, implementing MR and appropriate sensitivity analyses alongside other approaches such as CIT is important to triangulate reliable conclusions about causality.","author":[{"dropping-particle":"","family":"Hemani","given":"Gibran","non-dropping-particle":"","parse-names":false,"suffix":""},{"dropping-particle":"","family":"Tilling","given":"Kate","non-dropping-particle":"","parse-names":false,"suffix":""},{"dropping-particle":"","family":"Davey Smith","given":"George","non-dropping-particle":"","parse-names":false,"suffix":""}],"container-title":"PLoS Genetics","id":"ITEM-1","issue":"11","issued":{"date-parts":[["2017","11"]]},"note":"From Duplicate 2 (Orienting the causal relationship between imprecisely measured traits using GWAS summary data - Hemani, Gibran; Tilling, Kate; Davey Smith, George)\n\nThough bi-directional MR can be used to orient causal directions [27], this requires knowledge ofa valid instrument for each trait, and we were motivated to develop the MR Steiger method that could operate on summary data to orient the direction of causality using the same conditions as the CIT, where the underlying biology ofa single SNP is not fully understood. We","page":"e1007081","publisher":"Public Library of Science","title":"Orienting the causal relationship between imprecisely measured traits using GWAS summary data","type":"article-journal","volume":"13"},"uris":["http://www.mendeley.com/documents/?uuid=1ee0a711-049c-42a0-8d2c-316c1bb0b0c1"]}],"mendeley":{"formattedCitation":"[1]","plainTextFormattedCitation":"[1]","previouslyFormattedCitation":"[1]"},"properties":{"noteIndex":0},"schema":"https://github.com/citation-style-language/schema/raw/master/csl-citation.json"}</w:instrText>
      </w:r>
      <w:r w:rsidR="00EC15B4">
        <w:rPr>
          <w:rFonts w:ascii="Times New Roman" w:eastAsia="Times New Roman" w:hAnsi="Times New Roman" w:cs="Times New Roman"/>
          <w:sz w:val="24"/>
          <w:szCs w:val="24"/>
        </w:rPr>
        <w:fldChar w:fldCharType="separate"/>
      </w:r>
      <w:r w:rsidR="00EC15B4" w:rsidRPr="00EC15B4">
        <w:rPr>
          <w:rFonts w:ascii="Times New Roman" w:eastAsia="Times New Roman" w:hAnsi="Times New Roman" w:cs="Times New Roman"/>
          <w:noProof/>
          <w:sz w:val="24"/>
          <w:szCs w:val="24"/>
        </w:rPr>
        <w:t>[1]</w:t>
      </w:r>
      <w:r w:rsidR="00EC15B4">
        <w:rPr>
          <w:rFonts w:ascii="Times New Roman" w:eastAsia="Times New Roman" w:hAnsi="Times New Roman" w:cs="Times New Roman"/>
          <w:sz w:val="24"/>
          <w:szCs w:val="24"/>
        </w:rPr>
        <w:fldChar w:fldCharType="end"/>
      </w:r>
      <w:r w:rsidRPr="00E26F43">
        <w:rPr>
          <w:rFonts w:ascii="Times New Roman" w:eastAsia="Times New Roman" w:hAnsi="Times New Roman" w:cs="Times New Roman"/>
          <w:sz w:val="24"/>
          <w:szCs w:val="24"/>
        </w:rPr>
        <w:t>. For each SNP, we expect that the effect size for the association with the exposure should be larger than the effect size for the association with the outcome. This is because the effect on the outcome is hypothesised to be indirect through the exposure. As such, all SNPs for which the effect size of the association with the outcome was larger than the one with the exposure were filtered out before reimplementing MR.</w:t>
      </w:r>
    </w:p>
    <w:p w14:paraId="7AE16416"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33C98705" w14:textId="3E810922" w:rsidR="00E26F43" w:rsidRPr="00E26F43" w:rsidRDefault="00E26F43" w:rsidP="00E26F43">
      <w:pPr>
        <w:spacing w:after="0" w:line="240" w:lineRule="auto"/>
        <w:rPr>
          <w:rFonts w:ascii="Times New Roman" w:eastAsia="Times New Roman" w:hAnsi="Times New Roman" w:cs="Times New Roman"/>
          <w:sz w:val="24"/>
          <w:szCs w:val="24"/>
        </w:rPr>
      </w:pPr>
      <w:r w:rsidRPr="00E26F43">
        <w:rPr>
          <w:rFonts w:ascii="Times New Roman" w:eastAsia="Times New Roman" w:hAnsi="Times New Roman" w:cs="Times New Roman"/>
          <w:sz w:val="24"/>
          <w:szCs w:val="24"/>
        </w:rPr>
        <w:t xml:space="preserve">In this study, MR </w:t>
      </w:r>
      <w:proofErr w:type="spellStart"/>
      <w:r w:rsidRPr="00E26F43">
        <w:rPr>
          <w:rFonts w:ascii="Times New Roman" w:eastAsia="Times New Roman" w:hAnsi="Times New Roman" w:cs="Times New Roman"/>
          <w:sz w:val="24"/>
          <w:szCs w:val="24"/>
        </w:rPr>
        <w:t>Steiger</w:t>
      </w:r>
      <w:proofErr w:type="spellEnd"/>
      <w:r w:rsidRPr="00E26F43">
        <w:rPr>
          <w:rFonts w:ascii="Times New Roman" w:eastAsia="Times New Roman" w:hAnsi="Times New Roman" w:cs="Times New Roman"/>
          <w:sz w:val="24"/>
          <w:szCs w:val="24"/>
        </w:rPr>
        <w:t xml:space="preserve"> </w:t>
      </w:r>
      <w:r w:rsidR="00EE6FDB">
        <w:rPr>
          <w:rFonts w:ascii="Times New Roman" w:eastAsia="Times New Roman" w:hAnsi="Times New Roman" w:cs="Times New Roman"/>
          <w:sz w:val="24"/>
          <w:szCs w:val="24"/>
        </w:rPr>
        <w:t>filtering</w:t>
      </w:r>
      <w:r w:rsidRPr="00E26F43">
        <w:rPr>
          <w:rFonts w:ascii="Times New Roman" w:eastAsia="Times New Roman" w:hAnsi="Times New Roman" w:cs="Times New Roman"/>
          <w:sz w:val="24"/>
          <w:szCs w:val="24"/>
        </w:rPr>
        <w:t xml:space="preserve"> could only be applied to test the direction of causality between MDD and schizophrenia with self-harm because the summary statistics for other exposures did not contain information about allele frequencies, which are needed for the test.</w:t>
      </w:r>
    </w:p>
    <w:p w14:paraId="554D9B5D"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1D4E22BE" w14:textId="411A1216" w:rsidR="00E26F43" w:rsidRPr="00E26F43" w:rsidRDefault="00E26F43" w:rsidP="00E26F43">
      <w:pPr>
        <w:spacing w:after="0" w:line="240" w:lineRule="auto"/>
        <w:rPr>
          <w:rFonts w:ascii="Times New Roman" w:eastAsia="Times New Roman" w:hAnsi="Times New Roman" w:cs="Times New Roman"/>
          <w:sz w:val="24"/>
          <w:szCs w:val="24"/>
        </w:rPr>
      </w:pPr>
      <w:r w:rsidRPr="00E26F43">
        <w:rPr>
          <w:rFonts w:ascii="Times New Roman" w:eastAsia="Times New Roman" w:hAnsi="Times New Roman" w:cs="Times New Roman"/>
          <w:sz w:val="24"/>
          <w:szCs w:val="24"/>
        </w:rPr>
        <w:t>For MDD, out of the 239 SNPs, we found that all SNPs were in the correct direction (i.e. larger association with MDD than with self-harm). For schizophrenia, all 1003 SNPs were also in the correct direction.</w:t>
      </w:r>
      <w:r w:rsidR="00EE6FDB">
        <w:rPr>
          <w:rFonts w:ascii="Times New Roman" w:eastAsia="Times New Roman" w:hAnsi="Times New Roman" w:cs="Times New Roman"/>
          <w:sz w:val="24"/>
          <w:szCs w:val="24"/>
        </w:rPr>
        <w:t xml:space="preserve"> Hence, no SNP was filtered out. </w:t>
      </w:r>
    </w:p>
    <w:p w14:paraId="59979256" w14:textId="77777777" w:rsidR="00E26F43" w:rsidRPr="00E26F43" w:rsidRDefault="00E26F43" w:rsidP="00E26F43">
      <w:pPr>
        <w:spacing w:after="0" w:line="240" w:lineRule="auto"/>
        <w:rPr>
          <w:rFonts w:ascii="Times New Roman" w:eastAsia="Times New Roman" w:hAnsi="Times New Roman" w:cs="Times New Roman"/>
          <w:sz w:val="24"/>
          <w:szCs w:val="24"/>
        </w:rPr>
      </w:pPr>
    </w:p>
    <w:p w14:paraId="2E71B6CE" w14:textId="7C14CFB6" w:rsidR="00E26F43" w:rsidRDefault="00B60BB9">
      <w:pPr>
        <w:rPr>
          <w:rFonts w:ascii="Times New Roman" w:hAnsi="Times New Roman" w:cs="Times New Roman"/>
          <w:b/>
          <w:bCs/>
          <w:sz w:val="24"/>
          <w:szCs w:val="24"/>
        </w:rPr>
      </w:pPr>
      <w:r w:rsidRPr="00B60BB9">
        <w:rPr>
          <w:rFonts w:ascii="Times New Roman" w:hAnsi="Times New Roman" w:cs="Times New Roman"/>
          <w:b/>
          <w:bCs/>
          <w:sz w:val="24"/>
          <w:szCs w:val="24"/>
        </w:rPr>
        <w:t>Reference</w:t>
      </w:r>
    </w:p>
    <w:p w14:paraId="2DA8A5B5" w14:textId="630AB02B" w:rsidR="00EC15B4" w:rsidRPr="00EC15B4" w:rsidRDefault="00EC15B4" w:rsidP="00EC15B4">
      <w:pPr>
        <w:widowControl w:val="0"/>
        <w:autoSpaceDE w:val="0"/>
        <w:autoSpaceDN w:val="0"/>
        <w:adjustRightInd w:val="0"/>
        <w:spacing w:line="240" w:lineRule="auto"/>
        <w:ind w:left="640" w:hanging="640"/>
        <w:rPr>
          <w:rFonts w:ascii="Times New Roman" w:hAnsi="Times New Roman" w:cs="Times New Roman"/>
          <w:noProof/>
          <w:sz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EC15B4">
        <w:rPr>
          <w:rFonts w:ascii="Times New Roman" w:hAnsi="Times New Roman" w:cs="Times New Roman"/>
          <w:noProof/>
          <w:sz w:val="24"/>
          <w:szCs w:val="24"/>
        </w:rPr>
        <w:t xml:space="preserve">1. </w:t>
      </w:r>
      <w:r w:rsidRPr="00EC15B4">
        <w:rPr>
          <w:rFonts w:ascii="Times New Roman" w:hAnsi="Times New Roman" w:cs="Times New Roman"/>
          <w:noProof/>
          <w:sz w:val="24"/>
          <w:szCs w:val="24"/>
        </w:rPr>
        <w:tab/>
        <w:t>Hemani G, Tilling K, Davey Smith G. Orienting the causal relationship between imprecisely measured traits using GWAS summary data. PLoS Genet. 2017;13: e1007081. doi:10.1371/journal.pgen.1007081</w:t>
      </w:r>
    </w:p>
    <w:p w14:paraId="457183BC" w14:textId="3D9AF771" w:rsidR="00EC15B4" w:rsidRDefault="00EC15B4">
      <w:pPr>
        <w:rPr>
          <w:rFonts w:ascii="Times New Roman" w:hAnsi="Times New Roman" w:cs="Times New Roman"/>
          <w:b/>
          <w:bCs/>
          <w:sz w:val="24"/>
          <w:szCs w:val="24"/>
        </w:rPr>
      </w:pPr>
      <w:r>
        <w:rPr>
          <w:rFonts w:ascii="Times New Roman" w:hAnsi="Times New Roman" w:cs="Times New Roman"/>
          <w:b/>
          <w:bCs/>
          <w:sz w:val="24"/>
          <w:szCs w:val="24"/>
        </w:rPr>
        <w:fldChar w:fldCharType="end"/>
      </w:r>
    </w:p>
    <w:p w14:paraId="5D4F85DB" w14:textId="77777777" w:rsidR="00B60BB9" w:rsidRPr="00B60BB9" w:rsidRDefault="00B60BB9">
      <w:pPr>
        <w:rPr>
          <w:rFonts w:ascii="Times New Roman" w:hAnsi="Times New Roman" w:cs="Times New Roman"/>
          <w:b/>
          <w:bCs/>
          <w:sz w:val="24"/>
          <w:szCs w:val="24"/>
        </w:rPr>
      </w:pPr>
    </w:p>
    <w:sectPr w:rsidR="00B60BB9" w:rsidRPr="00B60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F43"/>
    <w:rsid w:val="007827AC"/>
    <w:rsid w:val="00B32F88"/>
    <w:rsid w:val="00B60BB9"/>
    <w:rsid w:val="00BE5ECA"/>
    <w:rsid w:val="00CB497B"/>
    <w:rsid w:val="00E26F43"/>
    <w:rsid w:val="00EC15B4"/>
    <w:rsid w:val="00EE6FDB"/>
    <w:rsid w:val="00F566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14D6"/>
  <w15:chartTrackingRefBased/>
  <w15:docId w15:val="{3A469105-FD02-442E-8A04-F9FD9DE9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B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9CF8C7A0DD294A81C051F04D0EC997" ma:contentTypeVersion="13" ma:contentTypeDescription="Create a new document." ma:contentTypeScope="" ma:versionID="bb391bcd83328ed944c6ded535bc439e">
  <xsd:schema xmlns:xsd="http://www.w3.org/2001/XMLSchema" xmlns:xs="http://www.w3.org/2001/XMLSchema" xmlns:p="http://schemas.microsoft.com/office/2006/metadata/properties" xmlns:ns3="3d72f227-f787-447d-b1cf-170f5907a0b1" xmlns:ns4="9c21d64e-8cfa-4d6d-8704-238aa09fa296" targetNamespace="http://schemas.microsoft.com/office/2006/metadata/properties" ma:root="true" ma:fieldsID="415ee8c5de1a9c6045c4e0724ec38a68" ns3:_="" ns4:_="">
    <xsd:import namespace="3d72f227-f787-447d-b1cf-170f5907a0b1"/>
    <xsd:import namespace="9c21d64e-8cfa-4d6d-8704-238aa09fa2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f227-f787-447d-b1cf-170f5907a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1d64e-8cfa-4d6d-8704-238aa09fa2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90470-9406-46C5-8B47-3F66B82E2F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7B141D-33B4-4164-9037-65581139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f227-f787-447d-b1cf-170f5907a0b1"/>
    <ds:schemaRef ds:uri="9c21d64e-8cfa-4d6d-8704-238aa09fa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011B8-2030-4B4E-8BFD-C1A645F53FF7}">
  <ds:schemaRefs>
    <ds:schemaRef ds:uri="http://schemas.microsoft.com/sharepoint/v3/contenttype/forms"/>
  </ds:schemaRefs>
</ds:datastoreItem>
</file>

<file path=customXml/itemProps4.xml><?xml version="1.0" encoding="utf-8"?>
<ds:datastoreItem xmlns:ds="http://schemas.openxmlformats.org/officeDocument/2006/customXml" ds:itemID="{B33BA058-E89B-FF4F-96B5-3A357D1B8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726</Words>
  <Characters>4141</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 Kai</dc:creator>
  <cp:keywords/>
  <dc:description/>
  <cp:lastModifiedBy>Lim, Kai</cp:lastModifiedBy>
  <cp:revision>9</cp:revision>
  <dcterms:created xsi:type="dcterms:W3CDTF">2020-02-21T11:36:00Z</dcterms:created>
  <dcterms:modified xsi:type="dcterms:W3CDTF">2020-05-12T15:47:00Z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0x010100489CF8C7A0DD294A81C051F04D0EC997</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http://www.zotero.org/styles/plos-medicine</vt:lpwstr>
  </property>
  <property fmtid="{D5CDD505-2E9C-101B-9397-08002B2CF9AE}" pid="18" name="Mendeley Recent Style Name 7_1">
    <vt:lpwstr>PLOS Medicine</vt:lpwstr>
  </property>
  <property fmtid="{D5CDD505-2E9C-101B-9397-08002B2CF9AE}" pid="19" name="Mendeley Recent Style Id 8_1">
    <vt:lpwstr>http://www.zotero.org/styles/the-lancet</vt:lpwstr>
  </property>
  <property fmtid="{D5CDD505-2E9C-101B-9397-08002B2CF9AE}" pid="20" name="Mendeley Recent Style Name 8_1">
    <vt:lpwstr>The Lancet</vt:lpwstr>
  </property>
  <property fmtid="{D5CDD505-2E9C-101B-9397-08002B2CF9AE}" pid="21" name="Mendeley Recent Style Id 9_1">
    <vt:lpwstr>http://www.zotero.org/styles/vancouver-superscript</vt:lpwstr>
  </property>
  <property fmtid="{D5CDD505-2E9C-101B-9397-08002B2CF9AE}" pid="22" name="Mendeley Recent Style Name 9_1">
    <vt:lpwstr>Vancouver (superscript)</vt:lpwstr>
  </property>
  <property fmtid="{D5CDD505-2E9C-101B-9397-08002B2CF9AE}" pid="23" name="Mendeley Citation Style_1">
    <vt:lpwstr>http://www.zotero.org/styles/plos-medicine</vt:lpwstr>
  </property>
  <property fmtid="{D5CDD505-2E9C-101B-9397-08002B2CF9AE}" pid="24" name="Mendeley Document_1">
    <vt:lpwstr>True</vt:lpwstr>
  </property>
  <property fmtid="{D5CDD505-2E9C-101B-9397-08002B2CF9AE}" pid="25" name="Mendeley Unique User Id_1">
    <vt:lpwstr>0e401184-dd4c-39a5-a26f-c4a55a639255</vt:lpwstr>
  </property>
</Properties>
</file>